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55B59" w:rsidRDefault="00455B59" w:rsidP="00E761FD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  <w:r w:rsidR="00F847F8">
        <w:rPr>
          <w:rFonts w:ascii="Times New Roman" w:hAnsi="Times New Roman" w:cs="Times New Roman"/>
          <w:b/>
          <w:i/>
          <w:sz w:val="24"/>
          <w:szCs w:val="32"/>
        </w:rPr>
        <w:t xml:space="preserve"> po zmianach</w:t>
      </w:r>
      <w:r w:rsidR="00E761FD">
        <w:rPr>
          <w:rFonts w:ascii="Times New Roman" w:hAnsi="Times New Roman" w:cs="Times New Roman"/>
          <w:b/>
          <w:i/>
          <w:sz w:val="24"/>
          <w:szCs w:val="32"/>
        </w:rPr>
        <w:t xml:space="preserve"> II</w:t>
      </w:r>
    </w:p>
    <w:p w:rsidR="00455B59" w:rsidRPr="00455B59" w:rsidRDefault="00455B59" w:rsidP="00E761FD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Zamawiający:</w:t>
      </w:r>
      <w:r w:rsidRPr="00455B59">
        <w:rPr>
          <w:rFonts w:ascii="Times New Roman" w:hAnsi="Times New Roman" w:cs="Times New Roman"/>
          <w:b/>
        </w:rPr>
        <w:br/>
        <w:t xml:space="preserve">Komenda Wojewódzka Policji </w:t>
      </w:r>
      <w:r w:rsidRPr="00455B59">
        <w:rPr>
          <w:rFonts w:ascii="Times New Roman" w:hAnsi="Times New Roman" w:cs="Times New Roman"/>
          <w:b/>
        </w:rPr>
        <w:br/>
        <w:t>z siedzibą w Radomiu</w:t>
      </w:r>
      <w:r w:rsidRPr="00455B59">
        <w:rPr>
          <w:rFonts w:ascii="Times New Roman" w:hAnsi="Times New Roman" w:cs="Times New Roman"/>
          <w:b/>
        </w:rPr>
        <w:br/>
        <w:t>ul. 11 Listopada 37/59</w:t>
      </w:r>
      <w:r w:rsidRPr="00455B59">
        <w:rPr>
          <w:rFonts w:ascii="Times New Roman" w:hAnsi="Times New Roman" w:cs="Times New Roman"/>
          <w:b/>
        </w:rPr>
        <w:br/>
        <w:t>26-600 Radom</w:t>
      </w:r>
    </w:p>
    <w:p w:rsidR="002C1329" w:rsidRPr="00455B59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B5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Ja/my</w:t>
      </w:r>
      <w:r w:rsidRPr="00455B59">
        <w:rPr>
          <w:rFonts w:ascii="Times New Roman" w:hAnsi="Times New Roman" w:cs="Times New Roman"/>
          <w:b/>
          <w:vertAlign w:val="superscript"/>
        </w:rPr>
        <w:t xml:space="preserve">* </w:t>
      </w:r>
      <w:r w:rsidRPr="00455B5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87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39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B83C0C">
        <w:tc>
          <w:tcPr>
            <w:tcW w:w="2660" w:type="dxa"/>
          </w:tcPr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55B5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55B5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55B59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inny rodzaj</w:t>
      </w:r>
      <w:r w:rsidRPr="00455B59">
        <w:rPr>
          <w:rFonts w:ascii="Times New Roman" w:hAnsi="Times New Roman" w:cs="Times New Roman"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</w:rPr>
        <w:t>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B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455B5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1329" w:rsidRPr="00455B59" w:rsidRDefault="002C1329" w:rsidP="002C1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 w:rsidRPr="00455B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55B59"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Zakup i dostawa nieoznakowanego pojazdu typu KOMBIVAN</w:t>
      </w:r>
      <w:r w:rsid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  <w:r w:rsidR="00522657" w:rsidRP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– ilość 4szt</w:t>
      </w:r>
      <w:r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Numer wewnętrzny postępowania: 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="00455B59"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6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/22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55B59" w:rsidRDefault="002C1329" w:rsidP="002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oferty brutto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455B59">
        <w:rPr>
          <w:rFonts w:ascii="Times New Roman" w:hAnsi="Times New Roman" w:cs="Times New Roman"/>
          <w:b/>
          <w:color w:val="000000" w:themeColor="text1"/>
        </w:rPr>
        <w:t>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II – okres udzielonej gwarancji na zespoły i podzespoły mechaniczne, elektryczne</w:t>
      </w:r>
      <w:r w:rsidR="00C27540"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elektroniczne</w:t>
      </w: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pojazdu „G”</w:t>
      </w: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sz w:val="20"/>
          <w:szCs w:val="20"/>
        </w:rPr>
        <w:t>Należy podać w pełnych miesiącach: ………………………………………………………………..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ze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społy i podzespoły mechaniczne,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elektryczne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i elektroniczne 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pojazdu nie krótszy jednak niż 24 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miesiące.</w:t>
      </w:r>
    </w:p>
    <w:p w:rsidR="00E71615" w:rsidRPr="00455B59" w:rsidRDefault="00E71615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C1329" w:rsidRPr="00455B59" w:rsidRDefault="002C1329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C1329" w:rsidRPr="00455B59" w:rsidRDefault="002C1329" w:rsidP="002C132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2C1329" w:rsidRPr="00455B59" w:rsidRDefault="002C1329" w:rsidP="002C13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455B59">
        <w:rPr>
          <w:rFonts w:ascii="Times New Roman" w:hAnsi="Times New Roman" w:cs="Times New Roman"/>
          <w:bCs/>
          <w:color w:val="000000"/>
        </w:rPr>
        <w:t xml:space="preserve">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C1329" w:rsidRPr="00455B59" w:rsidRDefault="002C1329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D61C4" w:rsidRPr="00455B59" w:rsidRDefault="002C1329" w:rsidP="00455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Ponadto, oświadczam że</w:t>
      </w:r>
      <w:r w:rsidR="00DD61C4"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: </w:t>
      </w:r>
    </w:p>
    <w:p w:rsidR="00DD61C4" w:rsidRPr="00455B59" w:rsidRDefault="00DD61C4" w:rsidP="00455B59">
      <w:pPr>
        <w:pStyle w:val="FR1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DD61C4" w:rsidRPr="00455B59" w:rsidRDefault="00DD61C4" w:rsidP="00455B59">
      <w:pPr>
        <w:pStyle w:val="FR1"/>
        <w:numPr>
          <w:ilvl w:val="0"/>
          <w:numId w:val="36"/>
        </w:numPr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DD61C4" w:rsidRPr="00455B59" w:rsidRDefault="00DD61C4" w:rsidP="00455B59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after="0"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455B59">
        <w:rPr>
          <w:rFonts w:ascii="Times New Roman" w:hAnsi="Times New Roman" w:cs="Times New Roman"/>
          <w:b/>
          <w:lang w:eastAsia="ar-SA"/>
        </w:rPr>
        <w:t>Zakup i dostawa nieoznakowanego pojazdu typu KOMBIVAN – ilość 4szt.</w:t>
      </w:r>
    </w:p>
    <w:p w:rsid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oświadczam, że zaoferowane przeze mnie pojazdy: </w:t>
      </w:r>
    </w:p>
    <w:p w:rsidR="00DD61C4" w:rsidRPr="00455B59" w:rsidRDefault="00DD61C4" w:rsidP="00455B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DD61C4" w:rsidRPr="00455B59" w:rsidRDefault="00DD61C4" w:rsidP="00DD61C4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DD61C4" w:rsidRPr="00455B59" w:rsidRDefault="00DD61C4" w:rsidP="00DD61C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455B59" w:rsidRDefault="00455B59">
      <w:r>
        <w:br w:type="page"/>
      </w:r>
    </w:p>
    <w:tbl>
      <w:tblPr>
        <w:tblW w:w="93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359"/>
        <w:gridCol w:w="738"/>
        <w:gridCol w:w="1593"/>
        <w:gridCol w:w="2042"/>
      </w:tblGrid>
      <w:tr w:rsidR="00455B59" w:rsidRPr="00455B59" w:rsidTr="00455B59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lastRenderedPageBreak/>
              <w:t>L.p.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typu KOMBIVAN kategorii M</w:t>
            </w:r>
            <w:r w:rsidRPr="00455B59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578D1">
              <w:rPr>
                <w:rFonts w:ascii="Times New Roman" w:eastAsia="Times New Roman" w:hAnsi="Times New Roman" w:cs="Times New Roman"/>
                <w:lang w:eastAsia="ar-SA"/>
              </w:rPr>
              <w:t>lub N</w:t>
            </w:r>
            <w:r w:rsidR="00C578D1" w:rsidRPr="00C578D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="00C578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 nadwoziu zamkniętym z dachem o konstrukcji oraz poszyciu wykonanym z metalu.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C578D1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Rok produkcji zgodny z rokiem dostawy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</w:t>
            </w:r>
          </w:p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liczbą miejsc siedzących (w tym miejsce kierowcy) dla min. 4 osób.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2750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4400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590litrów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litr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min. 590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…………………litr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max. 1900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1490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kW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75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………………….kW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km/h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160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………..………km/h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(według deklaracji producenta).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Nm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niemniej niż 6 biegami do przodu.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4 kół z ogumieniem letnim z obręczami min. 16 cali z fabrycznej oferty producenta pojazdów. W przypadku zaoferowania pojazdu wyposażonego w pełnowymiarowe koło zapasowe, bieżnik w ogumieniu letnim nie może być kierunkowy.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Pojazd musi być wyposażony w pełnowymiarowe koło zapasowe identyczne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z kołami (obręcz + opona) opisanymi w pkt. 25.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25 muszą być zgodne z danymi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pkt. 35 świadectwa zgodności WE.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Opony nie mogą być starsze niż 78 tygodni licząc od końcowego terminu realizacji umowy.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E761FD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61FD">
              <w:rPr>
                <w:rFonts w:ascii="Times New Roman" w:eastAsia="Times New Roman" w:hAnsi="Times New Roman" w:cs="Times New Roman"/>
                <w:lang w:eastAsia="ar-SA"/>
              </w:rPr>
              <w:t>Poduszki gazowe przednie dla I-go rzędu siedzeń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płaszczyznach: przód-tył, góra-dół oraz siedzenia dysponenta, co najmniej w płaszczyźnie: przód-tył. Regulacja pochylenia oparć siedzeń I-go rzędu re</w:t>
            </w:r>
            <w:bookmarkStart w:id="0" w:name="_GoBack"/>
            <w:bookmarkEnd w:id="0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alizowana manualnie (z wykorzystaniem np. uchwytu, pokrętła) lub automatycznie.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Radio samochodowe fabryczne wyposażone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w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bluetooth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, zestaw głośnomówiący oraz instalację głośnikową.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pierwszej pomocy (apteczka R0 wraz ze spisem wyposażenia).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025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klucz umożliwiający odłączenie biegunów akumulatora.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</w:tbl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*właściwe zaznaczyć</w:t>
      </w:r>
    </w:p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**zgodnie z nazewnictwem pojazdu</w:t>
      </w:r>
    </w:p>
    <w:p w:rsidR="00D135C8" w:rsidRPr="00455B59" w:rsidRDefault="00D135C8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pozostałe wyposażenie jest zgodne z wymaganiami zawartymi w specyfikacji technicznej pojazdu.</w:t>
      </w: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stacje obsługi przeznaczone do świadczenia usług przeglądów okresowych w ramach gwarancji znajdują się na terenie województwa mazowieckiego pod wymienionymi poniżej adresami: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………………………………………………………………………………………….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Osoba odpowiedzialna za realizację przedmiotu zamówienia: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nr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E71615" w:rsidRPr="00455B59" w:rsidRDefault="00E71615" w:rsidP="00455B59">
      <w:pPr>
        <w:pStyle w:val="FR1"/>
        <w:numPr>
          <w:ilvl w:val="0"/>
          <w:numId w:val="36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E71615" w:rsidRPr="00455B59" w:rsidRDefault="00E71615" w:rsidP="00E7161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Zakup i dostawa nieoznakowanego pojazdu typu KOMBIVAN – ilość 4szt.</w:t>
      </w:r>
    </w:p>
    <w:p w:rsid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oświadczam, że zaoferowane przeze mnie pojazdy: </w:t>
      </w:r>
    </w:p>
    <w:p w:rsidR="00E71615" w:rsidRPr="00455B59" w:rsidRDefault="00E71615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71615" w:rsidRPr="00455B59" w:rsidRDefault="00E71615" w:rsidP="00E71615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E71615" w:rsidRPr="00455B59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E71615" w:rsidRP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lastRenderedPageBreak/>
        <w:t>Pojazd musi być objęty gwarancją z minimalnym limitem przebiegu 100 000 kilometrów na okres:</w:t>
      </w:r>
    </w:p>
    <w:tbl>
      <w:tblPr>
        <w:tblW w:w="96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455B59" w:rsidRPr="00455B59" w:rsidTr="00455B59">
        <w:trPr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Okres gwarancji -  oferta Wykonawcy w pełnych miesiącach*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powłokę lakierniczą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perforację elementów nadwozia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60 miesięcy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</w:tbl>
    <w:p w:rsid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**zgodnie z nazewnictwem pojazdu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329" w:rsidRPr="00455B59" w:rsidRDefault="002C132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55B59">
        <w:rPr>
          <w:rFonts w:ascii="Times New Roman" w:eastAsia="Times New Roman" w:hAnsi="Times New Roman" w:cs="Times New Roman"/>
          <w:lang w:eastAsia="pl-PL"/>
        </w:rPr>
        <w:t>(wypełni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pl-PL"/>
        </w:rPr>
        <w:t>je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1329" w:rsidRPr="00455B5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55B5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55B5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B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55B59">
        <w:rPr>
          <w:rFonts w:ascii="Times New Roman" w:eastAsia="TimesNewRoman" w:hAnsi="Times New Roman" w:cs="Times New Roman"/>
          <w:lang w:eastAsia="zh-CN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55B59">
        <w:rPr>
          <w:rFonts w:ascii="Times New Roman" w:eastAsia="TimesNewRoman" w:hAnsi="Times New Roman" w:cs="Times New Roman"/>
          <w:lang w:eastAsia="zh-CN"/>
        </w:rPr>
        <w:t>ą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55B59">
        <w:rPr>
          <w:rFonts w:ascii="Times New Roman" w:eastAsia="TimesNewRoman" w:hAnsi="Times New Roman" w:cs="Times New Roman"/>
          <w:lang w:eastAsia="zh-CN"/>
        </w:rPr>
        <w:t>ęś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55B5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zh-CN"/>
        </w:rPr>
        <w:t>je</w:t>
      </w:r>
      <w:r w:rsidRPr="00455B59">
        <w:rPr>
          <w:rFonts w:ascii="Times New Roman" w:eastAsia="TimesNewRoman" w:hAnsi="Times New Roman" w:cs="Times New Roman"/>
          <w:lang w:eastAsia="zh-CN"/>
        </w:rPr>
        <w:t>ś</w:t>
      </w:r>
      <w:r w:rsidRPr="00455B59">
        <w:rPr>
          <w:rFonts w:ascii="Times New Roman" w:eastAsia="Times New Roman" w:hAnsi="Times New Roman" w:cs="Times New Roman"/>
          <w:lang w:eastAsia="zh-CN"/>
        </w:rPr>
        <w:t>li dotyczy)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55B5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Pr="00455B59" w:rsidRDefault="002C1329" w:rsidP="002C132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lastRenderedPageBreak/>
        <w:t>OŚWIADCZAMY</w:t>
      </w:r>
      <w:r w:rsidRPr="00455B5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55B59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55B59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55B59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55B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55B59">
        <w:rPr>
          <w:rFonts w:ascii="Times New Roman" w:hAnsi="Times New Roman" w:cs="Times New Roman"/>
          <w:bCs/>
          <w:color w:val="0070C0"/>
        </w:rPr>
        <w:t xml:space="preserve"> </w:t>
      </w:r>
      <w:r w:rsidRPr="00455B5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 xml:space="preserve">że wypełniam obowiązki informacyjne przewidziane w art. 13 </w:t>
      </w:r>
      <w:r w:rsidRPr="00455B59">
        <w:rPr>
          <w:rFonts w:ascii="Times New Roman" w:hAnsi="Times New Roman" w:cs="Times New Roman"/>
        </w:rPr>
        <w:br/>
        <w:t>lub art. 14 RODO</w:t>
      </w:r>
      <w:r w:rsidRPr="00455B59">
        <w:rPr>
          <w:rFonts w:ascii="Times New Roman" w:hAnsi="Times New Roman" w:cs="Times New Roman"/>
          <w:vertAlign w:val="superscript"/>
        </w:rPr>
        <w:t xml:space="preserve">2 </w:t>
      </w:r>
      <w:r w:rsidRPr="00455B59">
        <w:rPr>
          <w:rFonts w:ascii="Times New Roman" w:hAnsi="Times New Roman" w:cs="Times New Roman"/>
        </w:rPr>
        <w:t xml:space="preserve">wobec osób fizycznych, od których dane osobowe bezpośrednio </w:t>
      </w:r>
      <w:r w:rsidRPr="00455B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55B59">
        <w:rPr>
          <w:rFonts w:ascii="Times New Roman" w:hAnsi="Times New Roman" w:cs="Times New Roman"/>
        </w:rPr>
        <w:br/>
        <w:t>w niniejszym postępowaniu</w:t>
      </w:r>
      <w:r w:rsidRPr="00455B59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55B59" w:rsidRDefault="002C1329" w:rsidP="002C132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55B5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55B5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 xml:space="preserve">Składamy ofertę na </w:t>
      </w:r>
      <w:r w:rsidRPr="00455B59">
        <w:rPr>
          <w:rFonts w:ascii="Times New Roman" w:hAnsi="Times New Roman" w:cs="Times New Roman"/>
          <w:bCs/>
        </w:rPr>
        <w:t>...</w:t>
      </w:r>
      <w:r w:rsidRPr="00455B59">
        <w:rPr>
          <w:rFonts w:ascii="Times New Roman" w:hAnsi="Times New Roman" w:cs="Times New Roman"/>
        </w:rPr>
        <w:t xml:space="preserve">……… </w:t>
      </w:r>
      <w:r w:rsidRPr="00455B59">
        <w:rPr>
          <w:rFonts w:ascii="Times New Roman" w:hAnsi="Times New Roman" w:cs="Times New Roman"/>
          <w:b/>
          <w:bCs/>
        </w:rPr>
        <w:t>stronach</w:t>
      </w:r>
      <w:r w:rsidRPr="00455B59">
        <w:rPr>
          <w:rFonts w:ascii="Times New Roman" w:hAnsi="Times New Roman" w:cs="Times New Roman"/>
        </w:rPr>
        <w:t>.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  <w:r w:rsidRPr="00455B59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55B59" w:rsidRDefault="0058789F" w:rsidP="0058789F">
      <w:pPr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55B59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</w:rPr>
        <w:br/>
        <w:t>i przekazany zamawiającemu wraz z dokumentem (</w:t>
      </w:r>
      <w:proofErr w:type="spellStart"/>
      <w:r w:rsidRPr="00455B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55B5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55B59" w:rsidRDefault="0058789F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C1329" w:rsidRPr="00455B59" w:rsidRDefault="002C1329" w:rsidP="002C132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374D" w:rsidRPr="00455B59" w:rsidRDefault="009D374D">
      <w:pPr>
        <w:rPr>
          <w:rFonts w:ascii="Times New Roman" w:hAnsi="Times New Roman" w:cs="Times New Roman"/>
        </w:rPr>
      </w:pPr>
    </w:p>
    <w:sectPr w:rsidR="009D374D" w:rsidRPr="004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0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3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7"/>
  </w:num>
  <w:num w:numId="5">
    <w:abstractNumId w:val="17"/>
  </w:num>
  <w:num w:numId="6">
    <w:abstractNumId w:val="29"/>
  </w:num>
  <w:num w:numId="7">
    <w:abstractNumId w:val="2"/>
  </w:num>
  <w:num w:numId="8">
    <w:abstractNumId w:val="18"/>
  </w:num>
  <w:num w:numId="9">
    <w:abstractNumId w:val="32"/>
  </w:num>
  <w:num w:numId="10">
    <w:abstractNumId w:val="16"/>
  </w:num>
  <w:num w:numId="11">
    <w:abstractNumId w:val="33"/>
  </w:num>
  <w:num w:numId="12">
    <w:abstractNumId w:val="23"/>
  </w:num>
  <w:num w:numId="13">
    <w:abstractNumId w:val="7"/>
  </w:num>
  <w:num w:numId="14">
    <w:abstractNumId w:val="36"/>
  </w:num>
  <w:num w:numId="15">
    <w:abstractNumId w:val="5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35"/>
  </w:num>
  <w:num w:numId="21">
    <w:abstractNumId w:val="20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28"/>
  </w:num>
  <w:num w:numId="27">
    <w:abstractNumId w:val="25"/>
  </w:num>
  <w:num w:numId="28">
    <w:abstractNumId w:val="8"/>
  </w:num>
  <w:num w:numId="29">
    <w:abstractNumId w:val="26"/>
  </w:num>
  <w:num w:numId="30">
    <w:abstractNumId w:val="31"/>
  </w:num>
  <w:num w:numId="31">
    <w:abstractNumId w:val="24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34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2C1329"/>
    <w:rsid w:val="00455B59"/>
    <w:rsid w:val="00522657"/>
    <w:rsid w:val="00555AC1"/>
    <w:rsid w:val="0058789F"/>
    <w:rsid w:val="009D374D"/>
    <w:rsid w:val="00BD43D9"/>
    <w:rsid w:val="00C27540"/>
    <w:rsid w:val="00C578D1"/>
    <w:rsid w:val="00D135C8"/>
    <w:rsid w:val="00DD61C4"/>
    <w:rsid w:val="00E63D9E"/>
    <w:rsid w:val="00E71615"/>
    <w:rsid w:val="00E761FD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6479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16</cp:revision>
  <cp:lastPrinted>2022-11-23T09:48:00Z</cp:lastPrinted>
  <dcterms:created xsi:type="dcterms:W3CDTF">2022-11-16T12:26:00Z</dcterms:created>
  <dcterms:modified xsi:type="dcterms:W3CDTF">2022-11-23T09:48:00Z</dcterms:modified>
</cp:coreProperties>
</file>