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>CZĘŚĆ I</w:t>
      </w:r>
      <w:r w:rsidR="00362665">
        <w:rPr>
          <w:rFonts w:ascii="Times New Roman" w:hAnsi="Times New Roman"/>
          <w:b/>
          <w:sz w:val="24"/>
          <w:szCs w:val="24"/>
        </w:rPr>
        <w:t>I</w:t>
      </w:r>
      <w:r w:rsidR="000219A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19A6">
        <w:rPr>
          <w:rFonts w:ascii="Times New Roman" w:hAnsi="Times New Roman"/>
          <w:b/>
          <w:sz w:val="24"/>
          <w:szCs w:val="24"/>
        </w:rPr>
        <w:t>Metrologia i normalizacja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0219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57600C">
            <w:pPr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laboratoryjne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 części  I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0219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514D41"/>
    <w:rsid w:val="00750D3C"/>
    <w:rsid w:val="008D1BA7"/>
    <w:rsid w:val="00B0655A"/>
    <w:rsid w:val="00B14E05"/>
    <w:rsid w:val="00CB43A7"/>
    <w:rsid w:val="00D85729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2018-07-16T12:50:00Z</dcterms:created>
  <dcterms:modified xsi:type="dcterms:W3CDTF">2018-07-16T12:51:00Z</dcterms:modified>
</cp:coreProperties>
</file>