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E8" w:rsidRDefault="009030E8" w:rsidP="009030E8">
      <w:pPr>
        <w:jc w:val="right"/>
        <w:rPr>
          <w:rFonts w:ascii="Times New Roman" w:hAnsi="Times New Roman" w:cs="Times New Roman"/>
          <w:sz w:val="24"/>
          <w:szCs w:val="24"/>
        </w:rPr>
      </w:pPr>
      <w:r w:rsidRPr="009030E8">
        <w:rPr>
          <w:rFonts w:ascii="Times New Roman" w:hAnsi="Times New Roman" w:cs="Times New Roman"/>
          <w:sz w:val="24"/>
          <w:szCs w:val="24"/>
        </w:rPr>
        <w:t>ZP/9/21</w:t>
      </w:r>
    </w:p>
    <w:p w:rsidR="009030E8" w:rsidRPr="009030E8" w:rsidRDefault="009030E8" w:rsidP="00903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E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030E8" w:rsidRPr="009030E8" w:rsidRDefault="009030E8" w:rsidP="00903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E8">
        <w:rPr>
          <w:rFonts w:ascii="Times New Roman" w:hAnsi="Times New Roman" w:cs="Times New Roman"/>
          <w:b/>
          <w:sz w:val="24"/>
          <w:szCs w:val="24"/>
        </w:rPr>
        <w:t>Dostawa kolumny laparoskopowej z torem wizyjnym do Szpitala Średzkiego Serca Jezusowego spółka z ograniczoną odpowiedzialnością</w:t>
      </w:r>
    </w:p>
    <w:p w:rsidR="009030E8" w:rsidRDefault="009030E8" w:rsidP="00903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0E8" w:rsidRPr="00304205" w:rsidRDefault="00304205" w:rsidP="00304205">
      <w:pPr>
        <w:rPr>
          <w:rFonts w:ascii="Times New Roman" w:hAnsi="Times New Roman" w:cs="Times New Roman"/>
          <w:sz w:val="24"/>
          <w:szCs w:val="24"/>
        </w:rPr>
      </w:pPr>
      <w:r w:rsidRPr="00304205">
        <w:rPr>
          <w:rFonts w:ascii="Times New Roman" w:hAnsi="Times New Roman" w:cs="Times New Roman"/>
          <w:sz w:val="24"/>
          <w:szCs w:val="24"/>
        </w:rPr>
        <w:t>Elementy kolumny wraz z parametrami technicznymi</w:t>
      </w:r>
      <w:r w:rsidR="009030E8" w:rsidRPr="00304205">
        <w:rPr>
          <w:rFonts w:ascii="Times New Roman" w:hAnsi="Times New Roman" w:cs="Times New Roman"/>
          <w:sz w:val="24"/>
          <w:szCs w:val="24"/>
        </w:rPr>
        <w:t>:</w:t>
      </w:r>
    </w:p>
    <w:p w:rsidR="009030E8" w:rsidRPr="009030E8" w:rsidRDefault="009030E8" w:rsidP="003042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3A0219" w:rsidRPr="009030E8" w:rsidTr="003A0219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19" w:rsidRPr="003A0219" w:rsidRDefault="003A0219" w:rsidP="003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A0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3A0219" w:rsidRDefault="003A0219" w:rsidP="003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A0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Parametr oceniany</w:t>
            </w: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Endoskopowa kamera 4K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Głowica kamery wyposażona w trzy przetworniki 1/3" wysokiej rozdzielczości, technologia CMOS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Wodoszczelna głowica kamery z możliwością obsługi 10 funkcji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 ekran dotykowy umożliwiający dostęp do różnych menu (regulacji stopnia jasności, zoomu i balansu bieli)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Migawka automatyczna: od 1/60 do 1/22 478 sekundy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kamery 4K UHD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skanujący</w:t>
            </w: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 poziomie 135,00 kHz, w pionie: 60kHz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Elektroniczne doświetlenie obrazu: regulacja 8-stopniowa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Wbudowane programy specjalistyczne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9: artroskopia, cystoskopia, ENT/czaszka, endoskop giętki, histeroskopia, laparoskopia, laser, mikroskop, standard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Endoskopowa wizualizacja w bliskiej podczerwieni, do użycia z ICG (zieleń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indocjaninowa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bezpośrednia współpraca ze źródłem światła LED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Wyświetlanie obrazu w trybie kontrastowym (obraz z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fuoryzującym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środkiem ICG</w:t>
            </w: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oznaczonym kolorem białym; pozostałe obszary obrazu są ciemne)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Wyświetlanie obrazu w trybie świata  białego z fluoryzującym środkiem ICG oznaczonym kolorem zielonym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światłowodów emitujących światło podczerwone, podświetlające drogi moczowe, bezpośrednia współpraca ze źródłem światła LED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umożliwiająca automatyczną regulację ustawień światła w celu uzyskania optymalnej wydajności wiązki światła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Konsola kamery wyposażona w 2 wyjścia cyfrowe (rozdzielczość 1080p (HDTV), 4K UHD (3840 x 2160))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Wyjścia cyfrowe HDMI 2.0  – 2szt.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integracji kamery z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LEDowym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źródłem światła umożliwiające korzystanie z programów dodatkowych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Menu urządzenia w języku polskim wyświetlane na panelu sterującym urządzenia.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sterowania rejestratora cyfrowego i źródła światła z głowicy kamery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pracy w systemie zintegrowanej sali operacyjnej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głowic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kamery - 0,5 kg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– 1 pkt,</w:t>
            </w:r>
          </w:p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– 0 pkt.</w:t>
            </w: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konsoli kamery - 5,44 kg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– 1 pkt.</w:t>
            </w:r>
          </w:p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– 0 pkt.</w:t>
            </w: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Przewód głowicy kamery - długość 3,05m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– 1 pkt.</w:t>
            </w:r>
          </w:p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– 0 pkt. </w:t>
            </w:r>
          </w:p>
        </w:tc>
      </w:tr>
      <w:tr w:rsidR="003A0219" w:rsidRPr="009030E8" w:rsidTr="003A0219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Źródło światła LED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12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Urządzenie wytwarzające światło umożliwiające oświetlenie pola operacyjnego z użyciem następujących trybów: 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Światło widzialne (tryb White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Light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(Światło białe)), 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Fluorescencja w bliskiej podczerwieni oraz 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Transiluminacja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bliskiej podczerwieni 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Obsługa trzech różnych trybów przy użyciu zieleni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indocyjaninowej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ICG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Urządzanie posiadające laser emitujący fale o długości 808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nm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laser emitujący fale o długości 830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nm</w:t>
            </w:r>
            <w:proofErr w:type="spellEnd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Panel sterujący urządzenia – kolorowy, dotykowy wyświetlacz LCD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wyposażone w funkcję automatycznego przejścia w stan czuwania w przypadku odłączenia optyki  od światłowodu, zabezpieczającą przed poparzeniem ciała pacjenta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Żywotność LED min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60 000 godzin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Wyświetlacz LCD - wskazuje tryb pracy, natężenie światła w zakresie 0-100%, kody błędów.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Tryb gotowości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standby</w:t>
            </w:r>
            <w:proofErr w:type="spellEnd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Menu urządzenia w języku polskim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Wskaźnik na wyświetlaczu potwierdzający aktywację trybu automatycznie dostosowującego ustawienia źródła światła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Uniwersalne przyłącze światłowodów różnych producentów bez stosowania dodatkowych adapterów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podłączenia dwóch wrzecion światłowodowych  umożliwiających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śródooperacyjne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podświetlanie moczowodów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TAK- 1 pkt.</w:t>
            </w:r>
          </w:p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– 0 pkt. </w:t>
            </w: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włączenia i wyłączenia źródła światła z poziomu głowicy kamery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pracy w systemie zintegrowanej sali operacyjnej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Klasyfikacja urządzenia laserowego zgodnie z normą IEC 60825-1:2014,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laserowe klasy 1M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Wskaźnik na wyświetlaczu potwierdzający aktywację lasera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światłowodów od 2 mm do 6,5mm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219" w:rsidRPr="009030E8" w:rsidRDefault="003A0219" w:rsidP="0030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Wymiary: 31,8 cm szer., x12,1 cm wys.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42,7 cm dł.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747" w:rsidRDefault="001B3747" w:rsidP="001B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– 1 pkt.</w:t>
            </w:r>
          </w:p>
          <w:p w:rsidR="003A0219" w:rsidRPr="009030E8" w:rsidRDefault="001B3747" w:rsidP="001B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– 0 pkt.</w:t>
            </w:r>
            <w:bookmarkStart w:id="0" w:name="_GoBack"/>
            <w:bookmarkEnd w:id="0"/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 7,3 kg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747" w:rsidRDefault="001B3747" w:rsidP="001B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– 1 pkt.</w:t>
            </w:r>
          </w:p>
          <w:p w:rsidR="003A0219" w:rsidRPr="009030E8" w:rsidRDefault="001B3747" w:rsidP="001B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– 0 pkt.</w:t>
            </w: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Medyczny rejestrator cyfrowy/System zarządzania danymi - 1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otykowy panel (8-calowy, kolorowy wyświetlacz TFT LCD) zastępujący klawiaturę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Wyposażony w porty USB 3.0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nagrywania dwóch strumieni wideo w trybie zsynchronizowanym lub niezależnym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ersonalizacja zdjęć i sekwencji wideo: możliwość wpisywania danych pacjenta i adnotacji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ożliwość utworzenia wielu kont użytkowników łatwo rozpoznawalnych dzięki wgranym zdjęciom / ikonom na ekranie głównym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spółpraca z drukarką: możliwość ustawienia drukarki według własnych preferencji z poziomu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rejestartora</w:t>
            </w:r>
            <w:proofErr w:type="spellEnd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ista bezpieczeństwa chirurgicznego z możliwością konfiguracji przez użytkownika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apis dźwięku i komentarzy głosowych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Wyświetlanie na ekranie statusu wybranych urządzeń chirurgicznych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Obraz: rozdzielczość:   XGA: 1024 × 768; SXGA: 1280 × 1024;  High Definition 720: 1280 × 720; High Definition 1080: 1920 × 1080; Ultra High Definition 4K: 3840 × 2160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– 1 pkt.</w:t>
            </w:r>
          </w:p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– 0 pkt.</w:t>
            </w:r>
          </w:p>
        </w:tc>
      </w:tr>
      <w:tr w:rsidR="003A0219" w:rsidRPr="009030E8" w:rsidTr="003A0219">
        <w:trPr>
          <w:trHeight w:val="9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Formaty zapisu zdjęć: Bitmap (BMP), Joint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Photographic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Experts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(JPG, JPEG), JPEG2000,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Tagged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Image File Format (TIFF),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Truevision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Targa (TGA),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Portable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Network Graphics (PNG)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3A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– 1 pkt.</w:t>
            </w:r>
          </w:p>
          <w:p w:rsidR="003A0219" w:rsidRPr="009030E8" w:rsidRDefault="003A0219" w:rsidP="003A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– 0 pkt.</w:t>
            </w:r>
          </w:p>
        </w:tc>
      </w:tr>
      <w:tr w:rsidR="003A0219" w:rsidRPr="009030E8" w:rsidTr="003A0219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Dźwięk: Wejście/wyjście:  Liniowe wejście/wyjście stereo i zestawu słuchawkowego1 wyjście głośników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Wejścia wideo: 1x DVI, 1xRGBHV(poprzez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złacze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DVI-I), 3xHDMI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Wyjścia wideo: 1xRGBHV(poprzez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złacze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DVI-I), 3xHDMI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9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Formaty zapisu video: MPEG2: 720 × 480, 720 x 576; H.264: (NTSC) 720 × 480, (PAL) 720 × 576, (XGA) 1024 × 768, (SXGA) 1280 × 1024, (720p) 1280 × 720, (1080p) 1920 × 1080, (UHD) 3840 × 2160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7" w:rsidRDefault="001B3747" w:rsidP="001B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– 1 pkt.</w:t>
            </w:r>
          </w:p>
          <w:p w:rsidR="003A0219" w:rsidRPr="009030E8" w:rsidRDefault="001B3747" w:rsidP="001B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– 0 pkt.</w:t>
            </w:r>
          </w:p>
        </w:tc>
      </w:tr>
      <w:tr w:rsidR="003A0219" w:rsidRPr="009030E8" w:rsidTr="003A0219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Opcje zapisu obrazów i sekwencji wideo: wbudowany dysk twardy (zapis automatyczny), pamięć USB, iPad, lokalizacje sieciowe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Nagrywanie w rozdzielczości UHD 4K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uruchomienia streamingu: przesyłanie obrazu wideo poprzez sieć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przeglądania plików wideo oraz zdjęć na wbudowanym ekranie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Klasa wodoszczelności IPX0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Wbudowany twardy dysk o pojemności 1Tb (zapis automatyczny)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Obsługa sieci: Ethernet 10/100/1000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/s,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Wbudowany moduł wifi - obsługa 2,4GHz oraz 5GHz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w szpitalnej sieci komputerowej: zapis danych na serwerze FTP lub DICOM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wysyłania plików video oraz zdjęć do serwera plików w celu przechowywania długoterminowego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 całkowita: 8,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8kg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– 1 pkt.</w:t>
            </w:r>
          </w:p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– 0 pkt. </w:t>
            </w: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Moduł sterowania urządzenia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Medyczny monitor 4K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obrazu min.4096 x 2160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Matryca monitora LCD z podświetleniem LED - typ panelu wyświetlacza LCD: IPS-Pro TFT AM LCD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Przekątna ekranu min. 32”, ekran panoramiczny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Rozmiar plamki: 0,1704 x 0,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1704 mm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Jasność: 525 cd/m² standard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Kontrast: 1500:1 standard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Prekonfigurowane ustawienia dla różnych specjalności chirurgicznych (temperatura barwowa) 10 specjalności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Wbudowane efekty cyfrowe typu PIP (obraz w obrazie), POP (obraz na obrazie), PBP (obraz przy obrazie), zatrzymanie obrazu, powiększenie/dopasowanie obrazu  - 5 efektów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Dwustronna powłoka antyrefleksyjna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Twardość zintegrowanej z wyświetlaczem warstwy ochronnej: 3H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wprowadzania niestandardowej nazwy użytkownika wyświetlanej podczas uruchamiania monitora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Sterowanie monitorem poprzez pokrętło i 4 przyciski na panelu przednim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Wejścia.:(x1) DVI-I; (x1) HDMI 1.4; (x1) HDMI 2.0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obrazu.: DVI do 1920x1080p - 60hz; HDMI 1.4 do 1920x1080p - 60Hz; HDMI 2.0 do 4096 x 2160p - 60Hz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Wyświetlana ilość kolorów – 1073 milionów (10–bit)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regulacji kolorów: czerwony, zielony, niebieski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Regulacja ustawień obrazu: jasność, kontrast, faza, nasycenie, ostrość obrazu, ostrość video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zatrzymania obrazu (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freeze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frame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Zużycie energii: 85W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 756,7 x 453,07 x 77,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2mm (szerokość × wysokość × głębokość)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– 1 pkt.</w:t>
            </w:r>
          </w:p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– 0 pkt.</w:t>
            </w: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Otwory montażowe standard VESA – 100mm×100mm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Zasilanie: AC 100-240V 50/60Hz 2.5A - 1.5A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Waga netto monitora: 10,5 kg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– 1 pkt.</w:t>
            </w:r>
          </w:p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NIE – 0 pkt. </w:t>
            </w: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Osłona monitora wykonana z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przeroczystego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plastiku ochraniająca matrycę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Wózek aparaturowy z atestem medycznym- 1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Jezdny z uchwytami do przemieszczania i blokadą kół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3 półki z regulowaną wysokością, szerokość półki max 45 cm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Listwa zasilająca z min. 10 gniazdami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komplecie/ zestawie: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Uchwyt do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swiatłowodu</w:t>
            </w:r>
            <w:proofErr w:type="spellEnd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na głowicę kamery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Wieszak na worki z płynem do irygacji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umieszczenia okablowania w ramie wózka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podłączenia dodatkowych urządzeń elektrycznych bez konieczności używania dodatkowych przedłużaczy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Ramię wózka umieszczone centralnie min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600mm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Transformator izolacyjny wbudowany w ramę wózka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butli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na pompę laparoskopową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Optyka śr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10mm, 30 stopni - 1szt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10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Umożliwiająca  wizualizację z użyciem: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Światła widzialnego białego,</w:t>
            </w:r>
          </w:p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Fluorescencji w bliskiej podczerwieni </w:t>
            </w:r>
          </w:p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Transiluminacji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bliskiej pod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czerwieni ; </w:t>
            </w:r>
          </w:p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Wymiary optyki:  śr.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10.00 mm ; Kąt patrzenia optyki 30 stopni, długość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64725D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zakresie wymiarów optyki: </w:t>
            </w:r>
            <w:r w:rsidR="003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 – 1 pkt.</w:t>
            </w:r>
          </w:p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– 0 pkt.</w:t>
            </w: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Kontener do sterylizacji wykonany z tworzywa sztucznego  na dwie optyki - 2 szt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Światłowód umożliwiający wizualizację z użyciem ICG - 2 szt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Optyka śr. </w:t>
            </w:r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10mm, 30 stopni - 1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12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Optyka laparoskopowa wysokiej rozdzielczości,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autoklawowalna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wyposażona w 3 adaptery do podłączenia światłowodów innych producentów, spajana laserowo bez użycia kleju,</w:t>
            </w:r>
          </w:p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Wymiary: 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średnica 10mm, kąt 30 stopni, długość robocza 33 cm . W komplecie kaseta sterylizacyjna z tworzywa sztucznego na dwie optyki oraz światłowód w przeźroczystej osłonie 5mm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3m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Insuflator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CO2 – 1 szt.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Regulacja przepływu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insuflacji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minimum 50l/min, rozdzielczości regulacji - 0,1 l/min.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 regulacji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cisnienia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insuflacji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min. 1-30mmHg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podgrzewania gazu CO2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odsysania służąca do usuwania dymów chirurgicznych z jamy ciała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Funkcja nawilżania gazu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insuflacyjnego</w:t>
            </w:r>
            <w:proofErr w:type="spellEnd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Czytelny wyświetlacz LCD prezentujący wartości numeryczne parametrów zadanych, aktualnych oraz ilość zużytego gazu.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Ciekłokrystaliczny, kolorowy ekran dotykowy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Funkcja automatycznej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desuflacji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możliowść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ustawienia progu ciśnienia i czasu uruchomienia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desuflacji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zwiększająca bezpieczeństwo pracy.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zasialania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gazem z butli oraz z sieci centralnej CO2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Sześć trybów pracy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insuflatora</w:t>
            </w:r>
            <w:proofErr w:type="spellEnd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Menu urządzenia w języku polskim wyświetlane na panelu sterującym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Ostrzegawcze komunikaty dźwiękowe oraz tekstowe – „zatkanie”, „zanieczyszczenie”, „nadciśnienie”, „system odpowietrzający aktywny”, „ogrzewanie gazu”, „uszkodzenie drenu”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Maksymalne ciśnienie wyjściowe: 75 mm Hg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Maksymalne ciśnienie dopływu gazu: 80 bar/1160 PSI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Minimalne ciśnienie dopływu gazu (butla gazowa): 15 bar/218 PSI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Minimalne ciśnienie dopływu gazu (gaz z instalacji): 3,4 bar/50 PSI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 pomiarowy dopływu gazu: 0-50 bar/0-725 PSI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Max. pobór mocy: 150 VA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Max. pobór prądu: 630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Masa: ok. 10 kg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Wysokociśnieniowy przewód łączący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insuflator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butlą – długość 1,5m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Jednorazowy dren do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insuflatora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oddymianiem (10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opakowaniu zbiorczym) - 2 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Dreny jednorazowe z wbudowanym filtrem do CO2 o skuteczności filtrowania ULPA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Automatyczne rozpoznawanie rodzaju drenu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Pompa  irygacyjna  przeznaczona do zastosowania w laparoskopii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pompy w 3 trybach przepływu: niskim (2 l/min), średnim (3 l/min) i wysokim (4 l/min)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Dedykowane kasety-dreny do pompy szybko montowane i rozpoznawane przez pompę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wł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ączenie systemu, gdy kaseta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zostanie włożona, i wyłączy się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 jej wyjęciu z pompy.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zasilanie- akumulator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zastosowania drenów z jednorazową końcówką ssąco-płuczącą 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wielorazową końcówką ssąco –pł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uczącą.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Koń</w:t>
            </w: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cówki wielorazowe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ssąco/płucząca 5mm  kompatybilna z drenami do pompy - 3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Końcówka ssąco/płucząca 10mm/32cm, łopatka do kamienia, wielorazowa,  kompatybilna z drenami do pompy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ssąco/płucząca 5mm/32cm z możliwością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elektorkoagulacji</w:t>
            </w:r>
            <w:proofErr w:type="spellEnd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z końcówką "L" - 2 </w:t>
            </w:r>
            <w:proofErr w:type="spellStart"/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ssąco/płucząca 5mm/32cm - igła aspiracyjna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219" w:rsidRPr="009030E8" w:rsidTr="003A0219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Dreny jednorazowe do pompy pakowane po 6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903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końcówką roboczą - 3 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19" w:rsidRPr="009030E8" w:rsidRDefault="003A0219" w:rsidP="0090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355A" w:rsidRDefault="001E355A">
      <w:pPr>
        <w:rPr>
          <w:rFonts w:ascii="Times New Roman" w:hAnsi="Times New Roman" w:cs="Times New Roman"/>
          <w:sz w:val="24"/>
          <w:szCs w:val="24"/>
        </w:rPr>
      </w:pPr>
    </w:p>
    <w:p w:rsidR="0064725D" w:rsidRDefault="0064725D">
      <w:pPr>
        <w:rPr>
          <w:rFonts w:ascii="Times New Roman" w:hAnsi="Times New Roman" w:cs="Times New Roman"/>
          <w:sz w:val="24"/>
          <w:szCs w:val="24"/>
        </w:rPr>
      </w:pPr>
    </w:p>
    <w:p w:rsidR="0064725D" w:rsidRPr="009030E8" w:rsidRDefault="0064725D" w:rsidP="009E6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bezwzględnie musi zaoferować przedmiot zamówienia o parametrach, które nie są oceniane w ramach kryteriów oceny ofert.  W przypadku parametrów podlegających ocenie Wykonawca może zaoferować inne parametry a</w:t>
      </w:r>
      <w:r w:rsidR="009E6779">
        <w:rPr>
          <w:rFonts w:ascii="Times New Roman" w:hAnsi="Times New Roman" w:cs="Times New Roman"/>
          <w:sz w:val="24"/>
          <w:szCs w:val="24"/>
        </w:rPr>
        <w:t xml:space="preserve">niżeli podane w tabeli – nie otrzyma natomiast z tego tytułu punktów. </w:t>
      </w:r>
    </w:p>
    <w:sectPr w:rsidR="0064725D" w:rsidRPr="0090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05E37"/>
    <w:multiLevelType w:val="hybridMultilevel"/>
    <w:tmpl w:val="6A829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E8"/>
    <w:rsid w:val="001B3747"/>
    <w:rsid w:val="001E355A"/>
    <w:rsid w:val="00304205"/>
    <w:rsid w:val="003A0219"/>
    <w:rsid w:val="0064725D"/>
    <w:rsid w:val="009030E8"/>
    <w:rsid w:val="009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B564-43A0-49A4-B339-22A0DA4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3</cp:revision>
  <dcterms:created xsi:type="dcterms:W3CDTF">2021-08-01T12:22:00Z</dcterms:created>
  <dcterms:modified xsi:type="dcterms:W3CDTF">2021-08-02T09:45:00Z</dcterms:modified>
</cp:coreProperties>
</file>