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start="6372" w:end="0"/>
        <w:jc w:val="both"/>
        <w:rPr>
          <w:rFonts w:ascii="Titillium" w:hAnsi="Titillium"/>
          <w:color w:val="auto"/>
          <w:sz w:val="22"/>
          <w:szCs w:val="22"/>
        </w:rPr>
      </w:pPr>
      <w:r>
        <w:rPr>
          <w:rFonts w:eastAsia="Times New Roman" w:cs="Times New Roman" w:ascii="Titillium" w:hAnsi="Titillium"/>
          <w:color w:val="auto"/>
          <w:sz w:val="22"/>
          <w:szCs w:val="22"/>
        </w:rPr>
        <w:t xml:space="preserve">                 </w:t>
      </w:r>
      <w:r>
        <w:rPr>
          <w:rFonts w:ascii="Titillium" w:hAnsi="Titillium"/>
          <w:color w:val="auto"/>
          <w:sz w:val="22"/>
          <w:szCs w:val="22"/>
        </w:rPr>
        <w:t>Załącznik Nr 2</w:t>
      </w:r>
    </w:p>
    <w:p>
      <w:pPr>
        <w:pStyle w:val="Normal"/>
        <w:rPr>
          <w:rFonts w:ascii="Titillium" w:hAnsi="Titillium" w:eastAsia="Times New Roman" w:cs="Times New Roman"/>
          <w:i/>
          <w:i/>
          <w:iCs/>
          <w:color w:val="auto"/>
          <w:sz w:val="22"/>
          <w:szCs w:val="22"/>
        </w:rPr>
      </w:pPr>
      <w:r>
        <w:rPr>
          <w:rFonts w:eastAsia="Times New Roman" w:cs="Times New Roman" w:ascii="Titillium" w:hAnsi="Titillium"/>
          <w:i/>
          <w:iCs/>
          <w:color w:val="auto"/>
          <w:sz w:val="22"/>
          <w:szCs w:val="22"/>
        </w:rPr>
        <w:t>……………………………</w:t>
      </w:r>
    </w:p>
    <w:p>
      <w:pPr>
        <w:pStyle w:val="Normal"/>
        <w:rPr>
          <w:rFonts w:ascii="Titillium" w:hAnsi="Titillium" w:cs="Tms Rmn;Times New Roman"/>
          <w:color w:val="auto"/>
          <w:sz w:val="22"/>
          <w:szCs w:val="22"/>
        </w:rPr>
      </w:pPr>
      <w:r>
        <w:rPr>
          <w:rFonts w:cs="Tms Rmn;Times New Roman" w:ascii="Titillium" w:hAnsi="Titillium"/>
          <w:color w:val="auto"/>
          <w:sz w:val="22"/>
          <w:szCs w:val="22"/>
        </w:rPr>
        <w:t>(pieczęć Wykonawcy)</w:t>
      </w:r>
    </w:p>
    <w:p>
      <w:pPr>
        <w:pStyle w:val="Normal"/>
        <w:ind w:hanging="0" w:start="360" w:end="0"/>
        <w:jc w:val="center"/>
        <w:rPr>
          <w:rFonts w:ascii="Titillium" w:hAnsi="Titillium"/>
          <w:b/>
          <w:bCs/>
          <w:color w:val="auto"/>
          <w:sz w:val="22"/>
          <w:szCs w:val="22"/>
        </w:rPr>
      </w:pPr>
      <w:r>
        <w:rPr>
          <w:rFonts w:ascii="Titillium" w:hAnsi="Titillium"/>
          <w:b/>
          <w:bCs/>
          <w:color w:val="auto"/>
          <w:sz w:val="22"/>
          <w:szCs w:val="22"/>
        </w:rPr>
        <w:t>WYKAZ WYKONANYCH USŁUG</w:t>
      </w:r>
    </w:p>
    <w:p>
      <w:pPr>
        <w:pStyle w:val="Normal"/>
        <w:ind w:hanging="0" w:start="360" w:end="0"/>
        <w:jc w:val="center"/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/>
          <w:color w:val="auto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-27094" w:leader="none"/>
          <w:tab w:val="left" w:pos="279" w:leader="none"/>
        </w:tabs>
        <w:suppressAutoHyphens w:val="true"/>
        <w:kinsoku w:val="true"/>
        <w:overflowPunct w:val="true"/>
        <w:autoSpaceDE w:val="true"/>
        <w:bidi w:val="0"/>
        <w:spacing w:before="0" w:after="0"/>
        <w:ind w:hanging="0" w:start="0" w:end="0"/>
        <w:jc w:val="both"/>
        <w:rPr>
          <w:rFonts w:ascii="Titillium" w:hAnsi="Titillium"/>
          <w:i w:val="false"/>
          <w:i w:val="false"/>
          <w:iCs w:val="false"/>
          <w:color w:val="auto"/>
          <w:sz w:val="22"/>
          <w:szCs w:val="22"/>
        </w:rPr>
      </w:pPr>
      <w:r>
        <w:rPr>
          <w:rStyle w:val="Domylnaczcionkaakapitu"/>
          <w:rFonts w:eastAsia="Times New Roman" w:cs="Times New Roman" w:ascii="Titillium" w:hAnsi="Titillium"/>
          <w:b w:val="false"/>
          <w:bCs/>
          <w:i w:val="false"/>
          <w:iCs w:val="false"/>
          <w:color w:val="000000"/>
          <w:kern w:val="2"/>
          <w:position w:val="0"/>
          <w:sz w:val="22"/>
          <w:sz w:val="22"/>
          <w:szCs w:val="22"/>
          <w:shd w:fill="auto" w:val="clear"/>
          <w:vertAlign w:val="baseline"/>
          <w:lang w:val="pl-PL" w:bidi="hi-IN"/>
        </w:rPr>
        <w:t>Zamawiający uzna warunek za spełniony, jeżeli Wykonawcy wykażą, iż wykonali należycie w okresie ostatnich 3 lat przed upływem terminu składania ofert, a jeżeli okres prowadzenia działalności jest krótszy - w tym okresie co najmniej 2 usługi polegające na opracowaniu programu funkcjonalno-użytkowego i/lub dokumentacji projektowej w zakresie budowy, przebudowy drogi wraz z kanalizacją deszczową o długości nie mniejszej niż 0,40 km.</w:t>
      </w:r>
    </w:p>
    <w:p>
      <w:pPr>
        <w:pStyle w:val="Normal"/>
        <w:spacing w:before="60" w:after="60"/>
        <w:ind w:hanging="0" w:start="142" w:end="0"/>
        <w:jc w:val="both"/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/>
          <w:color w:val="auto"/>
          <w:sz w:val="22"/>
          <w:szCs w:val="22"/>
        </w:rPr>
      </w:r>
    </w:p>
    <w:tbl>
      <w:tblPr>
        <w:tblW w:w="10202" w:type="dxa"/>
        <w:jc w:val="start"/>
        <w:tblInd w:w="-533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504"/>
        <w:gridCol w:w="4776"/>
        <w:gridCol w:w="1695"/>
        <w:gridCol w:w="1765"/>
        <w:gridCol w:w="1462"/>
      </w:tblGrid>
      <w:tr>
        <w:trPr>
          <w:trHeight w:val="815" w:hRule="atLeast"/>
        </w:trPr>
        <w:tc>
          <w:tcPr>
            <w:tcW w:w="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>Lp.</w:t>
            </w:r>
          </w:p>
        </w:tc>
        <w:tc>
          <w:tcPr>
            <w:tcW w:w="4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 xml:space="preserve">Przedmiot zamówienia (należy krótko scharakteryzować wykonane usługi, </w:t>
            </w:r>
          </w:p>
          <w:p>
            <w:pPr>
              <w:pStyle w:val="Normal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 xml:space="preserve">ze wskazaniem czy dotyczy </w:t>
            </w:r>
          </w:p>
          <w:p>
            <w:pPr>
              <w:pStyle w:val="Normal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 xml:space="preserve">to programu funkcjonalno - użytkowego </w:t>
            </w:r>
            <w:r>
              <w:rPr>
                <w:rFonts w:eastAsia="Lucida Sans Unicode" w:cs="Mangal" w:ascii="Titillium" w:hAnsi="Titillium"/>
                <w:bCs/>
                <w:i w:val="false"/>
                <w:iCs w:val="false"/>
                <w:color w:val="auto"/>
                <w:kern w:val="2"/>
                <w:sz w:val="22"/>
                <w:szCs w:val="22"/>
                <w:lang w:val="pl-PL" w:eastAsia="zh-CN" w:bidi="hi-IN"/>
              </w:rPr>
              <w:t>lub</w:t>
            </w: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 xml:space="preserve"> dokumentacji projektowej </w:t>
            </w:r>
            <w:r>
              <w:rPr>
                <w:rStyle w:val="Domylnaczcionkaakapitu"/>
                <w:rFonts w:eastAsia="Times New Roman" w:cs="Times New Roman" w:ascii="Titillium" w:hAnsi="Titillium"/>
                <w:b w:val="false"/>
                <w:bCs/>
                <w:i w:val="false"/>
                <w:iCs w:val="false"/>
                <w:color w:val="000000"/>
                <w:kern w:val="2"/>
                <w:position w:val="0"/>
                <w:sz w:val="22"/>
                <w:sz w:val="22"/>
                <w:szCs w:val="22"/>
                <w:shd w:fill="auto" w:val="clear"/>
                <w:vertAlign w:val="baseline"/>
                <w:lang w:val="pl-PL" w:bidi="hi-IN"/>
              </w:rPr>
              <w:t xml:space="preserve">w zakresie budowy, przebudowy drogi wraz z kanalizacją deszczową </w:t>
              <w:br/>
              <w:t>o długości nie mniejszej niż 0,40 km.</w:t>
            </w:r>
          </w:p>
          <w:p>
            <w:pPr>
              <w:pStyle w:val="Normal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 xml:space="preserve">Podmiot, </w:t>
            </w:r>
          </w:p>
          <w:p>
            <w:pPr>
              <w:pStyle w:val="Normal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>na rzecz którego usługi zostały wykonane</w:t>
            </w:r>
          </w:p>
          <w:p>
            <w:pPr>
              <w:pStyle w:val="Normal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0" w:start="110" w:end="0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>Wartość usług, które były wykonane</w:t>
            </w:r>
          </w:p>
          <w:p>
            <w:pPr>
              <w:pStyle w:val="Normal"/>
              <w:ind w:hanging="0" w:start="110" w:end="0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>brutto</w:t>
            </w:r>
          </w:p>
          <w:p>
            <w:pPr>
              <w:pStyle w:val="Normal"/>
              <w:ind w:hanging="0" w:start="110" w:end="0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>(fakultatywnie)</w:t>
            </w:r>
          </w:p>
        </w:tc>
        <w:tc>
          <w:tcPr>
            <w:tcW w:w="14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>Daty</w:t>
            </w:r>
          </w:p>
          <w:p>
            <w:pPr>
              <w:pStyle w:val="Normal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>Rozpoczęcie/</w:t>
            </w:r>
          </w:p>
          <w:p>
            <w:pPr>
              <w:pStyle w:val="Normal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  <w:t>zakończenie</w:t>
            </w:r>
          </w:p>
          <w:p>
            <w:pPr>
              <w:pStyle w:val="Normal"/>
              <w:jc w:val="center"/>
              <w:rPr>
                <w:rFonts w:ascii="Titillium" w:hAnsi="Titillium"/>
                <w:bCs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 w:val="false"/>
                <w:iCs w:val="false"/>
                <w:color w:val="auto"/>
                <w:sz w:val="22"/>
                <w:szCs w:val="22"/>
              </w:rPr>
            </w:r>
          </w:p>
        </w:tc>
      </w:tr>
      <w:tr>
        <w:trPr>
          <w:trHeight w:val="1594" w:hRule="atLeast"/>
        </w:trPr>
        <w:tc>
          <w:tcPr>
            <w:tcW w:w="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tillium" w:hAnsi="Titillium"/>
                <w:bCs/>
                <w:i/>
                <w:i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/>
                <w:color w:val="auto"/>
                <w:sz w:val="22"/>
                <w:szCs w:val="22"/>
              </w:rPr>
            </w:r>
          </w:p>
        </w:tc>
        <w:tc>
          <w:tcPr>
            <w:tcW w:w="4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tillium" w:hAnsi="Titillium"/>
                <w:bCs/>
                <w:i/>
                <w:i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bCs/>
                <w:i/>
                <w:i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bCs/>
                <w:i/>
                <w:i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bCs/>
                <w:i/>
                <w:i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bCs/>
                <w:i/>
                <w:i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bCs/>
                <w:i/>
                <w:i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bCs/>
                <w:i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</w:tc>
        <w:tc>
          <w:tcPr>
            <w:tcW w:w="14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</w:tc>
      </w:tr>
      <w:tr>
        <w:trPr>
          <w:trHeight w:val="1594" w:hRule="atLeast"/>
        </w:trPr>
        <w:tc>
          <w:tcPr>
            <w:tcW w:w="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</w:tc>
        <w:tc>
          <w:tcPr>
            <w:tcW w:w="47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</w:tc>
        <w:tc>
          <w:tcPr>
            <w:tcW w:w="17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</w:tc>
        <w:tc>
          <w:tcPr>
            <w:tcW w:w="14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tillium" w:hAnsi="Titillium"/>
                <w:color w:val="auto"/>
                <w:sz w:val="22"/>
                <w:szCs w:val="22"/>
              </w:rPr>
            </w:pPr>
            <w:r>
              <w:rPr>
                <w:rFonts w:ascii="Titillium" w:hAnsi="Titillium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ind w:hanging="0" w:start="360" w:end="0"/>
        <w:jc w:val="both"/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/>
          <w:color w:val="auto"/>
          <w:sz w:val="22"/>
          <w:szCs w:val="22"/>
        </w:rPr>
      </w:r>
    </w:p>
    <w:p>
      <w:pPr>
        <w:pStyle w:val="Tekstpodstawowywcity21"/>
        <w:spacing w:lineRule="atLeast" w:line="100" w:before="0" w:after="119"/>
        <w:ind w:hanging="0" w:start="0" w:end="0"/>
        <w:jc w:val="both"/>
        <w:rPr>
          <w:rFonts w:ascii="Titillium" w:hAnsi="Titillium"/>
          <w:b/>
          <w:sz w:val="22"/>
          <w:szCs w:val="22"/>
        </w:rPr>
      </w:pPr>
      <w:r>
        <w:rPr>
          <w:rFonts w:ascii="Titillium" w:hAnsi="Titillium"/>
          <w:b/>
          <w:sz w:val="22"/>
          <w:szCs w:val="22"/>
        </w:rPr>
        <w:t>Uwaga: do przedstawionego wykazu należy dołączyć dokumenty (dowody) potwierdzające, że usługi zostały wykonane należycie.</w:t>
      </w:r>
    </w:p>
    <w:p>
      <w:pPr>
        <w:pStyle w:val="Tekstpodstawowywcity21"/>
        <w:spacing w:lineRule="atLeast" w:line="100" w:before="0" w:after="119"/>
        <w:ind w:hanging="0" w:start="0" w:end="0"/>
        <w:jc w:val="both"/>
        <w:rPr/>
      </w:pPr>
      <w:r>
        <w:rPr/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/>
          </w:tcPr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.........................…...</w:t>
            </w:r>
          </w:p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ind w:hanging="0" w:start="0" w:end="0"/>
              <w:rPr>
                <w:rFonts w:ascii="Titillium" w:hAnsi="Titillium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tillium" w:hAnsi="Titillium"/>
                <w:i w:val="false"/>
                <w:iCs w:val="false"/>
                <w:sz w:val="20"/>
                <w:szCs w:val="20"/>
              </w:rPr>
              <w:t>data</w:t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</w:r>
          </w:p>
          <w:p>
            <w:pPr>
              <w:pStyle w:val="Normal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Titillium" w:hAnsi="Titillium"/>
                <w:sz w:val="22"/>
                <w:szCs w:val="22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ind w:hanging="0" w:start="0" w:end="0"/>
              <w:jc w:val="center"/>
              <w:rPr>
                <w:rFonts w:ascii="Titillium" w:hAnsi="Titillium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tillium" w:hAnsi="Titillium"/>
                <w:i w:val="false"/>
                <w:iCs w:val="false"/>
                <w:sz w:val="20"/>
                <w:szCs w:val="20"/>
              </w:rPr>
              <w:t>c</w:t>
            </w:r>
            <w:r>
              <w:rPr>
                <w:rFonts w:ascii="Titillium" w:hAnsi="Titillium"/>
                <w:i w:val="false"/>
                <w:iCs w:val="false"/>
                <w:sz w:val="20"/>
                <w:szCs w:val="20"/>
              </w:rPr>
              <w:t>zytelny podpis lub podpisy i imienne pieczęcie osoby</w:t>
            </w:r>
          </w:p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ind w:hanging="0" w:start="-57" w:end="0"/>
              <w:jc w:val="center"/>
              <w:rPr>
                <w:rFonts w:ascii="Titillium" w:hAnsi="Titillium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Times New Roman" w:cs="Times New Roman" w:ascii="Titillium" w:hAnsi="Titillium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Titillium" w:hAnsi="Titillium"/>
                <w:i w:val="false"/>
                <w:iCs w:val="false"/>
                <w:sz w:val="20"/>
                <w:szCs w:val="20"/>
              </w:rPr>
              <w:t>lub osób upoważnionych do reprezentowania wykonawcy</w:t>
              <w:tab/>
            </w:r>
          </w:p>
        </w:tc>
      </w:tr>
    </w:tbl>
    <w:p>
      <w:pPr>
        <w:pStyle w:val="Normal"/>
        <w:ind w:hanging="0" w:start="-14" w:end="0"/>
        <w:jc w:val="center"/>
        <w:rPr>
          <w:rFonts w:ascii="Titillium" w:hAnsi="Titillium"/>
          <w:i w:val="false"/>
          <w:i w:val="false"/>
          <w:iCs w:val="false"/>
          <w:sz w:val="20"/>
          <w:szCs w:val="20"/>
        </w:rPr>
      </w:pPr>
      <w:r>
        <w:rPr>
          <w:rFonts w:ascii="Titillium" w:hAnsi="Titillium"/>
          <w:i w:val="false"/>
          <w:iCs w:val="false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Titillium">
    <w:charset w:val="ee" w:characterSet="windows-1250"/>
    <w:family w:val="moder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gwek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21">
    <w:name w:val="Tekst podstawowy wcięty 21"/>
    <w:basedOn w:val="Normal"/>
    <w:qFormat/>
    <w:pPr>
      <w:widowControl w:val="false"/>
      <w:autoSpaceDE w:val="false"/>
      <w:spacing w:lineRule="auto" w:line="480" w:before="0" w:after="120"/>
      <w:ind w:hanging="0" w:start="283" w:end="0"/>
    </w:pPr>
    <w:rPr>
      <w:rFonts w:eastAsia="SimSun;宋体"/>
      <w:lang w:val="pl-PL"/>
    </w:rPr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Cytatblokowy">
    <w:name w:val="Cytat blokowy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"/>
    <w:next w:val="BodyText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LibreOffice/7.6.0.3$Windows_X86_64 LibreOffice_project/69edd8b8ebc41d00b4de3915dc82f8f0fc3b6265</Application>
  <AppVersion>15.0000</AppVersion>
  <Pages>1</Pages>
  <Words>153</Words>
  <Characters>1054</Characters>
  <CharactersWithSpaces>1207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2012-07-30T10:24:00Z</dcterms:created>
  <dc:creator>D D</dc:creator>
  <dc:description/>
  <dc:language>pl-PL</dc:language>
  <cp:lastModifiedBy/>
  <cp:lastPrinted>2024-02-22T11:06:38Z</cp:lastPrinted>
  <dcterms:modified xsi:type="dcterms:W3CDTF">2024-01-29T15:05:54Z</dcterms:modified>
  <cp:revision>48</cp:revision>
  <dc:subject/>
  <dc:title/>
</cp:coreProperties>
</file>