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784A5B" w14:textId="77777777" w:rsidR="005F10D5" w:rsidRPr="005F10D5" w:rsidRDefault="005F10D5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>Białostockiego Ośrodka Sportu i Rekreacji,</w:t>
      </w:r>
    </w:p>
    <w:p w14:paraId="3B31B19A" w14:textId="0740A14A" w:rsidR="00C63100" w:rsidRPr="005F10D5" w:rsidRDefault="005F10D5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 xml:space="preserve"> ul. Włókiennicza 4, 15- 465 Białystok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21813C6" w14:textId="77777777" w:rsidR="00631AE4" w:rsidRPr="000F3E9B" w:rsidRDefault="00631AE4" w:rsidP="00631AE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BIAŁOSTOCKIEGO OŚRODKA SPORTU I REKREACJI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06C006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1E76B2">
        <w:rPr>
          <w:rFonts w:asciiTheme="majorHAnsi" w:hAnsiTheme="majorHAnsi" w:cs="Calibri"/>
          <w:bCs/>
          <w:sz w:val="22"/>
          <w:szCs w:val="22"/>
        </w:rPr>
        <w:t>36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E52ED7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1E76B2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1E76B2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1EEE2D02" w14:textId="7F6DE12F" w:rsidR="001E76B2" w:rsidRPr="002B2044" w:rsidRDefault="00E93A1D" w:rsidP="002B204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1E76B2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1E76B2">
        <w:rPr>
          <w:rFonts w:asciiTheme="majorHAnsi" w:hAnsiTheme="majorHAnsi" w:cs="Calibri"/>
          <w:sz w:val="22"/>
          <w:szCs w:val="22"/>
        </w:rPr>
        <w:t>8</w:t>
      </w:r>
      <w:r w:rsidRPr="001E76B2">
        <w:rPr>
          <w:rFonts w:asciiTheme="majorHAnsi" w:hAnsiTheme="majorHAnsi" w:cs="Calibri"/>
          <w:sz w:val="22"/>
          <w:szCs w:val="22"/>
        </w:rPr>
        <w:t>0%</w:t>
      </w:r>
    </w:p>
    <w:p w14:paraId="0F9AB67B" w14:textId="77777777" w:rsidR="001E76B2" w:rsidRPr="000F3E9B" w:rsidRDefault="001E76B2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325"/>
        <w:gridCol w:w="2385"/>
        <w:gridCol w:w="1557"/>
        <w:gridCol w:w="1967"/>
        <w:gridCol w:w="1482"/>
        <w:gridCol w:w="872"/>
        <w:gridCol w:w="1018"/>
        <w:gridCol w:w="2053"/>
      </w:tblGrid>
      <w:tr w:rsidR="00687C0B" w:rsidRPr="00687C0B" w14:paraId="6B9492DA" w14:textId="77777777" w:rsidTr="001314D9">
        <w:trPr>
          <w:trHeight w:val="1068"/>
          <w:jc w:val="center"/>
        </w:trPr>
        <w:tc>
          <w:tcPr>
            <w:tcW w:w="235" w:type="pct"/>
            <w:vMerge w:val="restart"/>
            <w:shd w:val="clear" w:color="auto" w:fill="002060"/>
            <w:vAlign w:val="center"/>
          </w:tcPr>
          <w:p w14:paraId="5C14A896" w14:textId="77777777" w:rsidR="001E76B2" w:rsidRPr="00687C0B" w:rsidRDefault="001E76B2" w:rsidP="001E76B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Merge w:val="restart"/>
            <w:shd w:val="clear" w:color="auto" w:fill="002060"/>
            <w:vAlign w:val="center"/>
          </w:tcPr>
          <w:p w14:paraId="1F9457D6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18FA8250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832" w:type="pct"/>
            <w:vMerge w:val="restart"/>
            <w:shd w:val="clear" w:color="auto" w:fill="002060"/>
            <w:vAlign w:val="center"/>
          </w:tcPr>
          <w:p w14:paraId="5D65FB2C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ubezp</w:t>
            </w:r>
            <w:proofErr w:type="spellEnd"/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. / </w:t>
            </w:r>
          </w:p>
          <w:p w14:paraId="2C61A519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proofErr w:type="spellStart"/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gwaran</w:t>
            </w:r>
            <w:proofErr w:type="spellEnd"/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. w zł</w:t>
            </w:r>
          </w:p>
          <w:p w14:paraId="390768F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543" w:type="pct"/>
            <w:vMerge w:val="restart"/>
            <w:shd w:val="clear" w:color="auto" w:fill="002060"/>
            <w:vAlign w:val="center"/>
          </w:tcPr>
          <w:p w14:paraId="696D7411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1F0B4B2D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B8599CE" w14:textId="4DC18B0B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270A91E2" w14:textId="25CBFBB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686" w:type="pct"/>
            <w:vMerge w:val="restart"/>
            <w:shd w:val="clear" w:color="auto" w:fill="002060"/>
            <w:vAlign w:val="center"/>
          </w:tcPr>
          <w:p w14:paraId="5309665E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2AA915E4" w14:textId="091B2148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24 miesiące</w:t>
            </w:r>
          </w:p>
          <w:p w14:paraId="33B99B5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0CDD4C8A" w14:textId="7288B4A3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517" w:type="pct"/>
            <w:vMerge w:val="restart"/>
            <w:shd w:val="clear" w:color="auto" w:fill="002060"/>
            <w:vAlign w:val="center"/>
          </w:tcPr>
          <w:p w14:paraId="11732966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Opcja A - przedłużenie umowy 12 miesięcy</w:t>
            </w:r>
          </w:p>
          <w:p w14:paraId="4E20DBA4" w14:textId="0FE20CC1" w:rsidR="002B2044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9" w:type="pct"/>
            <w:gridSpan w:val="2"/>
            <w:shd w:val="clear" w:color="auto" w:fill="002060"/>
            <w:vAlign w:val="center"/>
          </w:tcPr>
          <w:p w14:paraId="20CDF2F9" w14:textId="344A250A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Opcja B - </w:t>
            </w: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zwiększenie wartości umowy </w:t>
            </w:r>
          </w:p>
        </w:tc>
        <w:tc>
          <w:tcPr>
            <w:tcW w:w="716" w:type="pct"/>
            <w:vMerge w:val="restart"/>
            <w:shd w:val="clear" w:color="auto" w:fill="002060"/>
            <w:vAlign w:val="center"/>
          </w:tcPr>
          <w:p w14:paraId="5295B80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F36E332" w14:textId="3AD4263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24 miesięcy zamówienia podstawowego z Opcją A i B</w:t>
            </w:r>
          </w:p>
          <w:p w14:paraId="44221BE2" w14:textId="5094A55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687C0B" w:rsidRPr="00687C0B" w14:paraId="41942E6C" w14:textId="77777777" w:rsidTr="001314D9">
        <w:trPr>
          <w:trHeight w:val="58"/>
          <w:jc w:val="center"/>
        </w:trPr>
        <w:tc>
          <w:tcPr>
            <w:tcW w:w="235" w:type="pct"/>
            <w:vMerge/>
            <w:shd w:val="clear" w:color="auto" w:fill="002060"/>
            <w:vAlign w:val="center"/>
          </w:tcPr>
          <w:p w14:paraId="3DD2A8A9" w14:textId="77777777" w:rsidR="001E76B2" w:rsidRPr="00687C0B" w:rsidRDefault="001E76B2" w:rsidP="001E76B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002060"/>
            <w:vAlign w:val="center"/>
          </w:tcPr>
          <w:p w14:paraId="559D31C9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  <w:shd w:val="clear" w:color="auto" w:fill="002060"/>
            <w:vAlign w:val="center"/>
          </w:tcPr>
          <w:p w14:paraId="0A8BD66C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002060"/>
            <w:vAlign w:val="center"/>
          </w:tcPr>
          <w:p w14:paraId="6C93BC71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  <w:vMerge/>
            <w:shd w:val="clear" w:color="auto" w:fill="002060"/>
          </w:tcPr>
          <w:p w14:paraId="7AB135B5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002060"/>
          </w:tcPr>
          <w:p w14:paraId="073885B3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002060"/>
            <w:vAlign w:val="center"/>
          </w:tcPr>
          <w:p w14:paraId="7B6647ED" w14:textId="5D970F73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shd w:val="clear" w:color="auto" w:fill="002060"/>
            <w:vAlign w:val="center"/>
          </w:tcPr>
          <w:p w14:paraId="1DE253F3" w14:textId="4A30A7A2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716" w:type="pct"/>
            <w:vMerge/>
            <w:shd w:val="clear" w:color="auto" w:fill="002060"/>
            <w:vAlign w:val="center"/>
          </w:tcPr>
          <w:p w14:paraId="0EBB46B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687C0B" w:rsidRPr="00687C0B" w14:paraId="0640E280" w14:textId="77777777" w:rsidTr="001314D9">
        <w:trPr>
          <w:trHeight w:val="87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6CC5C690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11" w:type="pct"/>
            <w:shd w:val="clear" w:color="auto" w:fill="C6D9F1"/>
            <w:vAlign w:val="center"/>
          </w:tcPr>
          <w:p w14:paraId="7A5F80A3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832" w:type="pct"/>
            <w:shd w:val="clear" w:color="auto" w:fill="C6D9F1"/>
            <w:vAlign w:val="center"/>
          </w:tcPr>
          <w:p w14:paraId="3CD6F702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543" w:type="pct"/>
            <w:shd w:val="clear" w:color="auto" w:fill="C6D9F1"/>
            <w:vAlign w:val="center"/>
          </w:tcPr>
          <w:p w14:paraId="24E9C6C3" w14:textId="7AAC15A2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IV</w:t>
            </w:r>
          </w:p>
        </w:tc>
        <w:tc>
          <w:tcPr>
            <w:tcW w:w="686" w:type="pct"/>
            <w:shd w:val="clear" w:color="auto" w:fill="C6D9F1"/>
          </w:tcPr>
          <w:p w14:paraId="377AFA89" w14:textId="36C6DD6A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517" w:type="pct"/>
            <w:shd w:val="clear" w:color="auto" w:fill="C6D9F1"/>
          </w:tcPr>
          <w:p w14:paraId="753C5531" w14:textId="0E51C4D1" w:rsidR="001E76B2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304" w:type="pct"/>
            <w:shd w:val="clear" w:color="auto" w:fill="C6D9F1"/>
            <w:vAlign w:val="center"/>
          </w:tcPr>
          <w:p w14:paraId="03EA2F7E" w14:textId="71F83E58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  <w:r w:rsidR="002B2044"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355" w:type="pct"/>
            <w:shd w:val="clear" w:color="auto" w:fill="C6D9F1"/>
            <w:vAlign w:val="center"/>
          </w:tcPr>
          <w:p w14:paraId="4A2CA075" w14:textId="5B7CAD8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  <w:r w:rsidR="002B2044"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Pr="00687C0B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716" w:type="pct"/>
            <w:shd w:val="clear" w:color="auto" w:fill="C6D9F1"/>
            <w:vAlign w:val="center"/>
          </w:tcPr>
          <w:p w14:paraId="2D147E60" w14:textId="47D4AAAC" w:rsidR="001E76B2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IX</w:t>
            </w:r>
          </w:p>
        </w:tc>
      </w:tr>
      <w:tr w:rsidR="003472CD" w:rsidRPr="00687C0B" w14:paraId="522C0BAC" w14:textId="77777777" w:rsidTr="001314D9">
        <w:trPr>
          <w:trHeight w:val="809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023DEFC4" w14:textId="0960774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811" w:type="pct"/>
            <w:vAlign w:val="center"/>
          </w:tcPr>
          <w:p w14:paraId="1D23EC93" w14:textId="77777777" w:rsidR="003472CD" w:rsidRPr="003472CD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3472CD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3472CD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832" w:type="pct"/>
            <w:shd w:val="clear" w:color="auto" w:fill="FFFFFF"/>
            <w:vAlign w:val="center"/>
          </w:tcPr>
          <w:p w14:paraId="063789FE" w14:textId="31195BE2" w:rsidR="003472CD" w:rsidRPr="003472CD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3472C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129 437 522,54 zł </w:t>
            </w:r>
            <w:r w:rsidRPr="003472CD">
              <w:rPr>
                <w:rFonts w:asciiTheme="majorHAnsi" w:hAnsiTheme="majorHAnsi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543" w:type="pct"/>
            <w:vAlign w:val="center"/>
          </w:tcPr>
          <w:p w14:paraId="1C99F2F4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590A362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74B29A5F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7CB98BB" w14:textId="5D78E878" w:rsidR="003472CD" w:rsidRPr="00687C0B" w:rsidRDefault="00B2660B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58AF2AB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30717E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707C0E06" w14:textId="77777777" w:rsidTr="001314D9">
        <w:trPr>
          <w:trHeight w:val="809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3760D7B3" w14:textId="54CDAD0C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811" w:type="pct"/>
            <w:vAlign w:val="center"/>
          </w:tcPr>
          <w:p w14:paraId="193FCD57" w14:textId="77777777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687C0B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832" w:type="pct"/>
            <w:shd w:val="clear" w:color="auto" w:fill="FFFFFF"/>
            <w:vAlign w:val="center"/>
          </w:tcPr>
          <w:p w14:paraId="3FB537E1" w14:textId="386E2EF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158 682,82 zł</w:t>
            </w:r>
            <w:r w:rsidRPr="00687C0B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543" w:type="pct"/>
            <w:vAlign w:val="center"/>
          </w:tcPr>
          <w:p w14:paraId="3D4E71BD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056E36E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1D45EC0D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03C19B2" w14:textId="12EAF34C" w:rsidR="003472CD" w:rsidRPr="00687C0B" w:rsidRDefault="00B2660B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4CB2B833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516426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7A4AFA94" w14:textId="77777777" w:rsidTr="001314D9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785CCA71" w14:textId="71748AA9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811" w:type="pct"/>
            <w:vAlign w:val="center"/>
          </w:tcPr>
          <w:p w14:paraId="1ACF45DE" w14:textId="77777777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832" w:type="pct"/>
            <w:vAlign w:val="center"/>
          </w:tcPr>
          <w:p w14:paraId="1CB81005" w14:textId="31B23125" w:rsidR="003472CD" w:rsidRPr="00B62A92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B62A92">
              <w:rPr>
                <w:rFonts w:asciiTheme="majorHAnsi" w:hAnsiTheme="majorHAnsi" w:cs="Calibri"/>
                <w:sz w:val="18"/>
                <w:szCs w:val="18"/>
              </w:rPr>
              <w:t>1 000 000,00 zł</w:t>
            </w:r>
          </w:p>
        </w:tc>
        <w:tc>
          <w:tcPr>
            <w:tcW w:w="543" w:type="pct"/>
            <w:vAlign w:val="center"/>
          </w:tcPr>
          <w:p w14:paraId="513E64F0" w14:textId="059ADF0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</w:tcPr>
          <w:p w14:paraId="61B33BE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54445FD9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340D07C5" w14:textId="3FEF23FC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2EFF305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590D6E30" w14:textId="77777777" w:rsidTr="001314D9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0B398CEE" w14:textId="7349178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D</w:t>
            </w:r>
          </w:p>
        </w:tc>
        <w:tc>
          <w:tcPr>
            <w:tcW w:w="811" w:type="pct"/>
            <w:vAlign w:val="center"/>
          </w:tcPr>
          <w:p w14:paraId="39E04374" w14:textId="03113CE8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Ubezpieczenie mienia w transporcie krajowym (cargo)</w:t>
            </w:r>
          </w:p>
        </w:tc>
        <w:tc>
          <w:tcPr>
            <w:tcW w:w="832" w:type="pct"/>
            <w:vAlign w:val="center"/>
          </w:tcPr>
          <w:p w14:paraId="6B888D6F" w14:textId="390CA1C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300 000,00 zł</w:t>
            </w:r>
          </w:p>
        </w:tc>
        <w:tc>
          <w:tcPr>
            <w:tcW w:w="543" w:type="pct"/>
            <w:vAlign w:val="center"/>
          </w:tcPr>
          <w:p w14:paraId="70A6C26C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487DA70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3EBA2EE0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F8E9677" w14:textId="660B5D60" w:rsidR="003472CD" w:rsidRPr="00687C0B" w:rsidRDefault="005A0643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177E0393" w14:textId="2DF3DDB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85BE92E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6A1BB932" w14:textId="77777777" w:rsidTr="001314D9">
        <w:trPr>
          <w:trHeight w:val="416"/>
          <w:jc w:val="center"/>
        </w:trPr>
        <w:tc>
          <w:tcPr>
            <w:tcW w:w="1878" w:type="pct"/>
            <w:gridSpan w:val="3"/>
            <w:shd w:val="clear" w:color="auto" w:fill="C6D9F1"/>
            <w:vAlign w:val="center"/>
          </w:tcPr>
          <w:p w14:paraId="4BFAC603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543" w:type="pct"/>
            <w:shd w:val="clear" w:color="auto" w:fill="C6D9F1"/>
            <w:vAlign w:val="center"/>
          </w:tcPr>
          <w:p w14:paraId="6E5ACE64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C6D9F1"/>
          </w:tcPr>
          <w:p w14:paraId="2CACB3F6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</w:tcPr>
          <w:p w14:paraId="6611BFF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07A52890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4CC62F9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533FC54F" w:rsidR="00E93A1D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0813D0B" w14:textId="7308D116" w:rsidR="007B15A7" w:rsidRPr="000F3E9B" w:rsidRDefault="007B15A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VI: prosimy o podanie składki za 12 miesięcy za zamówienie podstawowe (wartość tożsama z kolumną IV)</w:t>
      </w:r>
    </w:p>
    <w:p w14:paraId="53851CFD" w14:textId="3091CC00" w:rsidR="00CE6944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 xml:space="preserve">B - </w:t>
      </w:r>
      <w:r w:rsidR="00CE6944" w:rsidRPr="000F3E9B">
        <w:rPr>
          <w:rFonts w:asciiTheme="majorHAnsi" w:hAnsiTheme="majorHAnsi" w:cs="Segoe UI"/>
          <w:i/>
          <w:iCs/>
          <w:sz w:val="22"/>
          <w:szCs w:val="22"/>
        </w:rPr>
        <w:t>iloczyn składki:  suma składki za 24 miesięczny okres zamówienia podstawowego (kol. V) i składki za Opcj</w:t>
      </w:r>
      <w:r w:rsidR="00CE6944">
        <w:rPr>
          <w:rFonts w:asciiTheme="majorHAnsi" w:hAnsiTheme="majorHAnsi" w:cs="Segoe UI"/>
          <w:i/>
          <w:iCs/>
          <w:sz w:val="22"/>
          <w:szCs w:val="22"/>
        </w:rPr>
        <w:t>ę A</w:t>
      </w:r>
      <w:r w:rsidR="00CE6944" w:rsidRPr="000F3E9B">
        <w:rPr>
          <w:rFonts w:asciiTheme="majorHAnsi" w:hAnsiTheme="majorHAnsi" w:cs="Segoe UI"/>
          <w:i/>
          <w:iCs/>
          <w:sz w:val="22"/>
          <w:szCs w:val="22"/>
        </w:rPr>
        <w:t xml:space="preserve"> (kol. VI) oraz </w:t>
      </w:r>
      <w:r w:rsidR="00CE6944"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B</w:t>
      </w:r>
      <w:r w:rsidR="00CE6944" w:rsidRPr="000F3E9B">
        <w:rPr>
          <w:rFonts w:asciiTheme="majorHAnsi" w:hAnsiTheme="majorHAnsi" w:cs="Calibri"/>
          <w:i/>
          <w:iCs/>
          <w:sz w:val="22"/>
          <w:szCs w:val="22"/>
        </w:rPr>
        <w:t xml:space="preserve">  (kol. VII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4CFE4D8B" w14:textId="77777777" w:rsidR="00CE6944" w:rsidRPr="000F3E9B" w:rsidRDefault="00CE6944" w:rsidP="00CE694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IX: prosimy o podanie sumy łącznej składki za 24 miesięczny okres zamówienia podstawowego (kol. V)  oraz Opcji </w:t>
      </w:r>
      <w:r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 oraz Opcji </w:t>
      </w:r>
      <w:r>
        <w:rPr>
          <w:rFonts w:asciiTheme="majorHAnsi" w:hAnsiTheme="majorHAnsi" w:cs="Calibri"/>
          <w:i/>
          <w:iCs/>
          <w:sz w:val="22"/>
          <w:szCs w:val="22"/>
        </w:rPr>
        <w:t>B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VIII). </w:t>
      </w:r>
    </w:p>
    <w:p w14:paraId="308D75B0" w14:textId="0516BE11" w:rsidR="00A55A80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54864C05" w14:textId="77777777" w:rsidR="00687C0B" w:rsidRPr="000F3E9B" w:rsidRDefault="00687C0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CA7B0B4" w14:textId="5B3EFD23" w:rsidR="00687C0B" w:rsidRDefault="00687C0B" w:rsidP="00687C0B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  <w:sz w:val="22"/>
          <w:szCs w:val="22"/>
        </w:rPr>
        <w:sectPr w:rsidR="00687C0B" w:rsidSect="00687C0B">
          <w:pgSz w:w="16838" w:h="11906" w:orient="landscape"/>
          <w:pgMar w:top="1418" w:right="1247" w:bottom="1134" w:left="1247" w:header="284" w:footer="709" w:gutter="0"/>
          <w:cols w:space="708"/>
          <w:docGrid w:linePitch="360"/>
        </w:sectPr>
      </w:pPr>
    </w:p>
    <w:p w14:paraId="6B14C605" w14:textId="6828D2C4" w:rsidR="0097090A" w:rsidRPr="000F3E9B" w:rsidRDefault="00687C0B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</w:t>
      </w:r>
      <w:r w:rsidR="0097090A" w:rsidRPr="000F3E9B">
        <w:rPr>
          <w:rFonts w:asciiTheme="majorHAnsi" w:hAnsiTheme="majorHAnsi" w:cs="Calibri"/>
          <w:bCs/>
          <w:sz w:val="22"/>
          <w:szCs w:val="22"/>
        </w:rPr>
        <w:t>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495BA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95BA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495BA7">
        <w:rPr>
          <w:rFonts w:asciiTheme="majorHAnsi" w:hAnsiTheme="majorHAnsi" w:cs="Calibri"/>
          <w:b/>
          <w:sz w:val="22"/>
          <w:szCs w:val="22"/>
        </w:rPr>
        <w:t>20</w:t>
      </w:r>
      <w:r w:rsidRPr="00495BA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495BA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495BA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0309E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82295">
        <w:trPr>
          <w:cantSplit/>
          <w:trHeight w:hRule="exact" w:val="14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495BA7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5BA7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495BA7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5BA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495BA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495BA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58F37619" w:rsidR="007C7FC6" w:rsidRDefault="00090D8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0309E9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6482CB8" w:rsidR="007C7FC6" w:rsidRPr="00FF1C39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F1C3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FF1C3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FF1C39" w:rsidRPr="00FF1C3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FF1C39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FF1C3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6F9D0400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92A8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3D340F">
        <w:trPr>
          <w:cantSplit/>
          <w:trHeight w:hRule="exact" w:val="1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6A3D2255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2E9CFD4B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54CC7FCC" w:rsidR="007C7FC6" w:rsidRDefault="00090D8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0309E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5FF58866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3D340F" w:rsidRPr="003D340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</w:p>
          <w:p w14:paraId="05CA5A85" w14:textId="30F92D85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6801DD6F" w:rsidR="007C7FC6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3D340F">
        <w:trPr>
          <w:cantSplit/>
          <w:trHeight w:hRule="exact"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4F9074ED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0309E9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Pr="008E3A23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A2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E3A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8E3A2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214D625C" w:rsidR="007C7FC6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2E68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E68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2E68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8E3A23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3932A3B" w:rsidR="007C7FC6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575BC3B" w14:textId="77777777" w:rsidTr="00F928F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AFD7133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2E680F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18BD5EFD" w:rsidR="007C7FC6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F928FD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573D1911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2E680F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48422D70" w:rsidR="007C7FC6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E680F" w14:paraId="24800557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2D2C52" w14:textId="5C5133A8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0A0F38" w14:textId="4CA7EADB" w:rsidR="002E680F" w:rsidRPr="001F6AAF" w:rsidRDefault="002E680F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utraconych dochodów - 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8.</w:t>
            </w:r>
            <w:r w:rsidR="00F928FD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66F6B17B" w14:textId="6AB1B234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93B" w14:textId="77777777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3E4893C8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196CC8A0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2E680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77777777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0A7D621A" w:rsidR="007C7FC6" w:rsidRDefault="00090D8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92A85" w14:paraId="5C6E98B5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BFB496" w14:textId="55902AA5" w:rsidR="00692A85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7F9916" w14:textId="1EFB2059" w:rsidR="00692A85" w:rsidRPr="001F6AAF" w:rsidRDefault="00692A8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integralna - zniesiona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0BC7A" w14:textId="48202CD4" w:rsidR="00692A85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C34" w14:textId="77777777" w:rsidR="00692A85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47F1F" w14:paraId="36981F46" w14:textId="77777777" w:rsidTr="002D5193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5664E5" w14:textId="78F6103C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3" w:name="_Hlk87425957"/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69822E" w14:textId="31521BD9" w:rsidR="00247F1F" w:rsidRDefault="00247F1F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B3E226" w14:textId="3A838816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9190" w14:textId="77777777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47F1F" w14:paraId="255E4830" w14:textId="77777777" w:rsidTr="002D5193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A35DEF" w14:textId="77777777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2C322" w14:textId="77777777" w:rsidR="00247F1F" w:rsidRPr="000A0513" w:rsidRDefault="00247F1F" w:rsidP="00247F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2864D315" w14:textId="77777777" w:rsidR="00247F1F" w:rsidRPr="00DD7A65" w:rsidRDefault="00247F1F" w:rsidP="00247F1F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38575FCF" w14:textId="3F029D67" w:rsidR="00247F1F" w:rsidRDefault="00247F1F" w:rsidP="00247F1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0354B4" w14:textId="4F629893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254" w14:textId="77777777" w:rsidR="00247F1F" w:rsidRDefault="00247F1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47F1F" w14:paraId="062542C6" w14:textId="77777777" w:rsidTr="002D5193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84D60A" w14:textId="77777777" w:rsidR="00247F1F" w:rsidRDefault="00247F1F" w:rsidP="00247F1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3C566" w14:textId="77777777" w:rsidR="00247F1F" w:rsidRPr="00247F1F" w:rsidRDefault="00247F1F" w:rsidP="00247F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247F1F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281432BF" w14:textId="3838BED6" w:rsidR="00247F1F" w:rsidRDefault="00247F1F" w:rsidP="00247F1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EB9F8E" w14:textId="4E22C5EA" w:rsidR="00247F1F" w:rsidRDefault="00247F1F" w:rsidP="00247F1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E014" w14:textId="77777777" w:rsidR="00247F1F" w:rsidRDefault="00247F1F" w:rsidP="00247F1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3"/>
      <w:tr w:rsidR="00090D8F" w14:paraId="6B6E69BB" w14:textId="77777777" w:rsidTr="00A93BED">
        <w:trPr>
          <w:trHeight w:val="82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61C43F" w14:textId="621E58E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B2748A" w14:textId="4627D7CC" w:rsidR="00090D8F" w:rsidRPr="00247F1F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Ryzyko chorób zakaźnych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- </w:t>
            </w:r>
            <w:r w:rsidRPr="0091101F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zgodnie z treścią stosowaną standardowo przez Wykonawcę w OWU lub w postaci klauzuli dodatkowej/ postanowień dodatkowych do OWU</w:t>
            </w:r>
            <w:r w:rsidRPr="00BD504A" w:rsidDel="00BD504A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2D88D4" w14:textId="7BD728ED" w:rsidR="00090D8F" w:rsidRDefault="00090D8F" w:rsidP="00090D8F">
            <w:pPr>
              <w:suppressAutoHyphens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DC9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1EDB7844" w14:textId="77777777" w:rsidTr="00A93BED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BADC6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E9830" w14:textId="77777777" w:rsidR="00090D8F" w:rsidRPr="00915F48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Ryzyko chorób zakaźnych – wariant 1:</w:t>
            </w:r>
          </w:p>
          <w:p w14:paraId="56710C34" w14:textId="77777777" w:rsidR="00090D8F" w:rsidRPr="00915F48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0AA5A254" w14:textId="49EE0B85" w:rsidR="00090D8F" w:rsidRPr="00247F1F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511442" w14:textId="0849F680" w:rsidR="00090D8F" w:rsidRDefault="00090D8F" w:rsidP="00090D8F">
            <w:pPr>
              <w:suppressAutoHyphens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41B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3AA7D127" w14:textId="77777777" w:rsidTr="002D5193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C09658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3CD072" w14:textId="77777777" w:rsidR="00090D8F" w:rsidRPr="00813559" w:rsidRDefault="00090D8F" w:rsidP="00090D8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813559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Ryzyko chorób zakaźnych – wariant 2:</w:t>
            </w:r>
          </w:p>
          <w:p w14:paraId="315451F0" w14:textId="54158B2A" w:rsidR="00090D8F" w:rsidRPr="00247F1F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>ryzyk</w:t>
            </w:r>
            <w:proofErr w:type="spellEnd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D81EDD" w14:textId="18823D48" w:rsidR="00090D8F" w:rsidRDefault="00090D8F" w:rsidP="00090D8F">
            <w:pPr>
              <w:suppressAutoHyphens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B105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5F4FE6AD" w14:textId="77777777" w:rsidTr="000309E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090D8F" w14:paraId="575FC588" w14:textId="77777777" w:rsidTr="000309E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090D8F" w:rsidRDefault="00090D8F" w:rsidP="00090D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090D8F" w14:paraId="7F99E4C3" w14:textId="77777777" w:rsidTr="00090D8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90D8F" w14:paraId="6D4AC146" w14:textId="77777777" w:rsidTr="00090D8F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090D8F" w:rsidRPr="00D86700" w:rsidRDefault="00090D8F" w:rsidP="00090D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1249F3FF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055F2B84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C644F" w14:textId="4BACC5D8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90F639" w14:textId="6D38ABFF" w:rsidR="00090D8F" w:rsidRPr="00317916" w:rsidRDefault="00090D8F" w:rsidP="00090D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1791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31791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7.7 (załącznik nr 6A – opis przedmiotu zamówienia Część I) -  zwiększenie limitu do 100 000,00 zł dla kosztów proporcjonalnych i 100 000,00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42EC81" w14:textId="205982BA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FE2F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3961AE3D" w14:textId="77777777" w:rsidTr="00317916">
        <w:trPr>
          <w:trHeight w:val="7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E5966F" w14:textId="245248D9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911D7" w14:textId="65073E6C" w:rsidR="00090D8F" w:rsidRPr="00AB30FA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B30F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AB30F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AB30F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0DC133EF" w14:textId="77777777" w:rsidTr="00D86700">
        <w:trPr>
          <w:trHeight w:val="4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61D85" w14:textId="5B199C7D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75C79" w14:textId="61F297EA" w:rsidR="00090D8F" w:rsidRPr="00D86700" w:rsidRDefault="00090D8F" w:rsidP="00090D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67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>równa zero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75DDDB64" w14:textId="77777777" w:rsidTr="00AA650E">
        <w:trPr>
          <w:trHeight w:val="46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4F5AE5" w14:textId="4E123C26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4" w:name="_Hlk87426427"/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5EEE44" w14:textId="4F37A117" w:rsidR="00090D8F" w:rsidRPr="00D86700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E76FD5" w14:textId="3A223622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2301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209F28A1" w14:textId="77777777" w:rsidTr="00AA650E">
        <w:trPr>
          <w:trHeight w:val="4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0CF3F7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2BC54D" w14:textId="77777777" w:rsidR="00090D8F" w:rsidRPr="000A0513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3E3CDB90" w14:textId="77777777" w:rsidR="00090D8F" w:rsidRPr="00DD7A65" w:rsidRDefault="00090D8F" w:rsidP="00090D8F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17F8446B" w14:textId="3FBFECD1" w:rsidR="00090D8F" w:rsidRPr="00D86700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656FC0" w14:textId="4D838E8B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D90B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5DDFEB35" w14:textId="77777777" w:rsidTr="00AA650E">
        <w:trPr>
          <w:trHeight w:val="4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FEFAE6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CEF08" w14:textId="77777777" w:rsidR="00090D8F" w:rsidRPr="00247F1F" w:rsidRDefault="00090D8F" w:rsidP="00090D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247F1F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40EC141C" w14:textId="5C9AEF54" w:rsidR="00090D8F" w:rsidRPr="00D86700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CC45BF" w14:textId="6316D6C0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867B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4"/>
      <w:tr w:rsidR="00090D8F" w14:paraId="6AAB5C9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090D8F" w14:paraId="62ADE79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90D8F" w14:paraId="5736733E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090D8F" w:rsidRPr="00B47A95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47A9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66A816F2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090D8F" w:rsidRPr="00B6474F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6474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7A99632A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090D8F" w:rsidRPr="00B6474F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6474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4B3D2092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7ED0A41B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60F99504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62D771C8" w:rsidR="00090D8F" w:rsidRPr="00D50C62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7E34F140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2B9069E1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00F827EE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50181E28" w:rsidR="00090D8F" w:rsidRPr="00D50C62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4849D2C0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4719215F" w14:textId="77777777" w:rsidTr="00D50C6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39605A4D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5326F102" w:rsidR="00090D8F" w:rsidRPr="00E82295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9.3. (załącznik nr 6A – opis przedmiotu zamówienia Część I) – włączenie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17F8AABA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0630A43A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679055B2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B739C" w14:textId="39BA629C" w:rsidR="00090D8F" w:rsidRPr="00C8068C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50C6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D50C6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F2601" w14:textId="3448016B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63DE3029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259DD60C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294C1" w14:textId="40E1D637" w:rsidR="00090D8F" w:rsidRPr="00C8068C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50C6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D50C6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F18574" w14:textId="32E3C350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90D8F" w14:paraId="3B0A015F" w14:textId="77777777" w:rsidTr="00D50C62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3948AD" w14:textId="6964B3C0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A5E76B" w14:textId="39861BF6" w:rsidR="00090D8F" w:rsidRPr="00B47A95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47A9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ABD427" w14:textId="06D8329F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C5AA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90D8F" w14:paraId="20386B2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090D8F" w:rsidRDefault="00090D8F" w:rsidP="00090D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090D8F" w14:paraId="733F65FC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090D8F" w:rsidRDefault="00090D8F" w:rsidP="00090D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090D8F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90D8F" w14:paraId="17C222F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090D8F" w:rsidRDefault="00090D8F" w:rsidP="00090D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funduszu </w:t>
            </w:r>
            <w:r w:rsidRPr="00E0070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prewencyjnego</w:t>
            </w:r>
            <w:r w:rsidRPr="00E0070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090D8F" w:rsidRDefault="00090D8F" w:rsidP="00090D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DF3EC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4"/>
          <w:szCs w:val="4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5A5D1253" w:rsidR="00E93A1D" w:rsidRPr="000F3E9B" w:rsidRDefault="00E93A1D" w:rsidP="009E56A0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9E56A0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DFC2" w14:textId="77777777" w:rsidR="00E1023C" w:rsidRDefault="00E1023C">
      <w:r>
        <w:separator/>
      </w:r>
    </w:p>
  </w:endnote>
  <w:endnote w:type="continuationSeparator" w:id="0">
    <w:p w14:paraId="34499AC3" w14:textId="77777777" w:rsidR="00E1023C" w:rsidRDefault="00E1023C">
      <w:r>
        <w:continuationSeparator/>
      </w:r>
    </w:p>
  </w:endnote>
  <w:endnote w:type="continuationNotice" w:id="1">
    <w:p w14:paraId="00193599" w14:textId="77777777" w:rsidR="00E1023C" w:rsidRDefault="00E10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59C0" w14:textId="77777777" w:rsidR="00E1023C" w:rsidRDefault="00E1023C">
      <w:r>
        <w:separator/>
      </w:r>
    </w:p>
  </w:footnote>
  <w:footnote w:type="continuationSeparator" w:id="0">
    <w:p w14:paraId="689A87C4" w14:textId="77777777" w:rsidR="00E1023C" w:rsidRDefault="00E1023C">
      <w:r>
        <w:continuationSeparator/>
      </w:r>
    </w:p>
  </w:footnote>
  <w:footnote w:type="continuationNotice" w:id="1">
    <w:p w14:paraId="30107231" w14:textId="77777777" w:rsidR="00E1023C" w:rsidRDefault="00E10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0D8F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957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4D9"/>
    <w:rsid w:val="00131E4D"/>
    <w:rsid w:val="00132788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8C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6B2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AF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47F1F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FD1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44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80F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916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3A9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CD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47D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40F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2A6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BA7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56CD"/>
    <w:rsid w:val="004A60F5"/>
    <w:rsid w:val="004A61AD"/>
    <w:rsid w:val="004A6A3E"/>
    <w:rsid w:val="004A70BF"/>
    <w:rsid w:val="004A7418"/>
    <w:rsid w:val="004A7EE6"/>
    <w:rsid w:val="004B072F"/>
    <w:rsid w:val="004B0BD1"/>
    <w:rsid w:val="004B0BE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BF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07D5A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643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0D5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334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EB6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D06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1AE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C0B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A85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3C4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5A7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364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76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A23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CD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0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18BE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2EC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4E2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B96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0FA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DC4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0D5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35F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82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68B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60B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95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A92"/>
    <w:rsid w:val="00B62E41"/>
    <w:rsid w:val="00B633BF"/>
    <w:rsid w:val="00B63E6E"/>
    <w:rsid w:val="00B6474F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111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798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68C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944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82B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0C62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00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1F03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241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ECA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702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23C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1FA4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295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8FD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1C39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2595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20</cp:revision>
  <cp:lastPrinted>2020-02-04T07:31:00Z</cp:lastPrinted>
  <dcterms:created xsi:type="dcterms:W3CDTF">2021-10-19T12:40:00Z</dcterms:created>
  <dcterms:modified xsi:type="dcterms:W3CDTF">2021-11-10T08:02:00Z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