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E9C10" w14:textId="66A5BE18" w:rsidR="00263DB4" w:rsidRDefault="00263DB4" w:rsidP="00263DB4">
      <w:pPr>
        <w:pStyle w:val="Tekstpodstawowy"/>
        <w:spacing w:line="360" w:lineRule="auto"/>
        <w:rPr>
          <w:b/>
          <w:bCs/>
          <w:szCs w:val="24"/>
        </w:rPr>
      </w:pPr>
    </w:p>
    <w:p w14:paraId="0D0C5E48" w14:textId="77777777" w:rsidR="00263DB4" w:rsidRPr="00772381" w:rsidRDefault="00263DB4" w:rsidP="00263DB4">
      <w:pPr>
        <w:jc w:val="right"/>
        <w:rPr>
          <w:rFonts w:ascii="Times New Roman" w:hAnsi="Times New Roman" w:cs="Times New Roman"/>
          <w:b/>
          <w:bCs/>
        </w:rPr>
      </w:pPr>
      <w:r w:rsidRPr="00772381">
        <w:rPr>
          <w:rFonts w:ascii="Times New Roman" w:hAnsi="Times New Roman" w:cs="Times New Roman"/>
          <w:b/>
          <w:bCs/>
        </w:rPr>
        <w:t>Załącznik nr 2</w:t>
      </w:r>
    </w:p>
    <w:p w14:paraId="7F7A85F7" w14:textId="273628BB" w:rsidR="00263DB4" w:rsidRDefault="00263DB4" w:rsidP="00263DB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E0F5D">
        <w:rPr>
          <w:rFonts w:ascii="Times New Roman" w:hAnsi="Times New Roman" w:cs="Times New Roman"/>
          <w:b/>
          <w:bCs/>
          <w:sz w:val="32"/>
          <w:szCs w:val="32"/>
        </w:rPr>
        <w:t>Opis Przedmiotu Zamówienia (OPZ)</w:t>
      </w:r>
    </w:p>
    <w:p w14:paraId="3C43D668" w14:textId="1DB43ACD" w:rsidR="00AB2152" w:rsidRPr="00AB2152" w:rsidRDefault="00AB2152" w:rsidP="00AB2152">
      <w:p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bookmarkStart w:id="0" w:name="_Hlk137200367"/>
      <w:r>
        <w:rPr>
          <w:rFonts w:ascii="Cambria" w:hAnsi="Cambria"/>
          <w:b/>
          <w:bCs/>
          <w:sz w:val="24"/>
          <w:szCs w:val="24"/>
        </w:rPr>
        <w:t xml:space="preserve">Zakup </w:t>
      </w:r>
      <w:bookmarkStart w:id="1" w:name="_Hlk121138790"/>
      <w:r>
        <w:rPr>
          <w:rFonts w:ascii="Cambria" w:hAnsi="Cambria"/>
          <w:b/>
          <w:bCs/>
          <w:sz w:val="24"/>
          <w:szCs w:val="24"/>
        </w:rPr>
        <w:t xml:space="preserve">oprogramowania </w:t>
      </w:r>
      <w:bookmarkEnd w:id="1"/>
      <w:r>
        <w:rPr>
          <w:rFonts w:ascii="Cambria" w:hAnsi="Cambria"/>
          <w:b/>
          <w:bCs/>
          <w:sz w:val="24"/>
          <w:szCs w:val="24"/>
        </w:rPr>
        <w:t xml:space="preserve">do </w:t>
      </w:r>
      <w:r>
        <w:rPr>
          <w:rStyle w:val="markedcontent"/>
          <w:rFonts w:ascii="Cambria" w:hAnsi="Cambria" w:cs="Arial"/>
          <w:b/>
          <w:bCs/>
          <w:szCs w:val="24"/>
        </w:rPr>
        <w:t xml:space="preserve">backupu danych - liczba licencji: </w:t>
      </w:r>
      <w:bookmarkStart w:id="2" w:name="_Hlk137813881"/>
      <w:bookmarkEnd w:id="0"/>
      <w:r>
        <w:rPr>
          <w:rStyle w:val="markedcontent"/>
          <w:rFonts w:ascii="Cambria" w:hAnsi="Cambria" w:cs="Arial"/>
          <w:b/>
          <w:bCs/>
          <w:szCs w:val="24"/>
        </w:rPr>
        <w:t>10 instancji (serwerów, maszyn wirtualnych, stacji roboczych)</w:t>
      </w:r>
      <w:bookmarkEnd w:id="2"/>
    </w:p>
    <w:p w14:paraId="3537ABEE" w14:textId="4F9FD72B" w:rsidR="00011591" w:rsidRPr="00263DB4" w:rsidRDefault="00011591" w:rsidP="00FF4482">
      <w:pPr>
        <w:pStyle w:val="Tekstpodstawowy"/>
        <w:spacing w:line="360" w:lineRule="auto"/>
        <w:rPr>
          <w:b/>
          <w:bCs/>
          <w:szCs w:val="24"/>
          <w:lang w:val="pl-PL"/>
        </w:rPr>
      </w:pPr>
      <w:r w:rsidRPr="00263DB4">
        <w:rPr>
          <w:b/>
          <w:bCs/>
          <w:szCs w:val="24"/>
          <w:lang w:val="pl-PL"/>
        </w:rPr>
        <w:t xml:space="preserve">Specyfikacja Techniczna Oprogramowania </w:t>
      </w:r>
      <w:r w:rsidR="00FF4482">
        <w:rPr>
          <w:b/>
          <w:bCs/>
          <w:szCs w:val="24"/>
          <w:lang w:val="pl-PL"/>
        </w:rPr>
        <w:t>– wymagania ogólne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FF4482" w:rsidRPr="00FF4482" w14:paraId="5D151E59" w14:textId="77777777" w:rsidTr="003A2EC4">
        <w:trPr>
          <w:trHeight w:val="12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E9ADD0" w14:textId="77777777" w:rsid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>W ramach realizacji zamówienia Wykonawca  zobowiązany jest do instalacji</w:t>
            </w:r>
            <w:r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br/>
            </w:r>
            <w:r w:rsidRPr="00FF4482"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 xml:space="preserve"> i konfiguracji dostarczonego oprogramowania oraz zaprojektowanie i wdrożenie polityki tworzenia kopii zapasowych z wykorzystaniem dostarczonego oprogramowania do backupu wg potrzeb Zamawiającego.</w:t>
            </w:r>
          </w:p>
          <w:p w14:paraId="05605E7A" w14:textId="513F27E0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</w:pPr>
          </w:p>
        </w:tc>
      </w:tr>
      <w:tr w:rsidR="00FF4482" w:rsidRPr="00FF4482" w14:paraId="67ECAB13" w14:textId="77777777" w:rsidTr="003A2EC4">
        <w:trPr>
          <w:trHeight w:val="12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3A26BC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Licencja  wieczysta musi obejmować min 10 instancji (serwerów, maszyn wirtualnych, stacji roboczych) wraz ze wsparciem technicznym producenta oprogramowania i możliwością pobierania aktualizacji przez okres min 3 lat bez ponoszenia dodatkowych kosztów w tym okresie.</w:t>
            </w:r>
          </w:p>
        </w:tc>
      </w:tr>
      <w:tr w:rsidR="00FF4482" w:rsidRPr="00FF4482" w14:paraId="2DC74746" w14:textId="77777777" w:rsidTr="003A2EC4">
        <w:trPr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6BDB41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Oprogramowanie musi współpracować z infrastrukturą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VMware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w wersji 6.x, 7.x i 8.0 oraz Microsoft Hyper-V 2012, 2012R2, 2016, 2019 i 2022. </w:t>
            </w:r>
          </w:p>
        </w:tc>
      </w:tr>
      <w:tr w:rsidR="00FF4482" w:rsidRPr="00FF4482" w14:paraId="6F9D6DEE" w14:textId="77777777" w:rsidTr="003A2EC4">
        <w:trPr>
          <w:trHeight w:val="6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06093E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Oprogramowanie musi zapewniać tworzenie kopii zapasowych z sieciowych urządzeń plikowych NAS opartych o SMB, CIFS i/lub NFS oraz bezpośrednio z serwerów plikowych opartych o Windows i Linux.</w:t>
            </w:r>
          </w:p>
        </w:tc>
      </w:tr>
      <w:tr w:rsidR="00FF4482" w:rsidRPr="00FF4482" w14:paraId="63602B4C" w14:textId="77777777" w:rsidTr="003A2EC4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8F3E92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Oprogramowanie musi być niezależne sprzętowo i umożliwiać wykorzystanie dowolnej platformy serwerowej i dyskowej</w:t>
            </w:r>
          </w:p>
        </w:tc>
      </w:tr>
      <w:tr w:rsidR="00FF4482" w:rsidRPr="00FF4482" w14:paraId="29F57A06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69EEA7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Oprogramowanie musi tworzyć “samowystarczalne” archiwa do odzyskania których nie wymagana jest osobna baza danych z metadanymi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deduplikowanych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bloków</w:t>
            </w:r>
          </w:p>
        </w:tc>
      </w:tr>
      <w:tr w:rsidR="00FF4482" w:rsidRPr="00FF4482" w14:paraId="2BB462FE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570DAC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Oprogramowanie musi mieć mechanizmy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deduplikacji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i kompresji w celu zmniejszenia wielkości archiwów. Włączenie tych mechanizmów nie może skutkować utratą jakichkolwiek funkcjonalności wymienionych w tej specyfikacji</w:t>
            </w:r>
          </w:p>
        </w:tc>
      </w:tr>
      <w:tr w:rsidR="00FF4482" w:rsidRPr="00FF4482" w14:paraId="21C951F1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466624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Oprogramowanie nie może przechowywać danych o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deduplikacji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w centralnej bazie. Utrata bazy danych używanej przez oprogramowanie nie może prowadzić do utraty możliwości odtworzenia backupu. Metadane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deduplikacji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muszą być przechowywane w plikach backupu.</w:t>
            </w:r>
          </w:p>
        </w:tc>
      </w:tr>
      <w:tr w:rsidR="00FF4482" w:rsidRPr="00FF4482" w14:paraId="516E270F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593C61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Oprogramowanie musi zapewniać warstwę abstrakcji nad poszczególnymi urządzeniami pamięci masowej, pozwalając utworzyć jedną wirtualną pulę pamięci na kopie zapasowe. Wymagane jest wsparcie dla nieograniczonej liczby pamięci masowych do takiej puli.</w:t>
            </w:r>
          </w:p>
        </w:tc>
      </w:tr>
      <w:tr w:rsidR="00FF4482" w:rsidRPr="00FF4482" w14:paraId="0A970548" w14:textId="77777777" w:rsidTr="003A2EC4">
        <w:trPr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DD51C7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bookmarkStart w:id="3" w:name="RANGE!B12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Oprogramowanie musi pozwalać na tworzenie repozytorium kopii zapasowych bezpośrednio na zasobach Microsoft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Azure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Blob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, Google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Cloud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Storage, Amazon S3, Wasabi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Cloud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Storage oraz na innych kompatybilnych z S3 przestrzeniach obiektowych. Dodatkowo, oprogramowanie musi wspierać archiwizowanie tych danych do Microsoft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Azure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Archive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Blob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Storage oraz Amazon S3 Glacier.</w:t>
            </w:r>
            <w:bookmarkEnd w:id="3"/>
          </w:p>
        </w:tc>
      </w:tr>
      <w:tr w:rsidR="00FF4482" w:rsidRPr="00FF4482" w14:paraId="777FC58A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B2414B" w14:textId="2F2874FE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lastRenderedPageBreak/>
              <w:t xml:space="preserve">Oprogramowanie musi wspierać niezmienność kopii zapasowych na potrzeby ochrony przed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ransomware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poprzez niedopuszczenie do usunięcia lub modyfikacji kopii zapasowej 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br/>
            </w: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w zadanym okresie czasu. </w:t>
            </w:r>
          </w:p>
        </w:tc>
      </w:tr>
      <w:tr w:rsidR="00FF4482" w:rsidRPr="00FF4482" w14:paraId="198D90C0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CA4387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Oprogramowanie nie może instalować żadnych stałych agentów wymagających wdrożenia czy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upgradowania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wewnątrz maszyny wirtualnej dla jakichkolwiek funkcjonalności backupu lub odtwarzania</w:t>
            </w:r>
          </w:p>
        </w:tc>
      </w:tr>
      <w:tr w:rsidR="00FF4482" w:rsidRPr="00FF4482" w14:paraId="25787D66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F6CF38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Oprogramowanie musi oferować portal samoobsługowy, umożliwiający odtwarzanie użytkownikom wirtualnych maszyn, obiektów MS Exchange i baz danych MS SQL, Oracle oraz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PostgreSQL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(w tym odtwarzanie point-in-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time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)</w:t>
            </w:r>
          </w:p>
        </w:tc>
      </w:tr>
      <w:tr w:rsidR="00FF4482" w:rsidRPr="00FF4482" w14:paraId="40DB89F4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6F74AB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Oprogramowanie musi zapewniać możliwość delegacji uprawnień do odtwarzania na portalu</w:t>
            </w:r>
          </w:p>
        </w:tc>
      </w:tr>
      <w:tr w:rsidR="00FF4482" w:rsidRPr="00FF4482" w14:paraId="0AFBC038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483A92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Oprogramowanie musi mieć możliwość integracji z innymi systemami poprzez wbudowane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RESTful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API</w:t>
            </w:r>
          </w:p>
        </w:tc>
      </w:tr>
      <w:tr w:rsidR="00FF4482" w:rsidRPr="00FF4482" w14:paraId="502D9F03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09DB43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Oprogramowanie musi mieć wbudowane mechanizmy backupu konfiguracji w celu prostego odtworzenia systemu po całkowitej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reinstalacji</w:t>
            </w:r>
            <w:proofErr w:type="spellEnd"/>
          </w:p>
        </w:tc>
      </w:tr>
      <w:tr w:rsidR="00FF4482" w:rsidRPr="00FF4482" w14:paraId="2BC6EC08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3A11BB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Oprogramowanie musi mieć wbudowane mechanizmy szyfrowania zarówno plików z backupami jak i transmisji sieciowej. Włączenie szyfrowania nie może skutkować utratą jakiejkolwiek funkcjonalności wymienionej w tej specyfikacji</w:t>
            </w:r>
          </w:p>
        </w:tc>
      </w:tr>
      <w:tr w:rsidR="00FF4482" w:rsidRPr="00FF4482" w14:paraId="51130B9E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59B21F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Oprogramowanie musi posiadać mechanizmy chroniące przed utratą hasła szyfrowania</w:t>
            </w:r>
          </w:p>
        </w:tc>
      </w:tr>
      <w:tr w:rsidR="00FF4482" w:rsidRPr="00FF4482" w14:paraId="4E624059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B17F01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Oprogramowanie musi posiadać architekturę klient/serwer z możliwością instalacji wielu instancji konsoli administracyjnych.</w:t>
            </w:r>
          </w:p>
        </w:tc>
      </w:tr>
      <w:tr w:rsidR="00FF4482" w:rsidRPr="00FF4482" w14:paraId="2DAA7C2C" w14:textId="77777777" w:rsidTr="003A2EC4">
        <w:trPr>
          <w:trHeight w:val="6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4B8142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Oprogramowanie musi posiadać natywne mechanizmy uwierzytelniania wieloskładnikowego (MFA) w celu dostępu do konsoli administracyjnej</w:t>
            </w:r>
          </w:p>
        </w:tc>
      </w:tr>
      <w:tr w:rsidR="00FF4482" w:rsidRPr="00FF4482" w14:paraId="0D843AB2" w14:textId="77777777" w:rsidTr="003A2EC4">
        <w:trPr>
          <w:trHeight w:val="6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6A6A7F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Oprogramowanie musi wykorzystywać mechanizmy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Change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Block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Tracking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na wszystkich wspieranych platformach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wirtualizacyjnych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. Mechanizmy muszą być certyfikowane przez dostawcę platformy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wirtualizacyjnej</w:t>
            </w:r>
            <w:proofErr w:type="spellEnd"/>
          </w:p>
        </w:tc>
      </w:tr>
      <w:tr w:rsidR="00FF4482" w:rsidRPr="00FF4482" w14:paraId="508EBFE9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CC66C1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Oprogramowanie musi wykorzystywać mechanizmy śledzenia zmienionych plików przy zabezpieczaniu udziałów plikowych.</w:t>
            </w:r>
          </w:p>
        </w:tc>
      </w:tr>
      <w:tr w:rsidR="00FF4482" w:rsidRPr="00FF4482" w14:paraId="34EC75BD" w14:textId="77777777" w:rsidTr="003A2EC4">
        <w:trPr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651BE9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Oprogramowanie musi oferować możliwość sterowania obciążeniem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storage'u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produkcyjnego tak aby nie przekraczane były skonfigurowane przez administratora backupu poziomy latencji. Funkcjonalność ta musi być dostępna na wszystkich wspieranych platformach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wirtualizacyjnych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z dokładnością do pojedynczego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datastoru</w:t>
            </w:r>
            <w:proofErr w:type="spellEnd"/>
          </w:p>
        </w:tc>
      </w:tr>
      <w:tr w:rsidR="00FF4482" w:rsidRPr="00FF4482" w14:paraId="7EC8AEA3" w14:textId="77777777" w:rsidTr="003A2EC4">
        <w:trPr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6DA10F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Oprogramowanie musi zapewniać tworzenie kopii zapasowych z bezpośrednim wykorzystaniem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snapshotów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macierzowych. Musi też zapewniać odtwarzanie maszyn wirtualnych z takich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snapshotów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. Proces wykonania kopii zapasowej nie może wymagać użycia jakichkolwiek hostów tymczasowych. Opisana funkcjonalność powinna działać w środowisku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VMware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.</w:t>
            </w:r>
          </w:p>
        </w:tc>
      </w:tr>
      <w:tr w:rsidR="00FF4482" w:rsidRPr="00FF4482" w14:paraId="0AE19D85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E09C85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Oprogramowanie musi posiadać wsparcie dla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VMware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vSAN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potwierdzone odpowiednią certyfikacją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VMware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.</w:t>
            </w:r>
          </w:p>
        </w:tc>
      </w:tr>
      <w:tr w:rsidR="00FF4482" w:rsidRPr="00FF4482" w14:paraId="0D497BCD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64ACE5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Oprogramowanie musi wspierać kopiowanie backupów oraz zasobów plikowych na taśmy.</w:t>
            </w:r>
          </w:p>
        </w:tc>
      </w:tr>
      <w:tr w:rsidR="00FF4482" w:rsidRPr="00FF4482" w14:paraId="5F3CEF3E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1F1A33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Oprogramowanie musi mieć możliwość tworzenia retencji GFS (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Grandfather-Father-Son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)</w:t>
            </w:r>
          </w:p>
        </w:tc>
      </w:tr>
      <w:tr w:rsidR="00FF4482" w:rsidRPr="00FF4482" w14:paraId="50247851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B2F9C3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Oprogramowanie musi wspierać bezpośrednią integrację z urządzeniami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deduplikacyjnymi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. Minimalnie wsparcie wymagane dla Dell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DataDomain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, HPE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StoreOnce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,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ExaGrid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, Fujitsu CS800, Quantum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DXi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oraz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Infinidat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InfiniGuard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. </w:t>
            </w:r>
          </w:p>
        </w:tc>
      </w:tr>
      <w:tr w:rsidR="00FF4482" w:rsidRPr="00FF4482" w14:paraId="0D1DBEE9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28AA66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lastRenderedPageBreak/>
              <w:t xml:space="preserve">Oprogramowanie musi wspierać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BlockClone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API w przypadku użycia Windows Server 2016, 2019 lub 2022 z systemem pliku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ReFS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jako repozytorium backupu. Podobna funkcjonalność musi być zapewniona dla repozytoriów opartych o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linuxowy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system plików XFS.</w:t>
            </w:r>
          </w:p>
        </w:tc>
      </w:tr>
      <w:tr w:rsidR="00FF4482" w:rsidRPr="00FF4482" w14:paraId="0EB19F1D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31986E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Oprogramowanie musi mieć możliwość kopiowania backupów oraz replikacji wirtualnych maszyn z wykorzystaniem wbudowanej akceleracji WAN.</w:t>
            </w:r>
          </w:p>
        </w:tc>
      </w:tr>
      <w:tr w:rsidR="00FF4482" w:rsidRPr="00FF4482" w14:paraId="4369C893" w14:textId="77777777" w:rsidTr="003A2EC4">
        <w:trPr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31C545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Oprogramowanie musi mieć możliwość replikacji asynchronicznej włączonych wirtualnych maszyn bezpośrednio z infrastruktury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VMware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vSphere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pomiędzy hostami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ESXi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oraz pomiędzy hostami Hyper-V. Dodatkowo oprogramowanie musi mieć możliwość użycia plików kopii zapasowych jako źródła replikacji.</w:t>
            </w:r>
          </w:p>
        </w:tc>
      </w:tr>
      <w:tr w:rsidR="00FF4482" w:rsidRPr="00FF4482" w14:paraId="6298E44C" w14:textId="77777777" w:rsidTr="003A2EC4">
        <w:trPr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408771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Oprogramowanie musi mieć możliwość replikacji ciągłej, opartej o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VMware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VAIO, włączonych wirtualnych maszyn bezpośrednio z infrastruktury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VMware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vSphere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. Dla replikacji ciągłej musi być możliwość zdefiniowania dziennika pozwalającego na odzyskanie danych z dowolnego punku w ramach ustalonego parametru RPO.</w:t>
            </w:r>
          </w:p>
        </w:tc>
      </w:tr>
      <w:tr w:rsidR="00FF4482" w:rsidRPr="00FF4482" w14:paraId="759AD4F1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7B272E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Oprogramowanie musi umożliwiać przechowywanie punktów przywracania dla replik</w:t>
            </w:r>
          </w:p>
        </w:tc>
      </w:tr>
      <w:tr w:rsidR="00FF4482" w:rsidRPr="00FF4482" w14:paraId="167245BA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E81B75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Oprogramowanie musi umożliwiać wykorzystanie istniejących w infrastrukturze wirtualnych maszyn jako źródła do dalszej replikacji (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replica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seeding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)</w:t>
            </w:r>
          </w:p>
        </w:tc>
      </w:tr>
      <w:tr w:rsidR="00FF4482" w:rsidRPr="00FF4482" w14:paraId="7763C53A" w14:textId="77777777" w:rsidTr="003A2EC4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E9AB77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Oprogramowanie musi wykorzystywać wszystkie oferowane przez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hypervisor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tryby transportu (sieć, hot-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add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, LAN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Free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-SAN)</w:t>
            </w:r>
          </w:p>
        </w:tc>
      </w:tr>
      <w:tr w:rsidR="00FF4482" w:rsidRPr="00FF4482" w14:paraId="074DD3EA" w14:textId="77777777" w:rsidTr="003A2EC4">
        <w:trPr>
          <w:trHeight w:val="12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922979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Oprogramowanie musi umożliwiać jednoczesne uruchomienie wielu maszyn wirtualnych bezpośrednio ze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zdeduplikowanego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i skompresowanego pliku backupu, z dowolnego punktu przywracania, bez potrzeby kopiowania jej na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storage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produkcyjny. Funkcjonalność musi być oferowana dla środowisk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VMware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, Hyper-V oraz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Nutanix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AHV niezależnie od rodzaju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storage’u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użytego do przechowywania kopii zapasowych.</w:t>
            </w:r>
          </w:p>
        </w:tc>
      </w:tr>
      <w:tr w:rsidR="00FF4482" w:rsidRPr="00FF4482" w14:paraId="2DD583DA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C75A06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Dodatkowo dla środowiska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vSphere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, Hyper-V i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Nutanix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AHV powyższa funkcjonalność powinna umożliwiać uruchomianie backupu z innych platform (inne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wirtualizatory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, maszyny fizyczne oraz chmura publiczna)</w:t>
            </w:r>
          </w:p>
        </w:tc>
      </w:tr>
      <w:tr w:rsidR="00FF4482" w:rsidRPr="00FF4482" w14:paraId="17CA35C8" w14:textId="77777777" w:rsidTr="003A2EC4">
        <w:trPr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301CB5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Oprogramowanie musi pozwalać na migrację on-line tak uruchomionych maszyn na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storage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produkcyjny. Migracja powinna odbywać się mechanizmami wbudowanymi w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hypervisor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. Jeżeli licencja na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hypervisor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nie posiada takich funkcjonalności - oprogramowanie musi realizować taką migrację swoimi mechanizmami</w:t>
            </w:r>
          </w:p>
        </w:tc>
      </w:tr>
      <w:tr w:rsidR="00FF4482" w:rsidRPr="00FF4482" w14:paraId="51218179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7DEE08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Oprogramowanie musi pozwalać na zaprezentowanie pojedynczego dysku bezpośrednio z kopii zapasowej do wybranej działającej maszyny wirtualnej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vSpehre</w:t>
            </w:r>
            <w:proofErr w:type="spellEnd"/>
          </w:p>
        </w:tc>
      </w:tr>
      <w:tr w:rsidR="00FF4482" w:rsidRPr="00FF4482" w14:paraId="3B7F2FB3" w14:textId="77777777" w:rsidTr="003A2EC4">
        <w:trPr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70CD43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Oprogramowanie musi pozwalać na uruchomienie zasobów plikowych SMB oraz baz danych MS SQL i Oracle bezpośrednio ze skompresowanego i skompresowanego pliku backupu. Dodatkowo wspierana musi być migracja on-line tak uruchomionych zasobów na środowisko produkcyjne.</w:t>
            </w:r>
          </w:p>
        </w:tc>
      </w:tr>
      <w:tr w:rsidR="00FF4482" w:rsidRPr="00FF4482" w14:paraId="06FC985D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55ADE3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Oprogramowanie musi umożliwiać pełne odtworzenie wirtualnej maszyny, plików konfiguracji i dysków</w:t>
            </w:r>
          </w:p>
        </w:tc>
      </w:tr>
      <w:tr w:rsidR="00FF4482" w:rsidRPr="00FF4482" w14:paraId="472E3A46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6DD26C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Oprogramowanie musi umożliwiać pełne odtworzenie wirtualnej maszyny bezpośrednio do Microsoft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Azure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, Microsoft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Azure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Stack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, Amazon EC2 oraz Google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Cloud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Platform.</w:t>
            </w:r>
          </w:p>
        </w:tc>
      </w:tr>
      <w:tr w:rsidR="00FF4482" w:rsidRPr="00FF4482" w14:paraId="31AAE3FC" w14:textId="77777777" w:rsidTr="003A2EC4">
        <w:trPr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7E5C61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Oprogramowanie musi umożliwić odtworzenie plików/folderów lub ich uprawnień na maszynę operatora, lub na serwer produkcyjny bez potrzeby użycia agenta instalowanego wewnątrz wirtualnej maszyny. Funkcjonalność ta nie powinna być ograniczona wielkością i liczbą przywracanych plików</w:t>
            </w:r>
          </w:p>
        </w:tc>
      </w:tr>
      <w:tr w:rsidR="00FF4482" w:rsidRPr="00FF4482" w14:paraId="027C4F13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F8FFDC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lastRenderedPageBreak/>
              <w:t xml:space="preserve">Oprogramowanie musi mieć możliwość odtworzenia plików bezpośrednio do maszyny wirtualnej poprzez sieć, przy pomocy natywnego API dla platformy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VMware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i PowerShell Direct dla platformy Hyper-V.</w:t>
            </w:r>
          </w:p>
        </w:tc>
      </w:tr>
      <w:tr w:rsidR="00FF4482" w:rsidRPr="00FF4482" w14:paraId="6BE321FA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F24F8F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Oprogramowanie musi wspierać odtwarzanie pojedynczych plików z systemów Windows, Linux, BSD, Solaris, Mac, Novell</w:t>
            </w:r>
          </w:p>
        </w:tc>
      </w:tr>
      <w:tr w:rsidR="00FF4482" w:rsidRPr="00FF4482" w14:paraId="7A384488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9B5C80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Oprogramowanie musi wspierać przywracanie plików z partycji Linux LVM oraz Windows Storage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Spaces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.</w:t>
            </w:r>
          </w:p>
        </w:tc>
      </w:tr>
      <w:tr w:rsidR="00FF4482" w:rsidRPr="00FF4482" w14:paraId="267939F1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AA11C9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Oprogramowanie musi umożliwiać szybkie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granularne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odtwarzanie obiektów aplikacji bez użycia jakiegokolwiek agenta zainstalowanego wewnątrz maszyny wirtualnej.</w:t>
            </w:r>
          </w:p>
        </w:tc>
      </w:tr>
      <w:tr w:rsidR="00FF4482" w:rsidRPr="00FF4482" w14:paraId="78C18D4E" w14:textId="77777777" w:rsidTr="003A2EC4">
        <w:trPr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B097F0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Oprogramowanie musi wspierać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granularne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odtwarzanie obiektów Active Directory takich jak konta komputerów, konta użytkowników, dowolnych atrybutów, rekordów DNS zintegrowanych z AD, Microsoft System Objects, certyfikatów CA, elementów AD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Sites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oraz pozwalać na odtworzenie haseł. </w:t>
            </w:r>
          </w:p>
        </w:tc>
      </w:tr>
      <w:tr w:rsidR="00FF4482" w:rsidRPr="00FF4482" w14:paraId="01593234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56CF3D" w14:textId="7F2D2165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Oprogramowanie musi wspierać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granularne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odtwarzanie Microsoft Exchange 2013SP1 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br/>
            </w: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i nowszych (dowolny obiekt w tym obiekty w folderze "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Permanently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Deleted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Objects"). Odtwarzanie musi być możliwe bezpośrednio do środowiska produkcyjnego.</w:t>
            </w:r>
          </w:p>
        </w:tc>
      </w:tr>
      <w:tr w:rsidR="00FF4482" w:rsidRPr="00FF4482" w14:paraId="316FA420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E79C9A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Oprogramowanie musi wspierać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granularne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odtwarzanie Microsoft SQL 2008 i nowszych. Odtwarzanie musi być możliwe bezpośrednio do środowiska produkcyjnego dla odzysku point-in-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time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, całych baz lub pojedynczych tabeli, widoków oraz procedur.</w:t>
            </w:r>
          </w:p>
        </w:tc>
      </w:tr>
      <w:tr w:rsidR="00FF4482" w:rsidRPr="00FF4482" w14:paraId="28A191D1" w14:textId="77777777" w:rsidTr="003A2EC4">
        <w:trPr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F83F4F" w14:textId="55A902C1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Oprogramowanie musi wspierać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granularne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odtwarzanie Microsoft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Sharepoint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2013 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br/>
            </w: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i nowszych. Odtwarzanie musi być możliwe bezpośrednio do środowiska produkcyjnego dla odzysku całych witryn, bibliotek oraz pojedynczych dokumentów wraz z historią ich wersji.</w:t>
            </w:r>
          </w:p>
        </w:tc>
      </w:tr>
      <w:tr w:rsidR="00FF4482" w:rsidRPr="00FF4482" w14:paraId="6440C2BD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63C9C7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Oprogramowanie musi wspierać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granularne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odtwarzanie baz danych Oracle z opcją odtwarzanie point-in-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time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wraz z włączonym Oracle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DataGuard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. Funkcjonalność ta musi być dostępna dla baz uruchomionych w środowiskach Windows oraz Linux.</w:t>
            </w:r>
          </w:p>
        </w:tc>
      </w:tr>
      <w:tr w:rsidR="00FF4482" w:rsidRPr="00FF4482" w14:paraId="5C66EEE0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7BB8A2" w14:textId="578135C0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Oprogramowanie musi wspierać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granularne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odtwarzanie baz danych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PostgreSQL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z opcją odtwarzanie point-in-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time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. Funkcjonalność ta musi być dostępna dla baz uruchomionych 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br/>
            </w: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w środowiskach Linux.</w:t>
            </w:r>
          </w:p>
        </w:tc>
      </w:tr>
      <w:tr w:rsidR="00FF4482" w:rsidRPr="00FF4482" w14:paraId="7B4F4D2B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E6E0E9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Oprogramowanie musi posiadać natywną integrację dla backupów wykonywanych poprzez Oracle RMAN</w:t>
            </w:r>
          </w:p>
        </w:tc>
      </w:tr>
      <w:tr w:rsidR="00FF4482" w:rsidRPr="00FF4482" w14:paraId="20CC18AF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5054A5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Oprogramowanie musi posiadać natywną integrację dla backupów wykonywanych poprzez SAP HANA, SAP Oracle</w:t>
            </w:r>
          </w:p>
        </w:tc>
      </w:tr>
      <w:tr w:rsidR="00FF4482" w:rsidRPr="00FF4482" w14:paraId="1526D799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DBA3C7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Oprogramowanie musi posiadać natywną integrację dla backupów wykonywanych poprzez MS SQL VDI</w:t>
            </w:r>
          </w:p>
        </w:tc>
      </w:tr>
      <w:tr w:rsidR="00FF4482" w:rsidRPr="00FF4482" w14:paraId="710F4968" w14:textId="77777777" w:rsidTr="003A2EC4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29B4F1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Oprogramowanie musi wspierać także specyficzne metody odtwarzania w tym "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reverse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CBT" oraz odtwarzanie z wykorzystaniem sieci SAN</w:t>
            </w:r>
          </w:p>
        </w:tc>
      </w:tr>
      <w:tr w:rsidR="00FF4482" w:rsidRPr="00FF4482" w14:paraId="32F4DCC8" w14:textId="77777777" w:rsidTr="003A2EC4">
        <w:trPr>
          <w:trHeight w:val="9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7FFC09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Oprogramowanie musi dawać możliwość stworzenia laboratorium (izolowane środowisko) dla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vSphere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i Hyper-V używając wirtualnych maszyn uruchamianych bezpośrednio z plików backupu. Powyższa funkcjonalność powinna umożliwiać uruchomianie backupu z innych platform (inne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wirtualizatory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, maszyny fizyczne oraz chmura publiczna)</w:t>
            </w:r>
          </w:p>
        </w:tc>
      </w:tr>
      <w:tr w:rsidR="00FF4482" w:rsidRPr="00FF4482" w14:paraId="3FE8F26F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C6B3B4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Dla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VMware’a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oprogramowanie musi pozwalać na uruchomienie takiego środowiska dla replik maszyn wirtualnych oraz bezpośrednio ze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snapshotów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macierzowych stworzonych na wspieranych urządzeniach.</w:t>
            </w:r>
          </w:p>
        </w:tc>
      </w:tr>
      <w:tr w:rsidR="00FF4482" w:rsidRPr="00FF4482" w14:paraId="08A7CEA1" w14:textId="77777777" w:rsidTr="003A2EC4">
        <w:trPr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A9517B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lastRenderedPageBreak/>
              <w:t>Oprogramowanie musi umożliwiać weryfikację odtwarzalności wielu wirtualnych maszyn jednocześnie z dowolnego backupu według własnego harmonogramu w izolowanym środowisku. Testy powinny uwzględniać możliwość uruchomienia dowolnego skryptu testującego również aplikację uruchomioną na wirtualnej maszynie. Testy muszą być przeprowadzone bez interakcji z administratorem</w:t>
            </w:r>
          </w:p>
        </w:tc>
      </w:tr>
      <w:tr w:rsidR="00FF4482" w:rsidRPr="00FF4482" w14:paraId="4DA49275" w14:textId="77777777" w:rsidTr="003A2EC4">
        <w:trPr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AE9C07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Oprogramowanie musi umożliwiać integrację z oprogramowaniem antywirusowym w celu wykonania skanu zawartości pliku backupowego przed odtworzeniem jakichkolwiek danych. Integracja musi być zapewniona minimalnie dla Windows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Defender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, Symantec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Protection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Engine oraz ESET NOD32.</w:t>
            </w:r>
          </w:p>
        </w:tc>
      </w:tr>
      <w:tr w:rsidR="00FF4482" w:rsidRPr="00FF4482" w14:paraId="5B823FB5" w14:textId="77777777" w:rsidTr="003A2EC4">
        <w:trPr>
          <w:trHeight w:val="6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936B25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Oprogramowanie musi umożliwiać dwuetapowe, automatyczne, odtwarzanie maszyn wirtualnych z możliwością wstrzyknięcia dowolnego skryptu przed odtworzeniem danych do środowiska produkcyjnego.</w:t>
            </w:r>
          </w:p>
        </w:tc>
      </w:tr>
      <w:tr w:rsidR="00FF4482" w:rsidRPr="00FF4482" w14:paraId="6E761612" w14:textId="77777777" w:rsidTr="003A2EC4">
        <w:trPr>
          <w:trHeight w:val="6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F7B8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Rozwiązanie musi wykonywać kopię zapasową systemu Windows oraz Linux wykorzystując agenta znajdującego się wewnątrz systemu operacyjnego</w:t>
            </w:r>
          </w:p>
        </w:tc>
      </w:tr>
      <w:tr w:rsidR="00FF4482" w:rsidRPr="00FF4482" w14:paraId="17D3B40C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39B4A3" w14:textId="2CE7EB85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Rozwiązanie musi wspierać systemy operacyjne Windows w wersjach klienckich oraz serwerowych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.</w:t>
            </w:r>
          </w:p>
        </w:tc>
      </w:tr>
      <w:tr w:rsidR="00FF4482" w:rsidRPr="00FF4482" w14:paraId="66C2D3BE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AEFA3D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Rozwiązanie musi wspierać co najmniej następujące dystrybucje systemów Linux: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Debian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,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Ubuntu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, RHEL,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CentOS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, Oracle Linux, SLES, Fedora,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openSUSE</w:t>
            </w:r>
            <w:proofErr w:type="spellEnd"/>
          </w:p>
        </w:tc>
      </w:tr>
      <w:tr w:rsidR="00FF4482" w:rsidRPr="00FF4482" w14:paraId="121A8B69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421B34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Rozwiązanie musi wspierać system operacyjny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macOS</w:t>
            </w:r>
            <w:proofErr w:type="spellEnd"/>
          </w:p>
        </w:tc>
      </w:tr>
      <w:tr w:rsidR="00FF4482" w:rsidRPr="00FF4482" w14:paraId="327A2F26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62F5BE" w14:textId="1A4062D4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Oprogramowanie musi wspierać odtwarzanie pojedynczych plików z systemów Windows, Linux,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MacOS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, Unix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.</w:t>
            </w:r>
          </w:p>
        </w:tc>
      </w:tr>
      <w:tr w:rsidR="00FF4482" w:rsidRPr="00FF4482" w14:paraId="17E6DFF9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6F9654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Rozwiązanie musi mieć możliwość instalacji oraz zarządzania wykorzystując tryb niezależny (per agent) jak również zcentralizowany (poprzez centralną konsolę zarządzającą)</w:t>
            </w:r>
          </w:p>
        </w:tc>
      </w:tr>
      <w:tr w:rsidR="00FF4482" w:rsidRPr="00FF4482" w14:paraId="00347652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2B0390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Rozwiązanie musi wspierać systemy oparte o Microsoft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Failover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Cluster</w:t>
            </w:r>
          </w:p>
        </w:tc>
      </w:tr>
      <w:tr w:rsidR="00FF4482" w:rsidRPr="00FF4482" w14:paraId="1601FD26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ABD471" w14:textId="04FFF140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Rozwiązanie musi wspierać zabezpieczanie do oraz odzyskiwanie z urządzeń blokowych pozwalając na odzysk całej maszyny (tzw.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bare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metal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recovery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) wybranych wolumenów, oraz wybranych plików i folderów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.</w:t>
            </w:r>
          </w:p>
        </w:tc>
      </w:tr>
      <w:tr w:rsidR="00FF4482" w:rsidRPr="00FF4482" w14:paraId="2EEBE885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5953AC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Rozwiązanie musi wspierać backup podłączonych dysków USB</w:t>
            </w:r>
          </w:p>
        </w:tc>
      </w:tr>
      <w:tr w:rsidR="00FF4482" w:rsidRPr="00FF4482" w14:paraId="68E2919A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43F389" w14:textId="0824DB90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Kopia zapasowa całej maszyny oraz pojedynczych wolumenów musi być wykonywana na poziomie blokowym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.</w:t>
            </w:r>
          </w:p>
        </w:tc>
      </w:tr>
      <w:tr w:rsidR="00FF4482" w:rsidRPr="00FF4482" w14:paraId="20391EED" w14:textId="77777777" w:rsidTr="003A2EC4">
        <w:trPr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F8C20C" w14:textId="465D462A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Rozwiązanie musi pozwalać na przechowywanie kopii zapasowych na zasobach lokalnych (wewnętrznych) dyskach zabezpieczanej maszyny, Direct Attached Storage (DAS), takich jak zewnętrzne dyski USB,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eSATA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lub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Firewire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, Network Attached Storage (NAS) pozwalającym na wystawienie swoich zasobów poprzez SMB (CIFS) lub NFS, bezpośrednio na zasobach obiektowych (w tym chmury)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.</w:t>
            </w:r>
          </w:p>
        </w:tc>
      </w:tr>
      <w:tr w:rsidR="00FF4482" w:rsidRPr="00FF4482" w14:paraId="01D473C8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643866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Rozwiązanie musi wspierać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deduplikacje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oraz kompresję na źródle. Dane wysyłane na repozytorium muszą być już odpowiednio przetworzone </w:t>
            </w:r>
          </w:p>
        </w:tc>
      </w:tr>
      <w:tr w:rsidR="00FF4482" w:rsidRPr="00FF4482" w14:paraId="621DD010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6A6126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Rozwiązanie musi wspierać kontrolę pasma sieciowego</w:t>
            </w:r>
          </w:p>
        </w:tc>
      </w:tr>
      <w:tr w:rsidR="00FF4482" w:rsidRPr="00FF4482" w14:paraId="712152E5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C3DDD1" w14:textId="25241F1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Rozwiązanie musi wspierać ograniczenie wykonywania backupów dla konkretnych sieci bezprzewodowych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.</w:t>
            </w:r>
          </w:p>
        </w:tc>
      </w:tr>
      <w:tr w:rsidR="00FF4482" w:rsidRPr="00FF4482" w14:paraId="1A36F856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760F55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Rozwiązanie musi wspierać ograniczenia wykonywania backupów dla połączeń VPN</w:t>
            </w:r>
          </w:p>
        </w:tc>
      </w:tr>
      <w:tr w:rsidR="00FF4482" w:rsidRPr="00FF4482" w14:paraId="75B00FB5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E1C785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Rozwiązanie musi wspierać śledzenie zmienionych bloków podczas wykonywania kopii zapasowych. Dla systemów Windows technologia śledzenia bloków dla systemów serwerowych musi być certyfikowana przez Microsoft</w:t>
            </w:r>
          </w:p>
        </w:tc>
      </w:tr>
      <w:tr w:rsidR="00FF4482" w:rsidRPr="00FF4482" w14:paraId="7D69184E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577D26" w14:textId="6155F2D0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lastRenderedPageBreak/>
              <w:t>Rozwiązanie musi wspierać technologię BitLocker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.</w:t>
            </w:r>
          </w:p>
        </w:tc>
      </w:tr>
      <w:tr w:rsidR="00FF4482" w:rsidRPr="00FF4482" w14:paraId="14E53754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D67221" w14:textId="12D1F838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Rozwiązanie musi wspierać uruchamianie z nośnika odtwarzania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.</w:t>
            </w:r>
          </w:p>
        </w:tc>
      </w:tr>
      <w:tr w:rsidR="00FF4482" w:rsidRPr="00FF4482" w14:paraId="61359A23" w14:textId="77777777" w:rsidTr="003A2EC4">
        <w:trPr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88551A" w14:textId="369F5D65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Rozwiązanie musi wspierać odzysk pojedynczych elementów aplikacji z jednoprzebiegowej kopii zapasowej dla Microsoft Exchange 2013SP1 i nowszych, Microsoft Active Directory 2008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br/>
            </w: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i nowszych, Microsoft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Sharepoint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2013 i nowszych, Microsoft SQL 2008 i nowszych, Oracle 11g i nowszych oraz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PostgreSQL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12 i nowszych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.</w:t>
            </w:r>
          </w:p>
        </w:tc>
      </w:tr>
      <w:tr w:rsidR="00FF4482" w:rsidRPr="00FF4482" w14:paraId="712E6027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672CCB" w14:textId="4BBFB235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Rozwiązanie musi wspierać odzysk do konkretnego punktu w czasie (point-in-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time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) dla wspieranych systemów bazodanowych 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.</w:t>
            </w:r>
          </w:p>
        </w:tc>
      </w:tr>
      <w:tr w:rsidR="00FF4482" w:rsidRPr="00FF4482" w14:paraId="76B48D2F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2BB467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Rozwiązanie musi umożliwiać natychmiastowe publikowanie baz MS SQL i Oracle poprzez bezpośrednie uruchomienie ich z pliku backupu. </w:t>
            </w:r>
          </w:p>
        </w:tc>
      </w:tr>
      <w:tr w:rsidR="00FF4482" w:rsidRPr="00FF4482" w14:paraId="1E1F46A4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994601" w14:textId="0D213542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Rozwiązanie musi wspierać odzysk obrazów kopii zapasowych bezpośrednio do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vSphere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, Hyper-V,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Nutanix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AHV, Microsoft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Azure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, Microsoft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Azure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Stack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, Amazon EC2 oraz Google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Cloud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Platform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.</w:t>
            </w:r>
          </w:p>
        </w:tc>
      </w:tr>
      <w:tr w:rsidR="00FF4482" w:rsidRPr="00FF4482" w14:paraId="7C70116E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E5D6D9" w14:textId="62A4623C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Rozwiązanie musi wspierać szyfrowanie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.</w:t>
            </w:r>
          </w:p>
        </w:tc>
      </w:tr>
      <w:tr w:rsidR="00FF4482" w:rsidRPr="00FF4482" w14:paraId="72180052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59978D" w14:textId="1C59413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Rozwiązanie musi wspierać możliwość wykonywania kopii zapasowych stacji klienckich, lokalnie do repozytorium tymczasowego (cache) gdy połączenie sieciowe do głównego repozytorium kopii zapasowych jest niedostępne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.</w:t>
            </w:r>
          </w:p>
        </w:tc>
      </w:tr>
      <w:tr w:rsidR="00FF4482" w:rsidRPr="00FF4482" w14:paraId="7CA999B6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D12C9F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Rozwiązanie musi posiadać funkcjonalność automatycznego zmniejszenia szybkości przetwarzania danych, aby nie dopuścić do obniżenia wydajności systemu zabezpieczanego</w:t>
            </w:r>
          </w:p>
        </w:tc>
      </w:tr>
      <w:tr w:rsidR="00FF4482" w:rsidRPr="00FF4482" w14:paraId="32D7B81E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7AE60A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Rozwiązanie musi posiadać ochronę przed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ransomware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poprzez automatyczne odmontowanie nośnika po wykonanym backupie stacji klienckiej</w:t>
            </w:r>
          </w:p>
        </w:tc>
      </w:tr>
      <w:tr w:rsidR="00FF4482" w:rsidRPr="00FF4482" w14:paraId="79AF34FA" w14:textId="77777777" w:rsidTr="003A2EC4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BF305E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Rozwiązanie musi wspierać tworzenie wielu zadań backupowych</w:t>
            </w:r>
          </w:p>
        </w:tc>
      </w:tr>
      <w:tr w:rsidR="00FF4482" w:rsidRPr="00FF4482" w14:paraId="27464648" w14:textId="77777777" w:rsidTr="003A2EC4">
        <w:trPr>
          <w:trHeight w:val="6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9048D0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System musi zapewnić możliwość monitorowania środowiska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wirtualizacyjnego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opartego na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VMware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vSphere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i Microsoft Hyper-V bez potrzeby korzystania z narzędzi firm trzecich</w:t>
            </w:r>
          </w:p>
        </w:tc>
      </w:tr>
      <w:tr w:rsidR="00FF4482" w:rsidRPr="00FF4482" w14:paraId="619D9172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02EF27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System musi umożliwiać monitorowanie środowiska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wirtualizacyjnego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VMware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w wersji 6.x, 7.x oraz 8.0 – zarówno w bezpłatnej wersji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ESXi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jak i w pełnej wersji ESX/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ESXi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zarządzane przez konsole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vCenter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Server lub pracujące samodzielnie</w:t>
            </w:r>
          </w:p>
        </w:tc>
      </w:tr>
      <w:tr w:rsidR="00FF4482" w:rsidRPr="00FF4482" w14:paraId="0DDB1F4C" w14:textId="77777777" w:rsidTr="003A2EC4">
        <w:trPr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E199ED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System musi umożliwiać monitorowanie środowiska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wirtualizacyjnego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Microsoft Hyper-V 2012, 2012R2, 2016, 2019 oraz 2022 zarówno w wersji darmowej jak i zawartej w płatnej licencji Microsoft Windows Server zarządzane poprzez System Center Virtual Machine Manager lub pracujące samodzielnie.</w:t>
            </w:r>
          </w:p>
        </w:tc>
      </w:tr>
      <w:tr w:rsidR="00FF4482" w:rsidRPr="00FF4482" w14:paraId="50003A74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4C6660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System musi umożliwiać kategoryzacje obiektów infrastruktury wirtualnej niezależnie od hierarchii stworzonej w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vCenter</w:t>
            </w:r>
            <w:proofErr w:type="spellEnd"/>
          </w:p>
        </w:tc>
      </w:tr>
      <w:tr w:rsidR="00FF4482" w:rsidRPr="00FF4482" w14:paraId="35118F49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CF5C38" w14:textId="0435C011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System musi umożliwiać tworzenie alarmów dla całych grup wirtualnych maszyn jak 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br/>
            </w: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i pojedynczych wirtualnych maszyn</w:t>
            </w:r>
          </w:p>
        </w:tc>
      </w:tr>
      <w:tr w:rsidR="00FF4482" w:rsidRPr="00FF4482" w14:paraId="4AAA6007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B2AD2C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System musi dawać możliwość układania terminarza raportów i wysyłania tych raportów przy pomocy poczty elektronicznej w formacie HTML oraz Excel</w:t>
            </w:r>
          </w:p>
        </w:tc>
      </w:tr>
      <w:tr w:rsidR="00FF4482" w:rsidRPr="00FF4482" w14:paraId="0910E258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32CDE1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System musi dawać możliwość podłączenia się do kilku instancji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vCenter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Server i serwerów Hyper-V jednocześnie, w celu centralnego monitorowania wielu środowisk</w:t>
            </w:r>
          </w:p>
        </w:tc>
      </w:tr>
      <w:tr w:rsidR="00FF4482" w:rsidRPr="00FF4482" w14:paraId="7FBCFFCA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C806E2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System musi mieć wbudowane predefiniowane zestawy alarmów wraz z możliwością tworzenia własnych alarmów i zdarzeń przez administratora</w:t>
            </w:r>
          </w:p>
        </w:tc>
      </w:tr>
      <w:tr w:rsidR="00FF4482" w:rsidRPr="00FF4482" w14:paraId="779BB872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ADD39C" w14:textId="628784E6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System musi mieć wbudowane połączenie z bazą wiedzy opisującą problemy 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br/>
            </w: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z predefiniowanych alarmów</w:t>
            </w:r>
          </w:p>
        </w:tc>
      </w:tr>
      <w:tr w:rsidR="00FF4482" w:rsidRPr="00FF4482" w14:paraId="15B8A7CC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FFF722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lastRenderedPageBreak/>
              <w:t>System musi mieć centralną konsolę z sumarycznym podglądem wszystkich obiektów infrastruktury wirtualnej (ang. Dashboard)</w:t>
            </w:r>
          </w:p>
        </w:tc>
      </w:tr>
      <w:tr w:rsidR="00FF4482" w:rsidRPr="00FF4482" w14:paraId="6472ED38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0A0BC8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System musi mieć możliwość monitorowania platformy sprzętowej, na której jest zainstalowana infrastruktura wirtualna</w:t>
            </w:r>
          </w:p>
        </w:tc>
      </w:tr>
      <w:tr w:rsidR="00FF4482" w:rsidRPr="00FF4482" w14:paraId="232BD823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0356F6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System musi zapewnić możliwość podłączenia się do wirtualnej maszyny (tryb konsoli) bezpośrednio z narzędzia monitorującego</w:t>
            </w:r>
          </w:p>
        </w:tc>
      </w:tr>
      <w:tr w:rsidR="00FF4482" w:rsidRPr="00FF4482" w14:paraId="4032B6E9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0F761A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System musi mieć możliwość integracji z oprogramowaniem do tworzenia kopii zapasowych tego samego producenta</w:t>
            </w:r>
          </w:p>
        </w:tc>
      </w:tr>
      <w:tr w:rsidR="00FF4482" w:rsidRPr="00FF4482" w14:paraId="343966CC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9FDEF6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System musi mieć możliwość monitorowania obciążenia serwerów backupowych, ilości zabezpieczanych danych oraz statusu zadań kopii zapasowych, replikacji oraz weryfikacji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odzyskiwalności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maszyn wirtualnych.</w:t>
            </w:r>
          </w:p>
        </w:tc>
      </w:tr>
      <w:tr w:rsidR="00FF4482" w:rsidRPr="00FF4482" w14:paraId="6771AE5C" w14:textId="77777777" w:rsidTr="003A2EC4">
        <w:trPr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297B73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System musi oferować inteligentną diagnostykę rozwiązania backupowego poprzez monitorowanie logów celem wykrycia znanych problemów oraz błędów konfiguracyjnych w celu wskazania rozwiązania bez potrzeby otwierania zgłoszenia suportowego oraz bez potrzeby wysyłania jakichkolwiek danych diagnostycznych do producenta oprogramowania backupu.</w:t>
            </w:r>
          </w:p>
        </w:tc>
      </w:tr>
      <w:tr w:rsidR="00FF4482" w:rsidRPr="00FF4482" w14:paraId="6481B966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3AF97C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System musi mieć możliwość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granularnego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monitorowania infrastruktury, zależnego od uprawnień nadanym użytkownikom dla platformy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VMware</w:t>
            </w:r>
            <w:proofErr w:type="spellEnd"/>
          </w:p>
        </w:tc>
      </w:tr>
      <w:tr w:rsidR="00FF4482" w:rsidRPr="00FF4482" w14:paraId="5C778919" w14:textId="77777777" w:rsidTr="003A2EC4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B27676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System musi mieć możliwość monitorowania instancji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VMware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vCloud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Director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w wersji od 10.x do 10.4</w:t>
            </w:r>
          </w:p>
        </w:tc>
      </w:tr>
      <w:tr w:rsidR="00FF4482" w:rsidRPr="00FF4482" w14:paraId="78B2ADCC" w14:textId="77777777" w:rsidTr="003A2EC4">
        <w:trPr>
          <w:trHeight w:val="6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D36410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System musi umożliwiać raportowanie środowiska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wirtualizacyjnego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VMware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w wersji 6.x, 7.x oraz 8.0 – zarówno w bezpłatnej wersji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ESXi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jak i w pełnej wersji ESX/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ESXi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zarządzane przez konsole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vCenter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Server lub pracujące samodzielnie</w:t>
            </w:r>
          </w:p>
        </w:tc>
      </w:tr>
      <w:tr w:rsidR="00FF4482" w:rsidRPr="00FF4482" w14:paraId="33A421EA" w14:textId="77777777" w:rsidTr="003A2EC4">
        <w:trPr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C27234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System musi umożliwiać raportowanie środowiska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wirtualizacyjnego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Microsoft Hyper-V 2012, 2012R2, 2016, 2019 oraz 2022 zarówno w wersji darmowej jak i zawartej w płatnej licencji Microsoft Windows Server zarządzane poprzez System Center Virtual Machine Manager lub pracujące samodzielnie.</w:t>
            </w:r>
          </w:p>
        </w:tc>
      </w:tr>
      <w:tr w:rsidR="00FF4482" w:rsidRPr="00FF4482" w14:paraId="6B75F093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B5CC93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System musi wspierać wiele instancji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vCenter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Server i Microsoft Hyper-V jednocześnie bez konieczności instalowania dodatkowych modułów.</w:t>
            </w:r>
          </w:p>
        </w:tc>
      </w:tr>
      <w:tr w:rsidR="00FF4482" w:rsidRPr="00FF4482" w14:paraId="2C35411C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9B3B0E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System musi być systemem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bezagentowym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. Nie dopuszcza się możliwości instalowania przez system agentów na monitorowanych hostach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ESXi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i Hyper-V</w:t>
            </w:r>
          </w:p>
        </w:tc>
      </w:tr>
      <w:tr w:rsidR="00FF4482" w:rsidRPr="00FF4482" w14:paraId="79643CD8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0F8B6B" w14:textId="377B7CAD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System musi mieć możliwość eksportowania raportów do formatów Microsoft Word, Microsoft Excel, Microsoft Visio, Adobe PDF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.</w:t>
            </w:r>
          </w:p>
        </w:tc>
      </w:tr>
      <w:tr w:rsidR="00FF4482" w:rsidRPr="00FF4482" w14:paraId="473F20B7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7F146C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System musi mieć możliwość ustawienia harmonogramu kolekcji danych z monitorowanych systemów jak również możliwość tworzenia zadań kolekcjonowania danych ad-hoc</w:t>
            </w:r>
          </w:p>
        </w:tc>
      </w:tr>
      <w:tr w:rsidR="00FF4482" w:rsidRPr="00FF4482" w14:paraId="5FC73885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D6F022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System musi mieć możliwość ustawienia harmonogramu generowania raportów i dostarczania ich do odbiorców w określonych przez administratora interwałach</w:t>
            </w:r>
          </w:p>
        </w:tc>
      </w:tr>
      <w:tr w:rsidR="00FF4482" w:rsidRPr="00FF4482" w14:paraId="62F2D5C3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D01CEE" w14:textId="2D2F6672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System w raportach musi mieć możliwość uwzględniania informacji o zmianach konfiguracji monitorowanych systemów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.</w:t>
            </w:r>
          </w:p>
        </w:tc>
      </w:tr>
      <w:tr w:rsidR="00FF4482" w:rsidRPr="00FF4482" w14:paraId="1E868389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FF8B0F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System musi mieć możliwość generowania raportów z dowolnego punktu w czasie zakładając, że informacje z tego czasu nie zostały usunięte z bazy danych</w:t>
            </w:r>
          </w:p>
        </w:tc>
      </w:tr>
      <w:tr w:rsidR="00FF4482" w:rsidRPr="00FF4482" w14:paraId="6AF62D42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70E461" w14:textId="36395062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System musi posiadać predefiniowane szablony z możliwością tworzenia nowych jak 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br/>
            </w: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i modyfikacji wbudowanych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.</w:t>
            </w:r>
          </w:p>
        </w:tc>
      </w:tr>
      <w:tr w:rsidR="00FF4482" w:rsidRPr="00FF4482" w14:paraId="25B35FFA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333CE2" w14:textId="67A8AC98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System musi mieć możliwość analizowania „przeszacowanych” wirtualnych maszyn wraz 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br/>
            </w: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z sugestią zmian w celu optymalnego wykorzystania fizycznej infrastruktury</w:t>
            </w:r>
          </w:p>
        </w:tc>
      </w:tr>
      <w:tr w:rsidR="00FF4482" w:rsidRPr="00FF4482" w14:paraId="59F89214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75C44C" w14:textId="4C6C961A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lastRenderedPageBreak/>
              <w:t xml:space="preserve">System musi mieć możliwość generowania raportów na podstawie danych uzyskanych 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br/>
            </w: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z oprogramowania do tworzenia kopii zapasowych tego samego producenta</w:t>
            </w:r>
          </w:p>
        </w:tc>
      </w:tr>
      <w:tr w:rsidR="00FF4482" w:rsidRPr="00FF4482" w14:paraId="6241FA5B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8F23E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System musi mieć możliwość generowania raportu dotyczącego zabezpieczanych maszyn, zdefiniowanych zadań tworzenia kopii zapasowych oraz replikacji jak również wykorzystania zasobów serwerów backupowych.</w:t>
            </w:r>
          </w:p>
        </w:tc>
      </w:tr>
      <w:tr w:rsidR="00FF4482" w:rsidRPr="00FF4482" w14:paraId="453F0C16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2E59FD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System musi mieć możliwość generowania raportu planowania pojemności (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capacity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planning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) bazującego na scenariuszach ‘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what-if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’.</w:t>
            </w:r>
          </w:p>
        </w:tc>
      </w:tr>
      <w:tr w:rsidR="00FF4482" w:rsidRPr="00FF4482" w14:paraId="3468D41A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BF8548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System musi mieć możliwość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granularnego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raportowania infrastruktury, zależnego od uprawnień nadanym użytkownikom dla platformy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VMware</w:t>
            </w:r>
            <w:proofErr w:type="spellEnd"/>
          </w:p>
        </w:tc>
      </w:tr>
      <w:tr w:rsidR="00FF4482" w:rsidRPr="00FF4482" w14:paraId="239E9617" w14:textId="77777777" w:rsidTr="003A2EC4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9DC515" w14:textId="7D97B798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System musi mieć możliwość generowania raportów dotyczących tzw. migawek-sierot (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orphaned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</w:t>
            </w:r>
            <w:proofErr w:type="spellStart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snapshots</w:t>
            </w:r>
            <w:proofErr w:type="spellEnd"/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)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.</w:t>
            </w:r>
          </w:p>
        </w:tc>
      </w:tr>
      <w:tr w:rsidR="00FF4482" w:rsidRPr="00FF4482" w14:paraId="4E2598E4" w14:textId="77777777" w:rsidTr="003A2EC4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0B392" w14:textId="77777777" w:rsidR="00FF4482" w:rsidRPr="00FF4482" w:rsidRDefault="00FF4482" w:rsidP="00FF4482">
            <w:pPr>
              <w:spacing w:after="0" w:line="276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FF4482">
              <w:rPr>
                <w:rFonts w:ascii="Cambria" w:eastAsia="Times New Roman" w:hAnsi="Cambria" w:cs="Calibri"/>
                <w:color w:val="000000"/>
                <w:lang w:eastAsia="pl-PL"/>
              </w:rPr>
              <w:t>System musi mieć możliwość generowania personalizowanych raportów zawierających informacje z dowolnych predefiniowanych raportów w pojedynczym dokumencie</w:t>
            </w:r>
          </w:p>
        </w:tc>
      </w:tr>
    </w:tbl>
    <w:p w14:paraId="13674D28" w14:textId="77777777" w:rsidR="00FF4482" w:rsidRPr="00FF4482" w:rsidRDefault="00FF4482" w:rsidP="00FF4482">
      <w:pPr>
        <w:rPr>
          <w:kern w:val="2"/>
          <w14:ligatures w14:val="standardContextual"/>
        </w:rPr>
      </w:pPr>
    </w:p>
    <w:p w14:paraId="723A2169" w14:textId="77777777" w:rsidR="008F70DF" w:rsidRPr="00263DB4" w:rsidRDefault="008F70DF">
      <w:pPr>
        <w:rPr>
          <w:rFonts w:ascii="Times New Roman" w:hAnsi="Times New Roman" w:cs="Times New Roman"/>
          <w:sz w:val="24"/>
          <w:szCs w:val="24"/>
        </w:rPr>
      </w:pPr>
    </w:p>
    <w:sectPr w:rsidR="008F70DF" w:rsidRPr="00263DB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BBCB2" w14:textId="77777777" w:rsidR="00180A64" w:rsidRDefault="00180A64">
      <w:pPr>
        <w:spacing w:after="0" w:line="240" w:lineRule="auto"/>
      </w:pPr>
      <w:r>
        <w:separator/>
      </w:r>
    </w:p>
  </w:endnote>
  <w:endnote w:type="continuationSeparator" w:id="0">
    <w:p w14:paraId="6F532F20" w14:textId="77777777" w:rsidR="00180A64" w:rsidRDefault="00180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7395954"/>
      <w:docPartObj>
        <w:docPartGallery w:val="Page Numbers (Bottom of Page)"/>
        <w:docPartUnique/>
      </w:docPartObj>
    </w:sdtPr>
    <w:sdtContent>
      <w:p w14:paraId="27466BF2" w14:textId="6137A1D7" w:rsidR="00FF4482" w:rsidRDefault="00FF44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14:paraId="68444006" w14:textId="77777777" w:rsidR="00B458E6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ECB3C" w14:textId="77777777" w:rsidR="00180A64" w:rsidRDefault="00180A64">
      <w:pPr>
        <w:spacing w:after="0" w:line="240" w:lineRule="auto"/>
      </w:pPr>
      <w:r>
        <w:separator/>
      </w:r>
    </w:p>
  </w:footnote>
  <w:footnote w:type="continuationSeparator" w:id="0">
    <w:p w14:paraId="668AD7D7" w14:textId="77777777" w:rsidR="00180A64" w:rsidRDefault="00180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60058" w14:textId="73512245" w:rsidR="00263DB4" w:rsidRDefault="00263DB4">
    <w:pPr>
      <w:pStyle w:val="Nagwek"/>
    </w:pPr>
    <w:r>
      <w:rPr>
        <w:noProof/>
        <w:lang w:eastAsia="pl-PL"/>
      </w:rPr>
      <w:drawing>
        <wp:inline distT="0" distB="0" distL="0" distR="0" wp14:anchorId="0A9CB039" wp14:editId="386A1A9A">
          <wp:extent cx="5760720" cy="9810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3C18"/>
    <w:multiLevelType w:val="hybridMultilevel"/>
    <w:tmpl w:val="6DBC48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76EFD"/>
    <w:multiLevelType w:val="hybridMultilevel"/>
    <w:tmpl w:val="5816C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83284"/>
    <w:multiLevelType w:val="hybridMultilevel"/>
    <w:tmpl w:val="6A2C7D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2663D"/>
    <w:multiLevelType w:val="hybridMultilevel"/>
    <w:tmpl w:val="EBEC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3766B"/>
    <w:multiLevelType w:val="hybridMultilevel"/>
    <w:tmpl w:val="6C160B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403346"/>
    <w:multiLevelType w:val="hybridMultilevel"/>
    <w:tmpl w:val="A796BE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D4C95"/>
    <w:multiLevelType w:val="hybridMultilevel"/>
    <w:tmpl w:val="688C2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54092A"/>
    <w:multiLevelType w:val="hybridMultilevel"/>
    <w:tmpl w:val="A306B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617959"/>
    <w:multiLevelType w:val="hybridMultilevel"/>
    <w:tmpl w:val="5D748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407DA2"/>
    <w:multiLevelType w:val="hybridMultilevel"/>
    <w:tmpl w:val="CA360D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908955">
    <w:abstractNumId w:val="4"/>
  </w:num>
  <w:num w:numId="2" w16cid:durableId="723213604">
    <w:abstractNumId w:val="5"/>
  </w:num>
  <w:num w:numId="3" w16cid:durableId="1194533541">
    <w:abstractNumId w:val="1"/>
  </w:num>
  <w:num w:numId="4" w16cid:durableId="1970164445">
    <w:abstractNumId w:val="2"/>
  </w:num>
  <w:num w:numId="5" w16cid:durableId="445470889">
    <w:abstractNumId w:val="0"/>
  </w:num>
  <w:num w:numId="6" w16cid:durableId="2077430031">
    <w:abstractNumId w:val="7"/>
  </w:num>
  <w:num w:numId="7" w16cid:durableId="515922531">
    <w:abstractNumId w:val="8"/>
  </w:num>
  <w:num w:numId="8" w16cid:durableId="371348596">
    <w:abstractNumId w:val="6"/>
  </w:num>
  <w:num w:numId="9" w16cid:durableId="1853454210">
    <w:abstractNumId w:val="3"/>
  </w:num>
  <w:num w:numId="10" w16cid:durableId="5537801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591"/>
    <w:rsid w:val="00011591"/>
    <w:rsid w:val="00180A64"/>
    <w:rsid w:val="00204325"/>
    <w:rsid w:val="00233DDB"/>
    <w:rsid w:val="00263DB4"/>
    <w:rsid w:val="00327439"/>
    <w:rsid w:val="003F1470"/>
    <w:rsid w:val="005B047B"/>
    <w:rsid w:val="006D5C44"/>
    <w:rsid w:val="008C26A1"/>
    <w:rsid w:val="008F70DF"/>
    <w:rsid w:val="0095598C"/>
    <w:rsid w:val="00AB2152"/>
    <w:rsid w:val="00AD489C"/>
    <w:rsid w:val="00AE14C4"/>
    <w:rsid w:val="00B95036"/>
    <w:rsid w:val="00BD0D34"/>
    <w:rsid w:val="00BE5BAE"/>
    <w:rsid w:val="00C23649"/>
    <w:rsid w:val="00CA62B2"/>
    <w:rsid w:val="00D35642"/>
    <w:rsid w:val="00D40AA6"/>
    <w:rsid w:val="00D6397C"/>
    <w:rsid w:val="00E77085"/>
    <w:rsid w:val="00EB56BC"/>
    <w:rsid w:val="00F543D4"/>
    <w:rsid w:val="00FA6E3D"/>
    <w:rsid w:val="00FF4482"/>
    <w:rsid w:val="00FF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B54CD"/>
  <w15:chartTrackingRefBased/>
  <w15:docId w15:val="{98C7BBA0-18C9-483A-930E-6B79FB562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5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1159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11591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011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1591"/>
  </w:style>
  <w:style w:type="paragraph" w:styleId="Nagwek">
    <w:name w:val="header"/>
    <w:basedOn w:val="Normalny"/>
    <w:link w:val="NagwekZnak"/>
    <w:uiPriority w:val="99"/>
    <w:unhideWhenUsed/>
    <w:rsid w:val="00263D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3DB4"/>
  </w:style>
  <w:style w:type="character" w:customStyle="1" w:styleId="markedcontent">
    <w:name w:val="markedcontent"/>
    <w:basedOn w:val="Domylnaczcionkaakapitu"/>
    <w:rsid w:val="00AB21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8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3039</Words>
  <Characters>18238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Dzidowska</dc:creator>
  <cp:keywords/>
  <dc:description/>
  <cp:lastModifiedBy>S.Długosz-Ciastoń</cp:lastModifiedBy>
  <cp:revision>13</cp:revision>
  <cp:lastPrinted>2023-06-19T11:35:00Z</cp:lastPrinted>
  <dcterms:created xsi:type="dcterms:W3CDTF">2022-12-05T12:12:00Z</dcterms:created>
  <dcterms:modified xsi:type="dcterms:W3CDTF">2023-06-19T11:37:00Z</dcterms:modified>
</cp:coreProperties>
</file>