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874" w14:textId="77777777" w:rsidR="001A4661" w:rsidRDefault="001A4661" w:rsidP="001A4661">
      <w:pPr>
        <w:spacing w:line="316" w:lineRule="auto"/>
        <w:jc w:val="right"/>
        <w:rPr>
          <w:rFonts w:asciiTheme="minorHAnsi" w:hAnsiTheme="minorHAnsi" w:cstheme="minorHAnsi"/>
        </w:rPr>
      </w:pPr>
      <w:bookmarkStart w:id="0" w:name="_Hlk112269382"/>
      <w:r>
        <w:rPr>
          <w:rFonts w:asciiTheme="minorHAnsi" w:hAnsiTheme="minorHAnsi" w:cstheme="minorHAnsi"/>
        </w:rPr>
        <w:t>Dopiewo, dnia ………..10.2022r.</w:t>
      </w:r>
    </w:p>
    <w:p w14:paraId="49553392" w14:textId="77777777" w:rsidR="001A4661" w:rsidRDefault="001A4661" w:rsidP="001A4661">
      <w:pPr>
        <w:spacing w:line="3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ROA.271.28.2022</w:t>
      </w:r>
    </w:p>
    <w:p w14:paraId="64A8422D" w14:textId="77777777" w:rsidR="001A4661" w:rsidRDefault="001A4661" w:rsidP="001A4661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25FFA5E5" w14:textId="77777777" w:rsidR="001A4661" w:rsidRDefault="001A4661" w:rsidP="001A4661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</w:p>
    <w:p w14:paraId="5B8C0B18" w14:textId="77777777" w:rsidR="001A4661" w:rsidRPr="00696649" w:rsidRDefault="001A4661" w:rsidP="001A4661">
      <w:pPr>
        <w:suppressAutoHyphens/>
        <w:autoSpaceDN w:val="0"/>
        <w:spacing w:line="319" w:lineRule="auto"/>
        <w:jc w:val="both"/>
        <w:textAlignment w:val="baseline"/>
        <w:rPr>
          <w:rFonts w:asciiTheme="minorHAnsi" w:eastAsia="Times New Roman" w:hAnsiTheme="minorHAnsi" w:cstheme="minorHAnsi"/>
          <w:b/>
          <w:iCs/>
          <w:kern w:val="3"/>
          <w:lang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zh-CN"/>
        </w:rPr>
        <w:t>„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Zagospodarowanie terenu przy </w:t>
      </w:r>
      <w:r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                     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>ul. Figowej  w Skórzewie”.</w:t>
      </w:r>
    </w:p>
    <w:p w14:paraId="26928DCF" w14:textId="77777777" w:rsidR="001A4661" w:rsidRDefault="001A4661" w:rsidP="001A4661">
      <w:pPr>
        <w:spacing w:after="160"/>
        <w:jc w:val="both"/>
        <w:rPr>
          <w:rFonts w:ascii="Times New Roman" w:hAnsi="Times New Roman" w:cs="Times New Roman"/>
          <w:bCs/>
          <w:kern w:val="3"/>
        </w:rPr>
      </w:pPr>
    </w:p>
    <w:p w14:paraId="5F56FBDD" w14:textId="77777777" w:rsidR="001A4661" w:rsidRPr="00435294" w:rsidRDefault="001A4661" w:rsidP="001A4661">
      <w:pPr>
        <w:spacing w:after="160"/>
        <w:jc w:val="both"/>
        <w:rPr>
          <w:rFonts w:asciiTheme="minorHAnsi" w:eastAsia="Arial" w:hAnsiTheme="minorHAnsi" w:cstheme="minorHAnsi"/>
          <w:lang w:val="pl" w:eastAsia="pl-PL"/>
        </w:rPr>
      </w:pPr>
    </w:p>
    <w:p w14:paraId="270939EF" w14:textId="77777777" w:rsidR="001A4661" w:rsidRPr="00516610" w:rsidRDefault="001A4661" w:rsidP="001A4661">
      <w:pPr>
        <w:pStyle w:val="Akapitzlist"/>
        <w:numPr>
          <w:ilvl w:val="0"/>
          <w:numId w:val="1"/>
        </w:numPr>
        <w:spacing w:line="319" w:lineRule="auto"/>
        <w:ind w:left="0" w:firstLine="360"/>
        <w:jc w:val="both"/>
        <w:rPr>
          <w:rFonts w:asciiTheme="minorHAnsi" w:hAnsiTheme="minorHAnsi" w:cstheme="minorHAnsi"/>
        </w:rPr>
      </w:pPr>
      <w:r w:rsidRPr="00516610">
        <w:rPr>
          <w:rFonts w:asciiTheme="minorHAnsi" w:hAnsiTheme="minorHAnsi" w:cstheme="minorHAnsi"/>
        </w:rPr>
        <w:t xml:space="preserve">Działając zgodnie z art. 284 ust. 2 </w:t>
      </w:r>
      <w:proofErr w:type="spellStart"/>
      <w:r w:rsidRPr="00516610">
        <w:rPr>
          <w:rFonts w:asciiTheme="minorHAnsi" w:hAnsiTheme="minorHAnsi" w:cstheme="minorHAnsi"/>
        </w:rPr>
        <w:t>Pzp</w:t>
      </w:r>
      <w:proofErr w:type="spellEnd"/>
      <w:r w:rsidRPr="00516610">
        <w:rPr>
          <w:rFonts w:asciiTheme="minorHAnsi" w:hAnsiTheme="minorHAnsi" w:cstheme="minorHAnsi"/>
        </w:rPr>
        <w:t xml:space="preserve"> Zamawiający udziela odpowiedzi na pytania, które zostały złożone do treści SWZ :</w:t>
      </w:r>
    </w:p>
    <w:p w14:paraId="280047D6" w14:textId="77777777" w:rsidR="001A4661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</w:p>
    <w:p w14:paraId="2DD0B78F" w14:textId="77777777" w:rsidR="001A4661" w:rsidRDefault="001A4661" w:rsidP="001A4661">
      <w:pPr>
        <w:spacing w:line="319" w:lineRule="auto"/>
        <w:jc w:val="both"/>
      </w:pPr>
      <w:bookmarkStart w:id="1" w:name="_Hlk112268123"/>
      <w:r w:rsidRPr="00516610">
        <w:rPr>
          <w:b/>
          <w:bCs/>
        </w:rPr>
        <w:t xml:space="preserve">Pytanie nr 1. </w:t>
      </w:r>
      <w:r>
        <w:t>W przypadku wystąpienia wykluczających się wzajemnie postanowień i wytycznych zawartych w dokumentach będących częścią postepowania przetargowego, proszę o wskazanie jaka jest kolejność hierarchii ważności dokumentów, zaczynając od tych najważniejszych?</w:t>
      </w:r>
    </w:p>
    <w:p w14:paraId="3B1EA21F" w14:textId="77777777" w:rsidR="001A4661" w:rsidRDefault="001A4661" w:rsidP="001A4661">
      <w:pPr>
        <w:spacing w:line="319" w:lineRule="auto"/>
        <w:jc w:val="both"/>
      </w:pPr>
    </w:p>
    <w:p w14:paraId="213E4971" w14:textId="77777777" w:rsidR="001A4661" w:rsidRPr="00BA680D" w:rsidRDefault="001A4661" w:rsidP="001A4661">
      <w:pPr>
        <w:pStyle w:val="Akapitzlist"/>
        <w:shd w:val="clear" w:color="auto" w:fill="FFFFFF"/>
        <w:spacing w:line="319" w:lineRule="auto"/>
        <w:ind w:left="0"/>
        <w:jc w:val="both"/>
        <w:rPr>
          <w:rFonts w:asciiTheme="minorHAnsi" w:hAnsiTheme="minorHAnsi" w:cstheme="minorHAnsi"/>
        </w:rPr>
      </w:pPr>
      <w:bookmarkStart w:id="2" w:name="_Hlk115874228"/>
      <w:r w:rsidRPr="00516610">
        <w:rPr>
          <w:b/>
          <w:bCs/>
        </w:rPr>
        <w:t>Odpowiedź:</w:t>
      </w:r>
      <w:bookmarkEnd w:id="2"/>
      <w:r w:rsidRPr="00BA680D">
        <w:rPr>
          <w:rFonts w:asciiTheme="minorHAnsi" w:hAnsiTheme="minorHAnsi" w:cstheme="minorHAnsi"/>
        </w:rPr>
        <w:t xml:space="preserve"> SWZ powinna zawierać co najmniej informację, o których mowa w art. 134 ust. 1 </w:t>
      </w:r>
      <w:proofErr w:type="spellStart"/>
      <w:r w:rsidRPr="00BA680D">
        <w:rPr>
          <w:rFonts w:asciiTheme="minorHAnsi" w:hAnsiTheme="minorHAnsi" w:cstheme="minorHAnsi"/>
        </w:rPr>
        <w:t>Pzp</w:t>
      </w:r>
      <w:proofErr w:type="spellEnd"/>
      <w:r w:rsidRPr="00BA680D">
        <w:rPr>
          <w:rFonts w:asciiTheme="minorHAnsi" w:hAnsiTheme="minorHAnsi" w:cstheme="minorHAnsi"/>
        </w:rPr>
        <w:t>,                                 w tym m.in. opis przedmiotu zamówienia i projektowane postanowienia umowy w sprawie zamówienia, które zostaną wprowadzone do umowy, w związku z czym nie ma obowiązku określania hierarchii ważności dokumentów opisujących przedmiot zamówienia, w dokumentach zamówienia.</w:t>
      </w:r>
    </w:p>
    <w:p w14:paraId="6D944725" w14:textId="77777777" w:rsidR="001A4661" w:rsidRDefault="001A4661" w:rsidP="001A4661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</w:rPr>
      </w:pPr>
      <w:r w:rsidRPr="00BA680D">
        <w:rPr>
          <w:rFonts w:asciiTheme="minorHAnsi" w:hAnsiTheme="minorHAnsi" w:cstheme="minorHAnsi"/>
        </w:rPr>
        <w:t xml:space="preserve">W rozdziale IV. „Opis przedmiotu zamówienia” Zamawiający wskazał  jakie dokumenty szczegółowo opisują przedmiot niniejszego zamówienia. Wszystkie dokumenty są równie ważne.                                </w:t>
      </w:r>
    </w:p>
    <w:p w14:paraId="6C7A4123" w14:textId="77777777" w:rsidR="001A4661" w:rsidRPr="00BA680D" w:rsidRDefault="001A4661" w:rsidP="001A4661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</w:rPr>
      </w:pPr>
      <w:r w:rsidRPr="00BA680D">
        <w:rPr>
          <w:rFonts w:asciiTheme="minorHAnsi" w:hAnsiTheme="minorHAnsi" w:cstheme="minorHAnsi"/>
        </w:rPr>
        <w:t xml:space="preserve">W przypadku wątpliwości,  niejasności, bądź rozbieżności pomiędzy wskazanymi w SWZ dokumentami należy złożyć wniosek </w:t>
      </w:r>
      <w:r>
        <w:rPr>
          <w:rFonts w:asciiTheme="minorHAnsi" w:hAnsiTheme="minorHAnsi" w:cstheme="minorHAnsi"/>
        </w:rPr>
        <w:t xml:space="preserve">do </w:t>
      </w:r>
      <w:r w:rsidRPr="00BA680D">
        <w:rPr>
          <w:rFonts w:asciiTheme="minorHAnsi" w:hAnsiTheme="minorHAnsi" w:cstheme="minorHAnsi"/>
        </w:rPr>
        <w:t xml:space="preserve">Zamawiającego o ich wyjaśnienie.  </w:t>
      </w:r>
    </w:p>
    <w:p w14:paraId="2921CEBB" w14:textId="77777777" w:rsidR="001A4661" w:rsidRPr="00BA680D" w:rsidRDefault="001A4661" w:rsidP="001A4661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</w:rPr>
      </w:pPr>
    </w:p>
    <w:p w14:paraId="1104AEE2" w14:textId="77777777" w:rsidR="001A4661" w:rsidRDefault="001A4661" w:rsidP="001A4661">
      <w:pPr>
        <w:spacing w:line="319" w:lineRule="auto"/>
        <w:jc w:val="both"/>
      </w:pPr>
      <w:r>
        <w:br/>
      </w:r>
      <w:r w:rsidRPr="00516610">
        <w:rPr>
          <w:b/>
          <w:bCs/>
        </w:rPr>
        <w:t>Pytanie nr 2.</w:t>
      </w:r>
      <w:r>
        <w:t xml:space="preserve"> Prosimy o potwierdzenie czy opis przedmiotu zamówienia został opracowany zgodnie z art. 99 ust. 4 </w:t>
      </w:r>
      <w:proofErr w:type="spellStart"/>
      <w:r>
        <w:t>Pzp</w:t>
      </w:r>
      <w:proofErr w:type="spellEnd"/>
      <w:r>
        <w:t>, w szczególności nie zawiera opisu charakteryzującego produkty lub usługi dostarczane przez konkretnego wykonawcę?</w:t>
      </w:r>
    </w:p>
    <w:p w14:paraId="7BB5CA7F" w14:textId="77777777" w:rsidR="001A4661" w:rsidRDefault="001A4661" w:rsidP="001A4661">
      <w:pPr>
        <w:spacing w:line="319" w:lineRule="auto"/>
        <w:jc w:val="both"/>
      </w:pPr>
      <w:r>
        <w:br/>
      </w:r>
      <w:r w:rsidRPr="00516610">
        <w:rPr>
          <w:b/>
          <w:bCs/>
        </w:rPr>
        <w:t>Pytanie nr 3.</w:t>
      </w:r>
      <w:r>
        <w:t xml:space="preserve"> W przypadku zawarcia w dokumentach zamówienia zgodnie z brzmieniem art. 99 ust. 5 opisu charakteryzującego produkty lub usługi dostarczane przez konkretnego wykonawcę, prosimy o wskazanie kryteriów stosowanych w celu oceny równoważności?</w:t>
      </w:r>
    </w:p>
    <w:p w14:paraId="08266566" w14:textId="77777777" w:rsidR="001A4661" w:rsidRDefault="001A4661" w:rsidP="001A4661">
      <w:pPr>
        <w:spacing w:line="319" w:lineRule="auto"/>
        <w:jc w:val="both"/>
      </w:pPr>
      <w:r>
        <w:t xml:space="preserve"> </w:t>
      </w:r>
      <w:r>
        <w:br/>
      </w:r>
      <w:r w:rsidRPr="00516610">
        <w:rPr>
          <w:b/>
          <w:bCs/>
        </w:rPr>
        <w:t>Odpowiedź</w:t>
      </w:r>
      <w:r>
        <w:rPr>
          <w:b/>
          <w:bCs/>
        </w:rPr>
        <w:t xml:space="preserve"> na pytanie nr 2 i 3</w:t>
      </w:r>
      <w:r w:rsidRPr="00516610">
        <w:rPr>
          <w:b/>
          <w:bCs/>
        </w:rPr>
        <w:t>:</w:t>
      </w:r>
      <w:r>
        <w:rPr>
          <w:b/>
          <w:bCs/>
        </w:rPr>
        <w:t xml:space="preserve"> </w:t>
      </w:r>
      <w:r w:rsidRPr="00B60E33">
        <w:t>Zamawiający potwierdza, że opis przedmiotu zamówienia został opracowany zgodnie z art. 99 ust. 4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440CA5E3" w14:textId="77777777" w:rsidR="001A4661" w:rsidRPr="00B60E33" w:rsidRDefault="001A4661" w:rsidP="001A4661">
      <w:pPr>
        <w:spacing w:line="319" w:lineRule="auto"/>
        <w:jc w:val="both"/>
      </w:pPr>
      <w:r>
        <w:t>Jednocześnie Zamawiający informuje, że po szczegółowej analizie dokumentów opisujących przedmiot zamówienia, w tym m.in. Projektu wykonawczego instalacji sanitarnych oraz Projektu wykonawczego technologii fontanny, z przedmiotowych dokumentów zostały usunięte nazwy własne, które zostały zestawione w tabelach poniżej:</w:t>
      </w:r>
    </w:p>
    <w:p w14:paraId="3444D945" w14:textId="77777777" w:rsidR="001A4661" w:rsidRPr="00637DC7" w:rsidRDefault="001A4661" w:rsidP="001A4661">
      <w:r w:rsidRPr="00637DC7">
        <w:rPr>
          <w:u w:val="single"/>
        </w:rPr>
        <w:lastRenderedPageBreak/>
        <w:t>PROJEKT WYKONAWCZY INSTALACJI SANITARNYCH</w:t>
      </w:r>
      <w:r>
        <w:rPr>
          <w:u w:val="single"/>
        </w:rPr>
        <w:t xml:space="preserve"> – WYKAZ USUNIĘTYCH NAZW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4993"/>
      </w:tblGrid>
      <w:tr w:rsidR="001A4661" w:rsidRPr="003468B5" w14:paraId="1B71EAC6" w14:textId="77777777" w:rsidTr="0014641F">
        <w:trPr>
          <w:trHeight w:val="47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05003CF" w14:textId="77777777" w:rsidR="001A4661" w:rsidRPr="003468B5" w:rsidRDefault="001A4661" w:rsidP="0014641F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AEEA93" w14:textId="77777777" w:rsidR="001A4661" w:rsidRPr="003468B5" w:rsidRDefault="001A4661" w:rsidP="0014641F">
            <w:r w:rsidRPr="003468B5">
              <w:t>Strona/nr rysunku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69E317" w14:textId="77777777" w:rsidR="001A4661" w:rsidRPr="003468B5" w:rsidRDefault="001A4661" w:rsidP="0014641F">
            <w:r w:rsidRPr="003468B5">
              <w:t>Punkt</w:t>
            </w: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14:paraId="4E39D374" w14:textId="77777777" w:rsidR="001A4661" w:rsidRPr="003468B5" w:rsidRDefault="001A4661" w:rsidP="0014641F">
            <w:r w:rsidRPr="003468B5">
              <w:t>Usunięta nazwa własna</w:t>
            </w:r>
          </w:p>
        </w:tc>
      </w:tr>
      <w:tr w:rsidR="001A4661" w:rsidRPr="003468B5" w14:paraId="41E70389" w14:textId="77777777" w:rsidTr="0014641F">
        <w:tc>
          <w:tcPr>
            <w:tcW w:w="1384" w:type="dxa"/>
            <w:vMerge w:val="restart"/>
          </w:tcPr>
          <w:p w14:paraId="7C487B67" w14:textId="77777777" w:rsidR="001A4661" w:rsidRPr="003468B5" w:rsidRDefault="001A4661" w:rsidP="0014641F">
            <w:r>
              <w:t>OPIS TECHNICZNY</w:t>
            </w:r>
          </w:p>
        </w:tc>
        <w:tc>
          <w:tcPr>
            <w:tcW w:w="1843" w:type="dxa"/>
          </w:tcPr>
          <w:p w14:paraId="03B31795" w14:textId="77777777" w:rsidR="001A4661" w:rsidRPr="003468B5" w:rsidRDefault="001A4661" w:rsidP="0014641F">
            <w:r w:rsidRPr="003468B5">
              <w:t>str. 4</w:t>
            </w:r>
          </w:p>
        </w:tc>
        <w:tc>
          <w:tcPr>
            <w:tcW w:w="992" w:type="dxa"/>
          </w:tcPr>
          <w:p w14:paraId="089C57AB" w14:textId="77777777" w:rsidR="001A4661" w:rsidRPr="003468B5" w:rsidRDefault="001A4661" w:rsidP="0014641F">
            <w:r w:rsidRPr="003468B5">
              <w:t>2.2.2</w:t>
            </w:r>
          </w:p>
        </w:tc>
        <w:tc>
          <w:tcPr>
            <w:tcW w:w="4993" w:type="dxa"/>
          </w:tcPr>
          <w:p w14:paraId="70DBF8DC" w14:textId="77777777" w:rsidR="001A4661" w:rsidRPr="003468B5" w:rsidRDefault="001A4661" w:rsidP="0014641F">
            <w:proofErr w:type="spellStart"/>
            <w:r w:rsidRPr="003468B5">
              <w:t>Pexfit</w:t>
            </w:r>
            <w:proofErr w:type="spellEnd"/>
            <w:r w:rsidRPr="003468B5">
              <w:t xml:space="preserve"> Pro</w:t>
            </w:r>
          </w:p>
        </w:tc>
      </w:tr>
      <w:tr w:rsidR="001A4661" w:rsidRPr="003468B5" w14:paraId="29653197" w14:textId="77777777" w:rsidTr="0014641F">
        <w:tc>
          <w:tcPr>
            <w:tcW w:w="1384" w:type="dxa"/>
            <w:vMerge/>
          </w:tcPr>
          <w:p w14:paraId="567F8319" w14:textId="77777777" w:rsidR="001A4661" w:rsidRPr="003468B5" w:rsidRDefault="001A4661" w:rsidP="0014641F"/>
        </w:tc>
        <w:tc>
          <w:tcPr>
            <w:tcW w:w="1843" w:type="dxa"/>
          </w:tcPr>
          <w:p w14:paraId="74D5383C" w14:textId="77777777" w:rsidR="001A4661" w:rsidRPr="003468B5" w:rsidRDefault="001A4661" w:rsidP="0014641F">
            <w:r w:rsidRPr="003468B5">
              <w:t>str. 5</w:t>
            </w:r>
          </w:p>
        </w:tc>
        <w:tc>
          <w:tcPr>
            <w:tcW w:w="992" w:type="dxa"/>
          </w:tcPr>
          <w:p w14:paraId="32DB540D" w14:textId="77777777" w:rsidR="001A4661" w:rsidRPr="003468B5" w:rsidRDefault="001A4661" w:rsidP="0014641F">
            <w:r w:rsidRPr="003468B5">
              <w:t>2.2.5</w:t>
            </w:r>
          </w:p>
        </w:tc>
        <w:tc>
          <w:tcPr>
            <w:tcW w:w="4993" w:type="dxa"/>
          </w:tcPr>
          <w:p w14:paraId="2334531C" w14:textId="77777777" w:rsidR="001A4661" w:rsidRPr="003468B5" w:rsidRDefault="001A4661" w:rsidP="0014641F">
            <w:proofErr w:type="spellStart"/>
            <w:r w:rsidRPr="003468B5">
              <w:t>Kopras</w:t>
            </w:r>
            <w:proofErr w:type="spellEnd"/>
          </w:p>
        </w:tc>
      </w:tr>
      <w:tr w:rsidR="001A4661" w:rsidRPr="003468B5" w14:paraId="10F84B6F" w14:textId="77777777" w:rsidTr="0014641F">
        <w:tc>
          <w:tcPr>
            <w:tcW w:w="1384" w:type="dxa"/>
            <w:vMerge/>
          </w:tcPr>
          <w:p w14:paraId="2A2C2E38" w14:textId="77777777" w:rsidR="001A4661" w:rsidRPr="003468B5" w:rsidRDefault="001A4661" w:rsidP="0014641F"/>
        </w:tc>
        <w:tc>
          <w:tcPr>
            <w:tcW w:w="1843" w:type="dxa"/>
          </w:tcPr>
          <w:p w14:paraId="7BF5F54E" w14:textId="77777777" w:rsidR="001A4661" w:rsidRPr="003468B5" w:rsidRDefault="001A4661" w:rsidP="0014641F">
            <w:r w:rsidRPr="003468B5">
              <w:t>str. 7</w:t>
            </w:r>
          </w:p>
        </w:tc>
        <w:tc>
          <w:tcPr>
            <w:tcW w:w="992" w:type="dxa"/>
          </w:tcPr>
          <w:p w14:paraId="25D09ECF" w14:textId="77777777" w:rsidR="001A4661" w:rsidRPr="003468B5" w:rsidRDefault="001A4661" w:rsidP="0014641F">
            <w:r w:rsidRPr="003468B5">
              <w:t>2.3</w:t>
            </w:r>
          </w:p>
        </w:tc>
        <w:tc>
          <w:tcPr>
            <w:tcW w:w="4993" w:type="dxa"/>
          </w:tcPr>
          <w:p w14:paraId="4F692D36" w14:textId="77777777" w:rsidR="001A4661" w:rsidRPr="003468B5" w:rsidRDefault="001A4661" w:rsidP="0014641F">
            <w:proofErr w:type="spellStart"/>
            <w:r w:rsidRPr="003468B5">
              <w:t>Tegra</w:t>
            </w:r>
            <w:proofErr w:type="spellEnd"/>
            <w:r w:rsidRPr="003468B5">
              <w:t xml:space="preserve"> 600 </w:t>
            </w:r>
            <w:proofErr w:type="spellStart"/>
            <w:r w:rsidRPr="003468B5">
              <w:t>prod</w:t>
            </w:r>
            <w:proofErr w:type="spellEnd"/>
            <w:r w:rsidRPr="003468B5">
              <w:t>. Wavin</w:t>
            </w:r>
          </w:p>
        </w:tc>
      </w:tr>
      <w:tr w:rsidR="001A4661" w:rsidRPr="003468B5" w14:paraId="679E351A" w14:textId="77777777" w:rsidTr="0014641F">
        <w:tc>
          <w:tcPr>
            <w:tcW w:w="1384" w:type="dxa"/>
            <w:vMerge w:val="restart"/>
          </w:tcPr>
          <w:p w14:paraId="20729A7F" w14:textId="77777777" w:rsidR="001A4661" w:rsidRPr="003468B5" w:rsidRDefault="001A4661" w:rsidP="0014641F">
            <w:r>
              <w:t>RYSUNKI</w:t>
            </w:r>
          </w:p>
        </w:tc>
        <w:tc>
          <w:tcPr>
            <w:tcW w:w="1843" w:type="dxa"/>
          </w:tcPr>
          <w:p w14:paraId="679DC450" w14:textId="77777777" w:rsidR="001A4661" w:rsidRPr="003468B5" w:rsidRDefault="001A4661" w:rsidP="0014641F">
            <w:r w:rsidRPr="003468B5">
              <w:t>rys. IS-08</w:t>
            </w:r>
          </w:p>
        </w:tc>
        <w:tc>
          <w:tcPr>
            <w:tcW w:w="992" w:type="dxa"/>
          </w:tcPr>
          <w:p w14:paraId="2A812A86" w14:textId="77777777" w:rsidR="001A4661" w:rsidRPr="003468B5" w:rsidRDefault="001A4661" w:rsidP="0014641F"/>
        </w:tc>
        <w:tc>
          <w:tcPr>
            <w:tcW w:w="4993" w:type="dxa"/>
          </w:tcPr>
          <w:p w14:paraId="38491B04" w14:textId="77777777" w:rsidR="001A4661" w:rsidRPr="003468B5" w:rsidRDefault="001A4661" w:rsidP="0014641F">
            <w:proofErr w:type="spellStart"/>
            <w:r w:rsidRPr="003468B5">
              <w:t>Tegra</w:t>
            </w:r>
            <w:proofErr w:type="spellEnd"/>
            <w:r w:rsidRPr="003468B5">
              <w:t xml:space="preserve"> 600; </w:t>
            </w:r>
            <w:proofErr w:type="spellStart"/>
            <w:r w:rsidRPr="003468B5">
              <w:t>Tegra</w:t>
            </w:r>
            <w:proofErr w:type="spellEnd"/>
            <w:r w:rsidRPr="003468B5">
              <w:t xml:space="preserve"> 1000 </w:t>
            </w:r>
          </w:p>
        </w:tc>
      </w:tr>
      <w:tr w:rsidR="001A4661" w:rsidRPr="003468B5" w14:paraId="573A68E7" w14:textId="77777777" w:rsidTr="0014641F">
        <w:tc>
          <w:tcPr>
            <w:tcW w:w="1384" w:type="dxa"/>
            <w:vMerge/>
          </w:tcPr>
          <w:p w14:paraId="3B681FAE" w14:textId="77777777" w:rsidR="001A4661" w:rsidRPr="003468B5" w:rsidRDefault="001A4661" w:rsidP="0014641F"/>
        </w:tc>
        <w:tc>
          <w:tcPr>
            <w:tcW w:w="1843" w:type="dxa"/>
          </w:tcPr>
          <w:p w14:paraId="24942C01" w14:textId="77777777" w:rsidR="001A4661" w:rsidRPr="003468B5" w:rsidRDefault="001A4661" w:rsidP="0014641F">
            <w:r w:rsidRPr="003468B5">
              <w:t>rys. IS-09</w:t>
            </w:r>
          </w:p>
        </w:tc>
        <w:tc>
          <w:tcPr>
            <w:tcW w:w="992" w:type="dxa"/>
          </w:tcPr>
          <w:p w14:paraId="6368FB60" w14:textId="77777777" w:rsidR="001A4661" w:rsidRPr="003468B5" w:rsidRDefault="001A4661" w:rsidP="0014641F"/>
        </w:tc>
        <w:tc>
          <w:tcPr>
            <w:tcW w:w="4993" w:type="dxa"/>
          </w:tcPr>
          <w:p w14:paraId="4D8089FC" w14:textId="77777777" w:rsidR="001A4661" w:rsidRPr="003468B5" w:rsidRDefault="001A4661" w:rsidP="0014641F">
            <w:proofErr w:type="spellStart"/>
            <w:r w:rsidRPr="003468B5">
              <w:t>Tegra</w:t>
            </w:r>
            <w:proofErr w:type="spellEnd"/>
            <w:r w:rsidRPr="003468B5">
              <w:t xml:space="preserve"> 600 </w:t>
            </w:r>
          </w:p>
        </w:tc>
      </w:tr>
    </w:tbl>
    <w:p w14:paraId="76D75662" w14:textId="77777777" w:rsidR="001A4661" w:rsidRDefault="001A4661" w:rsidP="001A4661"/>
    <w:p w14:paraId="3E19E018" w14:textId="77777777" w:rsidR="001A4661" w:rsidRDefault="001A4661" w:rsidP="001A4661"/>
    <w:p w14:paraId="01B6C12E" w14:textId="77777777" w:rsidR="001A4661" w:rsidRPr="00637DC7" w:rsidRDefault="001A4661" w:rsidP="001A4661">
      <w:pPr>
        <w:rPr>
          <w:u w:val="single"/>
        </w:rPr>
      </w:pPr>
      <w:r w:rsidRPr="00637DC7">
        <w:rPr>
          <w:u w:val="single"/>
        </w:rPr>
        <w:t>PROJEKT WYKONAWCZY TECHNOLOGII FONTANNY</w:t>
      </w:r>
      <w:r>
        <w:rPr>
          <w:u w:val="single"/>
        </w:rPr>
        <w:t xml:space="preserve"> – WYKAZ USUNIĘTYCH NAZW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3"/>
        <w:gridCol w:w="1820"/>
        <w:gridCol w:w="985"/>
        <w:gridCol w:w="4874"/>
      </w:tblGrid>
      <w:tr w:rsidR="001A4661" w:rsidRPr="003468B5" w14:paraId="443441AE" w14:textId="77777777" w:rsidTr="0014641F">
        <w:trPr>
          <w:trHeight w:val="52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1DA7A0" w14:textId="77777777" w:rsidR="001A4661" w:rsidRPr="003468B5" w:rsidRDefault="001A4661" w:rsidP="0014641F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B47B86" w14:textId="77777777" w:rsidR="001A4661" w:rsidRPr="003468B5" w:rsidRDefault="001A4661" w:rsidP="0014641F">
            <w:r w:rsidRPr="003468B5">
              <w:t>Strona/nr rysunku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F3785A" w14:textId="77777777" w:rsidR="001A4661" w:rsidRPr="003468B5" w:rsidRDefault="001A4661" w:rsidP="0014641F">
            <w:r w:rsidRPr="003468B5">
              <w:t>Punkt</w:t>
            </w: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14:paraId="185D0923" w14:textId="77777777" w:rsidR="001A4661" w:rsidRPr="003468B5" w:rsidRDefault="001A4661" w:rsidP="0014641F">
            <w:r w:rsidRPr="003468B5">
              <w:t>Usunięta nazwa własna</w:t>
            </w:r>
          </w:p>
        </w:tc>
      </w:tr>
      <w:tr w:rsidR="001A4661" w:rsidRPr="003468B5" w14:paraId="6675A045" w14:textId="77777777" w:rsidTr="0014641F">
        <w:tc>
          <w:tcPr>
            <w:tcW w:w="1384" w:type="dxa"/>
            <w:vMerge w:val="restart"/>
          </w:tcPr>
          <w:p w14:paraId="23C8925E" w14:textId="77777777" w:rsidR="001A4661" w:rsidRPr="003468B5" w:rsidRDefault="001A4661" w:rsidP="0014641F">
            <w:r>
              <w:t>OPIS TECHNICZNY</w:t>
            </w:r>
          </w:p>
        </w:tc>
        <w:tc>
          <w:tcPr>
            <w:tcW w:w="1843" w:type="dxa"/>
          </w:tcPr>
          <w:p w14:paraId="60A3F80A" w14:textId="77777777" w:rsidR="001A4661" w:rsidRPr="00296542" w:rsidRDefault="001A4661" w:rsidP="0014641F">
            <w:r w:rsidRPr="00296542">
              <w:t>str. 6</w:t>
            </w:r>
          </w:p>
        </w:tc>
        <w:tc>
          <w:tcPr>
            <w:tcW w:w="992" w:type="dxa"/>
          </w:tcPr>
          <w:p w14:paraId="0D6F73F3" w14:textId="77777777" w:rsidR="001A4661" w:rsidRPr="00296542" w:rsidRDefault="001A4661" w:rsidP="0014641F">
            <w:r w:rsidRPr="00296542">
              <w:t>5.1.</w:t>
            </w:r>
          </w:p>
        </w:tc>
        <w:tc>
          <w:tcPr>
            <w:tcW w:w="4993" w:type="dxa"/>
          </w:tcPr>
          <w:p w14:paraId="07BFDC5D" w14:textId="77777777" w:rsidR="001A4661" w:rsidRPr="003468B5" w:rsidRDefault="001A4661" w:rsidP="0014641F">
            <w:pPr>
              <w:rPr>
                <w:lang w:val="en-US"/>
              </w:rPr>
            </w:pPr>
            <w:r w:rsidRPr="003468B5">
              <w:rPr>
                <w:lang w:val="en-US"/>
              </w:rPr>
              <w:t xml:space="preserve">Aqua Master 38 </w:t>
            </w:r>
            <w:proofErr w:type="spellStart"/>
            <w:r w:rsidRPr="003468B5">
              <w:rPr>
                <w:lang w:val="en-US"/>
              </w:rPr>
              <w:t>firmy</w:t>
            </w:r>
            <w:proofErr w:type="spellEnd"/>
            <w:r w:rsidRPr="003468B5">
              <w:rPr>
                <w:lang w:val="en-US"/>
              </w:rPr>
              <w:t xml:space="preserve"> Speck </w:t>
            </w:r>
            <w:proofErr w:type="spellStart"/>
            <w:r w:rsidRPr="003468B5">
              <w:rPr>
                <w:lang w:val="en-US"/>
              </w:rPr>
              <w:t>Pumpen</w:t>
            </w:r>
            <w:proofErr w:type="spellEnd"/>
          </w:p>
        </w:tc>
      </w:tr>
      <w:tr w:rsidR="001A4661" w:rsidRPr="003468B5" w14:paraId="229E1DCC" w14:textId="77777777" w:rsidTr="0014641F">
        <w:tc>
          <w:tcPr>
            <w:tcW w:w="1384" w:type="dxa"/>
            <w:vMerge/>
          </w:tcPr>
          <w:p w14:paraId="499251A8" w14:textId="77777777" w:rsidR="001A4661" w:rsidRPr="003468B5" w:rsidRDefault="001A4661" w:rsidP="0014641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D5364AA" w14:textId="77777777" w:rsidR="001A4661" w:rsidRPr="00296542" w:rsidRDefault="001A4661" w:rsidP="0014641F">
            <w:r w:rsidRPr="00296542">
              <w:t>str. 6</w:t>
            </w:r>
          </w:p>
        </w:tc>
        <w:tc>
          <w:tcPr>
            <w:tcW w:w="992" w:type="dxa"/>
          </w:tcPr>
          <w:p w14:paraId="53497DF0" w14:textId="77777777" w:rsidR="001A4661" w:rsidRPr="00296542" w:rsidRDefault="001A4661" w:rsidP="0014641F">
            <w:r w:rsidRPr="00296542">
              <w:t>6.2.</w:t>
            </w:r>
          </w:p>
        </w:tc>
        <w:tc>
          <w:tcPr>
            <w:tcW w:w="4993" w:type="dxa"/>
          </w:tcPr>
          <w:p w14:paraId="45713229" w14:textId="77777777" w:rsidR="001A4661" w:rsidRPr="00296542" w:rsidRDefault="001A4661" w:rsidP="0014641F">
            <w:proofErr w:type="spellStart"/>
            <w:r w:rsidRPr="00296542">
              <w:t>Redox</w:t>
            </w:r>
            <w:proofErr w:type="spellEnd"/>
          </w:p>
        </w:tc>
      </w:tr>
      <w:tr w:rsidR="001A4661" w:rsidRPr="003468B5" w14:paraId="312D5274" w14:textId="77777777" w:rsidTr="0014641F">
        <w:tc>
          <w:tcPr>
            <w:tcW w:w="1384" w:type="dxa"/>
            <w:vMerge/>
          </w:tcPr>
          <w:p w14:paraId="26E9D8DA" w14:textId="77777777" w:rsidR="001A4661" w:rsidRPr="003468B5" w:rsidRDefault="001A4661" w:rsidP="0014641F"/>
        </w:tc>
        <w:tc>
          <w:tcPr>
            <w:tcW w:w="1843" w:type="dxa"/>
          </w:tcPr>
          <w:p w14:paraId="7430F072" w14:textId="77777777" w:rsidR="001A4661" w:rsidRPr="00296542" w:rsidRDefault="001A4661" w:rsidP="0014641F">
            <w:r w:rsidRPr="00296542">
              <w:t>str. 7</w:t>
            </w:r>
          </w:p>
        </w:tc>
        <w:tc>
          <w:tcPr>
            <w:tcW w:w="992" w:type="dxa"/>
          </w:tcPr>
          <w:p w14:paraId="148529AC" w14:textId="77777777" w:rsidR="001A4661" w:rsidRPr="00296542" w:rsidRDefault="001A4661" w:rsidP="0014641F">
            <w:r w:rsidRPr="00296542">
              <w:t>6.4.</w:t>
            </w:r>
          </w:p>
        </w:tc>
        <w:tc>
          <w:tcPr>
            <w:tcW w:w="4993" w:type="dxa"/>
          </w:tcPr>
          <w:p w14:paraId="539C6075" w14:textId="77777777" w:rsidR="001A4661" w:rsidRPr="00296542" w:rsidRDefault="001A4661" w:rsidP="0014641F">
            <w:proofErr w:type="spellStart"/>
            <w:r w:rsidRPr="00296542">
              <w:t>Algen</w:t>
            </w:r>
            <w:proofErr w:type="spellEnd"/>
          </w:p>
        </w:tc>
      </w:tr>
      <w:tr w:rsidR="001A4661" w:rsidRPr="003468B5" w14:paraId="0400159E" w14:textId="77777777" w:rsidTr="0014641F">
        <w:tc>
          <w:tcPr>
            <w:tcW w:w="1384" w:type="dxa"/>
            <w:vMerge/>
          </w:tcPr>
          <w:p w14:paraId="32C0FFD6" w14:textId="77777777" w:rsidR="001A4661" w:rsidRPr="003468B5" w:rsidRDefault="001A4661" w:rsidP="0014641F"/>
        </w:tc>
        <w:tc>
          <w:tcPr>
            <w:tcW w:w="1843" w:type="dxa"/>
          </w:tcPr>
          <w:p w14:paraId="31238A76" w14:textId="77777777" w:rsidR="001A4661" w:rsidRPr="00296542" w:rsidRDefault="001A4661" w:rsidP="0014641F">
            <w:pPr>
              <w:rPr>
                <w:lang w:val="en-US"/>
              </w:rPr>
            </w:pPr>
            <w:r w:rsidRPr="00296542">
              <w:rPr>
                <w:lang w:val="en-US"/>
              </w:rPr>
              <w:t>str. 10</w:t>
            </w:r>
          </w:p>
        </w:tc>
        <w:tc>
          <w:tcPr>
            <w:tcW w:w="992" w:type="dxa"/>
          </w:tcPr>
          <w:p w14:paraId="3B83A2EA" w14:textId="77777777" w:rsidR="001A4661" w:rsidRPr="00296542" w:rsidRDefault="001A4661" w:rsidP="0014641F">
            <w:pPr>
              <w:rPr>
                <w:lang w:val="en-US"/>
              </w:rPr>
            </w:pPr>
            <w:proofErr w:type="spellStart"/>
            <w:r w:rsidRPr="00296542">
              <w:rPr>
                <w:lang w:val="en-US"/>
              </w:rPr>
              <w:t>tabela</w:t>
            </w:r>
            <w:proofErr w:type="spellEnd"/>
          </w:p>
        </w:tc>
        <w:tc>
          <w:tcPr>
            <w:tcW w:w="4993" w:type="dxa"/>
          </w:tcPr>
          <w:p w14:paraId="440DC0E0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>Bevo</w:t>
            </w:r>
          </w:p>
          <w:p w14:paraId="5EAD315B" w14:textId="77777777" w:rsidR="001A4661" w:rsidRPr="003468B5" w:rsidRDefault="001A4661" w:rsidP="0014641F">
            <w:proofErr w:type="spellStart"/>
            <w:r w:rsidRPr="003468B5">
              <w:t>Speck</w:t>
            </w:r>
            <w:proofErr w:type="spellEnd"/>
            <w:r w:rsidRPr="003468B5">
              <w:t xml:space="preserve"> </w:t>
            </w:r>
            <w:proofErr w:type="spellStart"/>
            <w:r w:rsidRPr="003468B5">
              <w:t>Pumpen</w:t>
            </w:r>
            <w:proofErr w:type="spellEnd"/>
            <w:r w:rsidRPr="003468B5">
              <w:t>, Kompleks S.A.</w:t>
            </w:r>
          </w:p>
          <w:p w14:paraId="354B640C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>Hunter</w:t>
            </w:r>
            <w:r w:rsidRPr="00E21A29">
              <w:rPr>
                <w:lang w:val="en-US"/>
              </w:rPr>
              <w:t xml:space="preserve"> </w:t>
            </w:r>
          </w:p>
          <w:p w14:paraId="284A0118" w14:textId="77777777" w:rsidR="001A4661" w:rsidRDefault="001A4661" w:rsidP="0014641F">
            <w:pPr>
              <w:rPr>
                <w:lang w:val="en-US"/>
              </w:rPr>
            </w:pPr>
            <w:r w:rsidRPr="00E21A29">
              <w:rPr>
                <w:lang w:val="en-US"/>
              </w:rPr>
              <w:t>Gemas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Kompleks</w:t>
            </w:r>
            <w:proofErr w:type="spellEnd"/>
            <w:r>
              <w:rPr>
                <w:lang w:val="en-US"/>
              </w:rPr>
              <w:t xml:space="preserve"> S.A. </w:t>
            </w:r>
          </w:p>
          <w:p w14:paraId="3A18BC4D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1FCB3DB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68CC940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2117D48" w14:textId="77777777" w:rsidR="001A4661" w:rsidRPr="00296542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</w:p>
        </w:tc>
      </w:tr>
      <w:tr w:rsidR="001A4661" w:rsidRPr="003468B5" w14:paraId="42B2BD70" w14:textId="77777777" w:rsidTr="0014641F">
        <w:tc>
          <w:tcPr>
            <w:tcW w:w="1384" w:type="dxa"/>
            <w:vMerge/>
          </w:tcPr>
          <w:p w14:paraId="1249F570" w14:textId="77777777" w:rsidR="001A4661" w:rsidRPr="003468B5" w:rsidRDefault="001A4661" w:rsidP="0014641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A599584" w14:textId="77777777" w:rsidR="001A4661" w:rsidRPr="00296542" w:rsidRDefault="001A4661" w:rsidP="0014641F">
            <w:pPr>
              <w:rPr>
                <w:lang w:val="en-US"/>
              </w:rPr>
            </w:pPr>
            <w:r w:rsidRPr="00296542">
              <w:rPr>
                <w:lang w:val="en-US"/>
              </w:rPr>
              <w:t>str. 11</w:t>
            </w:r>
          </w:p>
        </w:tc>
        <w:tc>
          <w:tcPr>
            <w:tcW w:w="992" w:type="dxa"/>
          </w:tcPr>
          <w:p w14:paraId="19C9BBE7" w14:textId="77777777" w:rsidR="001A4661" w:rsidRPr="00296542" w:rsidRDefault="001A4661" w:rsidP="0014641F">
            <w:pPr>
              <w:rPr>
                <w:lang w:val="en-US"/>
              </w:rPr>
            </w:pPr>
            <w:proofErr w:type="spellStart"/>
            <w:r w:rsidRPr="00296542">
              <w:rPr>
                <w:lang w:val="en-US"/>
              </w:rPr>
              <w:t>tabela</w:t>
            </w:r>
            <w:proofErr w:type="spellEnd"/>
          </w:p>
        </w:tc>
        <w:tc>
          <w:tcPr>
            <w:tcW w:w="4993" w:type="dxa"/>
          </w:tcPr>
          <w:p w14:paraId="6B3A4350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</w:p>
          <w:p w14:paraId="35354F52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>Techno</w:t>
            </w:r>
          </w:p>
          <w:p w14:paraId="5930CEFC" w14:textId="77777777" w:rsidR="001A4661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0817D5A" w14:textId="77777777" w:rsidR="001A4661" w:rsidRPr="00296542" w:rsidRDefault="001A4661" w:rsidP="0014641F">
            <w:pPr>
              <w:rPr>
                <w:lang w:val="en-US"/>
              </w:rPr>
            </w:pPr>
            <w:r>
              <w:rPr>
                <w:lang w:val="en-US"/>
              </w:rPr>
              <w:t xml:space="preserve">GE Holding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</w:p>
        </w:tc>
      </w:tr>
    </w:tbl>
    <w:p w14:paraId="5E1A4010" w14:textId="77777777" w:rsidR="001A4661" w:rsidRPr="003468B5" w:rsidRDefault="001A4661" w:rsidP="001A4661">
      <w:pPr>
        <w:rPr>
          <w:lang w:val="en-US"/>
        </w:rPr>
      </w:pPr>
    </w:p>
    <w:p w14:paraId="30187F81" w14:textId="77777777" w:rsidR="001A4661" w:rsidRDefault="001A4661" w:rsidP="001A4661">
      <w:pPr>
        <w:spacing w:line="319" w:lineRule="auto"/>
        <w:jc w:val="both"/>
      </w:pPr>
      <w:r>
        <w:t>W związku z powyższym Zamawiający w załączeniu</w:t>
      </w:r>
      <w:r w:rsidRPr="00B60E33">
        <w:t xml:space="preserve"> </w:t>
      </w:r>
      <w:r>
        <w:t>przedkłada: Projekt wykonawczy instalacji sanitarnych oraz Projekt wykonawczy technologii fontanny bez nazw własnych, które to projekty stanowią integralną część SWZ.</w:t>
      </w:r>
    </w:p>
    <w:p w14:paraId="36E03B99" w14:textId="77777777" w:rsidR="001A4661" w:rsidRDefault="001A4661" w:rsidP="001A4661">
      <w:pPr>
        <w:spacing w:line="319" w:lineRule="auto"/>
        <w:jc w:val="both"/>
        <w:rPr>
          <w:b/>
          <w:bCs/>
        </w:rPr>
      </w:pPr>
      <w:r>
        <w:t xml:space="preserve">  </w:t>
      </w:r>
      <w:r>
        <w:br/>
      </w:r>
      <w:r w:rsidRPr="00516610">
        <w:rPr>
          <w:b/>
          <w:bCs/>
        </w:rPr>
        <w:t>Pytanie nr 4.</w:t>
      </w:r>
      <w:r>
        <w:t xml:space="preserve"> Czy Zamawiający dysponuje całością majątkowych praw autorskich do projektu bądź innych elementów opisu przedmiotu zamówienia na podstawie którego ma zostać zrealizowana inwestycja, w szczególności praw zależnych obejmujących prawo do jego wykorzystania, adaptacji, zmian?</w:t>
      </w:r>
      <w:r>
        <w:br/>
      </w:r>
    </w:p>
    <w:p w14:paraId="535B3E36" w14:textId="77777777" w:rsidR="001A4661" w:rsidRDefault="001A4661" w:rsidP="001A4661">
      <w:pPr>
        <w:spacing w:line="319" w:lineRule="auto"/>
        <w:jc w:val="both"/>
        <w:rPr>
          <w:b/>
          <w:bCs/>
        </w:rPr>
      </w:pPr>
      <w:r w:rsidRPr="00516610">
        <w:rPr>
          <w:b/>
          <w:bCs/>
        </w:rPr>
        <w:t>Odpowiedź:</w:t>
      </w:r>
      <w:r>
        <w:rPr>
          <w:b/>
          <w:bCs/>
        </w:rPr>
        <w:t xml:space="preserve"> </w:t>
      </w:r>
      <w:r>
        <w:t>Z chwilą odbioru dokumentacji projektowej, Zamawiający nabył do niej prawo własności nośników oraz majątkowe prawa autorskie, na wszystkich polach eksploatacji oraz prawo do wykonywania praw zależnych.</w:t>
      </w:r>
    </w:p>
    <w:p w14:paraId="6E6E9174" w14:textId="77777777" w:rsidR="001A4661" w:rsidRDefault="001A4661" w:rsidP="001A4661">
      <w:pPr>
        <w:spacing w:line="319" w:lineRule="auto"/>
        <w:jc w:val="both"/>
      </w:pPr>
      <w:r>
        <w:br/>
      </w:r>
      <w:r w:rsidRPr="00516610">
        <w:rPr>
          <w:b/>
          <w:bCs/>
        </w:rPr>
        <w:t>Pytanie nr 5.</w:t>
      </w:r>
      <w:r>
        <w:t xml:space="preserve"> Jaką stawkę VAT zamawiający przewiduje w niniejszym postępowaniu? Roboty obejmują roboty budowlane jak i zieleń.</w:t>
      </w:r>
    </w:p>
    <w:p w14:paraId="22CF084D" w14:textId="77777777" w:rsidR="001A4661" w:rsidRDefault="001A4661" w:rsidP="001A4661">
      <w:pPr>
        <w:spacing w:line="319" w:lineRule="auto"/>
        <w:jc w:val="both"/>
      </w:pPr>
    </w:p>
    <w:p w14:paraId="7B7E40DE" w14:textId="77777777" w:rsidR="001A4661" w:rsidRDefault="001A4661" w:rsidP="001A4661">
      <w:pPr>
        <w:spacing w:line="319" w:lineRule="auto"/>
        <w:jc w:val="both"/>
      </w:pPr>
      <w:r w:rsidRPr="00101C87">
        <w:rPr>
          <w:b/>
          <w:bCs/>
        </w:rPr>
        <w:lastRenderedPageBreak/>
        <w:t>Odpowiedź:</w:t>
      </w:r>
      <w:r>
        <w:t xml:space="preserve"> Zamawiający nie jest zobowiązany, zgodnie z obowiązującymi przepisami do określania stawki podatku VAT w SWZ, w takim przypadku na Wykonawcy spoczywa  obowiązek samodzielnego jej ustalenia w oparciu o aktualne przepisy.</w:t>
      </w:r>
    </w:p>
    <w:p w14:paraId="358B8F1E" w14:textId="77777777" w:rsidR="001A4661" w:rsidRDefault="001A4661" w:rsidP="001A4661">
      <w:pPr>
        <w:spacing w:line="319" w:lineRule="auto"/>
        <w:jc w:val="both"/>
        <w:rPr>
          <w:b/>
          <w:bCs/>
        </w:rPr>
      </w:pPr>
    </w:p>
    <w:p w14:paraId="45FE3F26" w14:textId="77777777" w:rsidR="001A4661" w:rsidRDefault="001A4661" w:rsidP="001A4661">
      <w:pPr>
        <w:spacing w:line="319" w:lineRule="auto"/>
        <w:jc w:val="both"/>
      </w:pPr>
      <w:r w:rsidRPr="00516610">
        <w:rPr>
          <w:b/>
          <w:bCs/>
        </w:rPr>
        <w:t>Pytanie nr 6.</w:t>
      </w:r>
      <w:r>
        <w:t xml:space="preserve"> Prosimy o obniżenie zabezpieczenia należytego wykonania umowy z 5% na 2%. Obniżenie zabezpieczenia pozwoli na złożenie ofert większej liczbie wykonawców, dzięki czemu postępowanie stanie się bardziej konkurencyjne.</w:t>
      </w:r>
    </w:p>
    <w:p w14:paraId="45C9790F" w14:textId="77777777" w:rsidR="001A4661" w:rsidRDefault="001A4661" w:rsidP="001A4661">
      <w:pPr>
        <w:spacing w:line="319" w:lineRule="auto"/>
        <w:jc w:val="both"/>
      </w:pPr>
      <w:r>
        <w:br/>
      </w:r>
      <w:r w:rsidRPr="00516610">
        <w:rPr>
          <w:b/>
          <w:bCs/>
        </w:rPr>
        <w:t>Odpowiedź:</w:t>
      </w:r>
      <w:r>
        <w:rPr>
          <w:b/>
          <w:bCs/>
        </w:rPr>
        <w:t xml:space="preserve"> </w:t>
      </w:r>
      <w:r w:rsidRPr="00D122A7">
        <w:t>Zamawiający zmienia rozdz. XXI ust. 1 SWZ w następujący sposób:</w:t>
      </w:r>
    </w:p>
    <w:p w14:paraId="5D360FA3" w14:textId="77777777" w:rsidR="001A4661" w:rsidRPr="00D122A7" w:rsidRDefault="001A4661" w:rsidP="001A4661">
      <w:pPr>
        <w:spacing w:line="31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„1.</w:t>
      </w:r>
      <w:r w:rsidRPr="00D122A7">
        <w:rPr>
          <w:rFonts w:asciiTheme="minorHAnsi" w:eastAsia="Calibri" w:hAnsiTheme="minorHAnsi" w:cstheme="minorHAnsi"/>
        </w:rPr>
        <w:t xml:space="preserve">Wykonawca zobowiązany jest do wniesienia zabezpieczenia należytego wykonania umowy na kwotę stanowiącą </w:t>
      </w:r>
      <w:r>
        <w:rPr>
          <w:rFonts w:asciiTheme="minorHAnsi" w:eastAsia="Calibri" w:hAnsiTheme="minorHAnsi" w:cstheme="minorHAnsi"/>
          <w:b/>
          <w:bCs/>
        </w:rPr>
        <w:t>3</w:t>
      </w:r>
      <w:r w:rsidRPr="00D122A7">
        <w:rPr>
          <w:rFonts w:asciiTheme="minorHAnsi" w:eastAsia="Calibri" w:hAnsiTheme="minorHAnsi" w:cstheme="minorHAnsi"/>
          <w:b/>
          <w:bCs/>
        </w:rPr>
        <w:t xml:space="preserve"> % ceny całkowitej brutto</w:t>
      </w:r>
      <w:r w:rsidRPr="00D122A7">
        <w:rPr>
          <w:rFonts w:asciiTheme="minorHAnsi" w:eastAsia="Calibri" w:hAnsiTheme="minorHAnsi" w:cstheme="minorHAnsi"/>
        </w:rPr>
        <w:t xml:space="preserve"> podanej w ofercie, w formach określonych w art. 450 ust. 1 ustawy </w:t>
      </w:r>
      <w:proofErr w:type="spellStart"/>
      <w:r w:rsidRPr="00D122A7">
        <w:rPr>
          <w:rFonts w:asciiTheme="minorHAnsi" w:eastAsia="Calibri" w:hAnsiTheme="minorHAnsi" w:cstheme="minorHAnsi"/>
        </w:rPr>
        <w:t>Pzp</w:t>
      </w:r>
      <w:proofErr w:type="spellEnd"/>
      <w:r w:rsidRPr="00D122A7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>”</w:t>
      </w:r>
    </w:p>
    <w:p w14:paraId="7E02BC39" w14:textId="77777777" w:rsidR="001A4661" w:rsidRDefault="001A4661" w:rsidP="001A4661">
      <w:pPr>
        <w:spacing w:line="319" w:lineRule="auto"/>
        <w:rPr>
          <w:rFonts w:asciiTheme="minorHAnsi" w:hAnsiTheme="minorHAnsi" w:cstheme="minorHAnsi"/>
          <w:b/>
          <w:bCs/>
        </w:rPr>
      </w:pPr>
    </w:p>
    <w:bookmarkEnd w:id="1"/>
    <w:p w14:paraId="49FBD902" w14:textId="77777777" w:rsidR="001A4661" w:rsidRDefault="001A4661" w:rsidP="001A4661">
      <w:pPr>
        <w:jc w:val="both"/>
      </w:pPr>
      <w:r w:rsidRPr="008B5B70">
        <w:rPr>
          <w:b/>
          <w:bCs/>
        </w:rPr>
        <w:t>Pytanie nr 7.</w:t>
      </w:r>
      <w:r>
        <w:t xml:space="preserve"> Czy Zamawiający dla klona pospolitego </w:t>
      </w:r>
      <w:proofErr w:type="spellStart"/>
      <w:r>
        <w:t>Globosum</w:t>
      </w:r>
      <w:proofErr w:type="spellEnd"/>
      <w:r>
        <w:t xml:space="preserve"> i Platana </w:t>
      </w:r>
      <w:proofErr w:type="spellStart"/>
      <w:r>
        <w:t>klonolistnego</w:t>
      </w:r>
      <w:proofErr w:type="spellEnd"/>
      <w:r>
        <w:t>, wymaga zapewnienia określonego obwodu pnia?</w:t>
      </w:r>
    </w:p>
    <w:p w14:paraId="5DC0F6C5" w14:textId="77777777" w:rsidR="001A4661" w:rsidRDefault="001A4661" w:rsidP="001A4661">
      <w:pPr>
        <w:jc w:val="both"/>
      </w:pPr>
      <w:r>
        <w:t xml:space="preserve"> </w:t>
      </w:r>
      <w:r w:rsidRPr="008B5B70">
        <w:rPr>
          <w:b/>
          <w:bCs/>
        </w:rPr>
        <w:t>Pytanie nr 8.</w:t>
      </w:r>
      <w:r>
        <w:rPr>
          <w:b/>
          <w:bCs/>
        </w:rPr>
        <w:t xml:space="preserve"> </w:t>
      </w:r>
      <w:r>
        <w:t>Czy zamawiający określił parametry materiału do palikowania drzew, jeśli tak to jakie przyjąć do wyceny?</w:t>
      </w:r>
    </w:p>
    <w:p w14:paraId="4EC7C3A0" w14:textId="77777777" w:rsidR="001A4661" w:rsidRDefault="001A4661" w:rsidP="001A4661">
      <w:pPr>
        <w:jc w:val="both"/>
        <w:rPr>
          <w:b/>
          <w:bCs/>
        </w:rPr>
      </w:pPr>
      <w:r>
        <w:br/>
      </w:r>
    </w:p>
    <w:p w14:paraId="60A8A5B8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t xml:space="preserve">Odpowiedź na pytanie 7 i 8: </w:t>
      </w:r>
      <w:r w:rsidRPr="001270CE">
        <w:rPr>
          <w:rFonts w:asciiTheme="minorHAnsi" w:hAnsiTheme="minorHAnsi" w:cstheme="minorHAnsi"/>
        </w:rPr>
        <w:t xml:space="preserve">Należy zastosować klon pospolity </w:t>
      </w:r>
      <w:proofErr w:type="spellStart"/>
      <w:r w:rsidRPr="001270CE">
        <w:rPr>
          <w:rFonts w:asciiTheme="minorHAnsi" w:hAnsiTheme="minorHAnsi" w:cstheme="minorHAnsi"/>
        </w:rPr>
        <w:t>Globosum</w:t>
      </w:r>
      <w:proofErr w:type="spellEnd"/>
      <w:r w:rsidRPr="001270CE">
        <w:rPr>
          <w:rFonts w:asciiTheme="minorHAnsi" w:hAnsiTheme="minorHAnsi" w:cstheme="minorHAnsi"/>
        </w:rPr>
        <w:t xml:space="preserve"> i Platan </w:t>
      </w:r>
      <w:proofErr w:type="spellStart"/>
      <w:r w:rsidRPr="001270CE">
        <w:rPr>
          <w:rFonts w:asciiTheme="minorHAnsi" w:hAnsiTheme="minorHAnsi" w:cstheme="minorHAnsi"/>
        </w:rPr>
        <w:t>klonolistny</w:t>
      </w:r>
      <w:proofErr w:type="spellEnd"/>
      <w:r w:rsidRPr="001270CE">
        <w:rPr>
          <w:rFonts w:asciiTheme="minorHAnsi" w:hAnsiTheme="minorHAnsi" w:cstheme="minorHAnsi"/>
        </w:rPr>
        <w:t xml:space="preserve"> o pniu 14-16 cm.</w:t>
      </w:r>
    </w:p>
    <w:p w14:paraId="40EA6075" w14:textId="77777777" w:rsidR="001A4661" w:rsidRPr="001270CE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Materiał do palikowania drzew:  drzewo o pniu 14-16 cm  należy mocować do 3 impregnowanych palików Ø 6 cm i wysokości 250 cm, szeroką (5 cm) taśmą parcianą w kolorze czarnym, drzewa o obwodzie powyżej 16 cm należy palikować palikami o Ø 8cm i długości 250 cm i obwiązywać taśmą parcianą o szerokości co najmniej 8 cm. Należy zachować odstęp pala od pnia wiążąc taśmę w ósemkę. Paliki nie mogą ocierać żadnej części drzewa ani zostać wbite w bryłę korzeniową. Dodatkowo paliki połączone są ze sobą poprzecznymi ryglami wykonanymi z półwałków o przekroju takim samym, jak palik. Na jedno drzewo przeznacza się 3 paliki, 3 rygle poprzeczne, 3 odcinki taśmy parcianej (ok. 3 m),</w:t>
      </w:r>
    </w:p>
    <w:p w14:paraId="7A832F75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</w:p>
    <w:p w14:paraId="15C09C3C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Dodatkowo zamawiający wskazuje poniższe wymagania odnośnie sadzenia roślin:</w:t>
      </w:r>
    </w:p>
    <w:p w14:paraId="19365FAC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t>Wymagania drzewa:</w:t>
      </w:r>
    </w:p>
    <w:p w14:paraId="560113F6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doły pod drzewa powinny mieć wielkość 1x1 m,</w:t>
      </w:r>
    </w:p>
    <w:p w14:paraId="0267B357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podczas wykopywania dołów nie wolno mieszać gleby urodzajnej z podglebiem, należy usypywać je na osobne pryzmy, niezbyt wysokie (nie przekraczające 0,5 m wysokości),</w:t>
      </w:r>
    </w:p>
    <w:p w14:paraId="5F57C474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doły pod drzewa powinny być wykonane ręcznie szpadlem przed przywiezieniem materiału roślinnego,</w:t>
      </w:r>
    </w:p>
    <w:p w14:paraId="45188AA8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ściany dołu wykopanego pod drzewo nie mogą być gładkie, </w:t>
      </w:r>
    </w:p>
    <w:p w14:paraId="598C2AD1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przed przystąpieniem do sadzenia należy całkowicie zaprawić doły ziemią urodzajną,</w:t>
      </w:r>
    </w:p>
    <w:p w14:paraId="71538152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pień sadzonego drzewa należy zabezpieczyć warstwą tkaniny jutowej,</w:t>
      </w:r>
    </w:p>
    <w:p w14:paraId="2B95081F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lastRenderedPageBreak/>
        <w:t>- roślina w miejscu sadzenia powinna znaleźć się na takiej samej głębokości na jakiej rosła w szkółce. Zbyt głębokie sadzenie lub płytkie sadzenie utrudnia lub całkowicie uniemożliwia prawidłowy rozwój roślin.</w:t>
      </w:r>
    </w:p>
    <w:p w14:paraId="0F65654E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Przy tej czynności należy wziąć pod uwagę to, iż miska przy drzewie zawsze jest trochę obniżona w stosunku do poziomu gruntu na otaczającym terenie (5-10 cm). Nie dopuszcza się usypywania ziemi dookoła pnia tak, że będzie tworzyć ona  „górkę”.</w:t>
      </w:r>
    </w:p>
    <w:p w14:paraId="3FEC2539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należy zwrócić szczególną uwagę na korzenie okręcające się wokół szyjki korzeniowej, korzenie takie należy bezwzględnie usunąć, aby uniknąć „zaduszenia rośliny przez przyrastające na grubość korzenie”,</w:t>
      </w:r>
    </w:p>
    <w:p w14:paraId="615CC4E9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korzenie złamane i uszkodzone należy przed sadzeniem przyciąć,</w:t>
      </w:r>
    </w:p>
    <w:p w14:paraId="3EFB0A3E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po umieszczeniu rośliny w dole korzenie należy zasypać ziemią, w celu równomiernego zasypania poszczególnych korzeni,</w:t>
      </w:r>
    </w:p>
    <w:p w14:paraId="3FC4C012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nie dopuszcza się zagęszczania gruntu sprzętem budowlanym, przy pracach związanych z sadzeniem drzew należy używać jedynie sprzętu ogrodniczego,</w:t>
      </w:r>
    </w:p>
    <w:p w14:paraId="7A093A51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cały dół należy zaprawić ziemią urodzajną;  po zasypaniu dołu ziemię należy delikatnie udeptać,</w:t>
      </w:r>
    </w:p>
    <w:p w14:paraId="4F0F3614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po zasypaniu dołu i zagęszczeniu podłoża należy wykonać misę o kształcie koła (zagłębienie 10 cm poniżej poziomu gruntu) o średnicy 100 cm, wokół pnia drzewa wielkości odpowiedniej do wielkości miejsca pod drzewo,</w:t>
      </w:r>
    </w:p>
    <w:p w14:paraId="159A7276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po posadzeniu drzewa, należy je obficie dwukrotnie podlać,</w:t>
      </w:r>
    </w:p>
    <w:p w14:paraId="6125E07F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drzewo o pniu o pniu 14-16 cm  należy mocować do 3 impregnowanych palików Ø 6 cm i wysokości 250 cm, szeroką (5 cm) taśmą parcianą w kolorze czarnym, drzewa o obwodzie powyżej 16 cm należy palikować palikami o Ø 8cm i długości 250 cm i obwiązywać taśmą parcianą o szerokości co najmniej 8 cm. Należy zachować odstęp pala od pnia wiążąc taśmę w ósemkę. Paliki nie mogą ocierać żadnej części drzewa ani zostać wbite w bryłę korzeniową. Dodatkowo paliki połączone są ze sobą poprzecznymi ryglami wykonanymi z półwałków o przekroju takim samym, jak palik. Na jedno drzewo przeznacza się 3 paliki, 3 rygle poprzeczne, 3 odcinki taśmy parcianej (ok. 3 m),</w:t>
      </w:r>
    </w:p>
    <w:p w14:paraId="05225ADB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misę przy drzewie należy wypełnić 5 cm warstwą zrębek.</w:t>
      </w:r>
    </w:p>
    <w:p w14:paraId="12043A8F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t>Wymagania krzewy:</w:t>
      </w:r>
    </w:p>
    <w:p w14:paraId="47473FDD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Wymagania dotyczące sadzenia krzewów: </w:t>
      </w:r>
    </w:p>
    <w:p w14:paraId="1369D8CE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</w:t>
      </w:r>
      <w:proofErr w:type="spellStart"/>
      <w:r w:rsidRPr="001270CE">
        <w:rPr>
          <w:rFonts w:asciiTheme="minorHAnsi" w:hAnsiTheme="minorHAnsi" w:cstheme="minorHAnsi"/>
        </w:rPr>
        <w:t>wykorytowanie</w:t>
      </w:r>
      <w:proofErr w:type="spellEnd"/>
      <w:r w:rsidRPr="001270CE">
        <w:rPr>
          <w:rFonts w:asciiTheme="minorHAnsi" w:hAnsiTheme="minorHAnsi" w:cstheme="minorHAnsi"/>
        </w:rPr>
        <w:t xml:space="preserve"> ręczne ziemi pod nasadzenia na głębokości 30 cm całego terenu przeznaczonego pod krzewy oraz wywóz urobku, </w:t>
      </w:r>
    </w:p>
    <w:p w14:paraId="5EAF104E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rozścielenie warstwy ziemi urodzajnej na całej powierzchni wykopu pod krzewy tj. 30 cm głębokości każdej z kompozycji, </w:t>
      </w:r>
    </w:p>
    <w:p w14:paraId="7D116663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sadząc rośliny należy wykopać odpowiedniej wielkości dołek, 5-10 cm szerszy i głębszy niż rozmiar pojemnika, </w:t>
      </w:r>
    </w:p>
    <w:p w14:paraId="1F91CCF1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należy posadzić uprzednio podlane rośliny, </w:t>
      </w:r>
    </w:p>
    <w:p w14:paraId="376FFF76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należy dwukrotne podlać obsadzenia, </w:t>
      </w:r>
    </w:p>
    <w:p w14:paraId="5EA81766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należy przyciąć rośliny po posadzeniu, </w:t>
      </w:r>
    </w:p>
    <w:p w14:paraId="71969378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ściółkowanie powierzchni pod krzewami 5 cm warstwą kory przekompostowanej lub zrębek. </w:t>
      </w:r>
    </w:p>
    <w:p w14:paraId="38A4669E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lastRenderedPageBreak/>
        <w:t>Wymagania pnącza:</w:t>
      </w:r>
    </w:p>
    <w:p w14:paraId="16019757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wykopanie dołów o średnicy 0,3 m x 0,3 m i zalaniu ich wodą, </w:t>
      </w:r>
    </w:p>
    <w:p w14:paraId="56179336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 xml:space="preserve">- zaprawieniu dołów ziemią urodzajną, </w:t>
      </w:r>
    </w:p>
    <w:p w14:paraId="617757B5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podlanie.</w:t>
      </w:r>
    </w:p>
    <w:p w14:paraId="3A6C9378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t>Wymagania byliny:</w:t>
      </w:r>
    </w:p>
    <w:p w14:paraId="72623ED4" w14:textId="77777777" w:rsidR="001A4661" w:rsidRPr="001270CE" w:rsidRDefault="001A4661" w:rsidP="001A4661">
      <w:pPr>
        <w:spacing w:line="319" w:lineRule="auto"/>
        <w:ind w:left="180" w:hanging="180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- wyznaczenie miejsc sadzenia, rozłożenie roślin, wykopanie dołków i posadzenie, przycięcie pędów, podlanie roślin w sposób zapewniający przesiąknięcie bryły korzeniowej.</w:t>
      </w:r>
    </w:p>
    <w:p w14:paraId="3E113BDC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  <w:b/>
          <w:bCs/>
        </w:rPr>
      </w:pPr>
    </w:p>
    <w:p w14:paraId="36322FAE" w14:textId="77777777" w:rsidR="001A4661" w:rsidRPr="001270CE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  <w:bookmarkStart w:id="3" w:name="_Hlk115939679"/>
      <w:bookmarkStart w:id="4" w:name="_Hlk115958501"/>
      <w:r w:rsidRPr="001270CE">
        <w:rPr>
          <w:rFonts w:asciiTheme="minorHAnsi" w:hAnsiTheme="minorHAnsi" w:cstheme="minorHAnsi"/>
          <w:b/>
          <w:bCs/>
        </w:rPr>
        <w:t>Pytanie nr 9</w:t>
      </w:r>
      <w:bookmarkEnd w:id="4"/>
      <w:r w:rsidRPr="001270CE">
        <w:rPr>
          <w:rFonts w:asciiTheme="minorHAnsi" w:hAnsiTheme="minorHAnsi" w:cstheme="minorHAnsi"/>
          <w:b/>
          <w:bCs/>
        </w:rPr>
        <w:t>.</w:t>
      </w:r>
      <w:r w:rsidRPr="001270CE">
        <w:rPr>
          <w:rFonts w:asciiTheme="minorHAnsi" w:hAnsiTheme="minorHAnsi" w:cstheme="minorHAnsi"/>
        </w:rPr>
        <w:t xml:space="preserve"> Czy Zamawiający dopuszcza zastosowanie gotowych prefabrykatów do wykonania ściany sceny oraz komory technologicznej i niecki fontanny, zamiast zastosowania metody wylewania na mokro?</w:t>
      </w:r>
    </w:p>
    <w:p w14:paraId="3E5BE800" w14:textId="77777777" w:rsidR="001A4661" w:rsidRPr="001270CE" w:rsidRDefault="001A4661" w:rsidP="001A4661">
      <w:pPr>
        <w:spacing w:line="319" w:lineRule="auto"/>
        <w:ind w:firstLine="708"/>
        <w:jc w:val="both"/>
        <w:rPr>
          <w:rFonts w:asciiTheme="minorHAnsi" w:hAnsiTheme="minorHAnsi" w:cstheme="minorHAnsi"/>
          <w:color w:val="1F497D"/>
        </w:rPr>
      </w:pPr>
    </w:p>
    <w:p w14:paraId="66E00DE8" w14:textId="77777777" w:rsidR="001A4661" w:rsidRPr="001270CE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  <w:b/>
          <w:bCs/>
        </w:rPr>
        <w:t>Odpowiedź:</w:t>
      </w:r>
      <w:r w:rsidRPr="001270CE">
        <w:rPr>
          <w:rFonts w:asciiTheme="minorHAnsi" w:hAnsiTheme="minorHAnsi" w:cstheme="minorHAnsi"/>
        </w:rPr>
        <w:t xml:space="preserve"> Zamawiający dopuszcza zastosowanie gotowych prefabrykatów do wykonania ściany sceny oraz komory technologicznej i niecki fontanny, przy czym zaoferowany  produkt/ rozwiązanie musi zostać zaakceptowane przez Zamawiającego, przed jego montażem. </w:t>
      </w:r>
    </w:p>
    <w:bookmarkEnd w:id="3"/>
    <w:p w14:paraId="3C82692E" w14:textId="77777777" w:rsidR="001A4661" w:rsidRPr="001270CE" w:rsidRDefault="001A4661" w:rsidP="001A4661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14:paraId="7209D2C3" w14:textId="77777777" w:rsidR="001A4661" w:rsidRPr="001270CE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 xml:space="preserve">10. </w:t>
      </w:r>
      <w:r w:rsidRPr="00DD57B8">
        <w:rPr>
          <w:rFonts w:asciiTheme="minorHAnsi" w:hAnsiTheme="minorHAnsi" w:cstheme="minorHAnsi"/>
        </w:rPr>
        <w:t>W</w:t>
      </w:r>
      <w:r>
        <w:t>edług dokumentacji, projektowane dysze pozwalają na maksymalną wysokość strumienia wody do 6,0 m. Wymagane ciśnienie jest na tyle wysokie, że może być niebezpieczne dla użytkowników zieleńca, w szczególności dla małych dzieci. Ze względów bezpieczeństwa, sugerowana wysokość strumienia wody to 2,5-3m. Czy zamawiający dopuszcza proponowane rozwiązanie?</w:t>
      </w:r>
    </w:p>
    <w:p w14:paraId="7DE786DC" w14:textId="77777777" w:rsidR="001A4661" w:rsidRDefault="001A4661" w:rsidP="001A4661">
      <w:pPr>
        <w:spacing w:line="319" w:lineRule="auto"/>
        <w:jc w:val="both"/>
        <w:rPr>
          <w:rFonts w:asciiTheme="minorHAnsi" w:hAnsiTheme="minorHAnsi" w:cstheme="minorHAnsi"/>
          <w:b/>
          <w:bCs/>
        </w:rPr>
      </w:pPr>
    </w:p>
    <w:p w14:paraId="362DA839" w14:textId="77777777" w:rsidR="001A4661" w:rsidRPr="00DD57B8" w:rsidRDefault="001A4661" w:rsidP="001A4661">
      <w:pPr>
        <w:spacing w:line="319" w:lineRule="auto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Zamawiający dopuszcza </w:t>
      </w:r>
      <w:r>
        <w:t>wysokość strumienia wody 2,5-3m.</w:t>
      </w:r>
    </w:p>
    <w:p w14:paraId="109B67C1" w14:textId="77777777" w:rsidR="001A4661" w:rsidRDefault="001A4661" w:rsidP="001A4661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14:paraId="34E810CF" w14:textId="77777777" w:rsidR="001A4661" w:rsidRPr="001270CE" w:rsidRDefault="001A4661" w:rsidP="001A4661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2. Działając zgodnie</w:t>
      </w:r>
      <w:r w:rsidRPr="001270CE">
        <w:rPr>
          <w:rFonts w:asciiTheme="minorHAnsi" w:hAnsiTheme="minorHAnsi" w:cstheme="minorHAnsi"/>
          <w:b/>
          <w:bCs/>
        </w:rPr>
        <w:t xml:space="preserve"> </w:t>
      </w:r>
      <w:r w:rsidRPr="001270CE">
        <w:rPr>
          <w:rFonts w:asciiTheme="minorHAnsi" w:hAnsiTheme="minorHAnsi" w:cstheme="minorHAnsi"/>
        </w:rPr>
        <w:t xml:space="preserve">z art. 286 ust. 1 i 3 </w:t>
      </w:r>
      <w:proofErr w:type="spellStart"/>
      <w:r w:rsidRPr="001270CE">
        <w:rPr>
          <w:rFonts w:asciiTheme="minorHAnsi" w:hAnsiTheme="minorHAnsi" w:cstheme="minorHAnsi"/>
        </w:rPr>
        <w:t>Pzp</w:t>
      </w:r>
      <w:proofErr w:type="spellEnd"/>
      <w:r w:rsidRPr="001270CE">
        <w:rPr>
          <w:rFonts w:asciiTheme="minorHAnsi" w:hAnsiTheme="minorHAnsi" w:cstheme="minorHAnsi"/>
        </w:rPr>
        <w:t>, biorąc pod uwagę powyższe zmiany, Zamawiający zmienia:</w:t>
      </w:r>
    </w:p>
    <w:p w14:paraId="45D9A9CB" w14:textId="77777777" w:rsidR="001A4661" w:rsidRPr="001270CE" w:rsidRDefault="001A4661" w:rsidP="001A4661">
      <w:pPr>
        <w:spacing w:line="319" w:lineRule="auto"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hAnsiTheme="minorHAnsi" w:cstheme="minorHAnsi"/>
          <w:b/>
          <w:bCs/>
        </w:rPr>
        <w:t xml:space="preserve">- termin składania ofert do dnia 17.10.2022r. do godz. 11.00, </w:t>
      </w:r>
    </w:p>
    <w:p w14:paraId="4A53AD5B" w14:textId="77777777" w:rsidR="001A4661" w:rsidRPr="001270CE" w:rsidRDefault="001A4661" w:rsidP="001A4661">
      <w:pPr>
        <w:spacing w:line="319" w:lineRule="auto"/>
        <w:jc w:val="both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 w:rsidRPr="001270CE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- termin otwarcia ofert na dzień 17.10.2022r. godz. 11:30,</w:t>
      </w:r>
    </w:p>
    <w:p w14:paraId="072E6962" w14:textId="77777777" w:rsidR="001A4661" w:rsidRPr="001270CE" w:rsidRDefault="001A4661" w:rsidP="001A4661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1270CE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- termin związania ofertą do 15.11.2022r</w:t>
      </w:r>
      <w:r w:rsidRPr="001270CE">
        <w:rPr>
          <w:rFonts w:asciiTheme="minorHAnsi" w:hAnsiTheme="minorHAnsi" w:cstheme="minorHAnsi"/>
          <w:b/>
          <w:bCs/>
        </w:rPr>
        <w:t>.,</w:t>
      </w:r>
    </w:p>
    <w:p w14:paraId="1A8D889B" w14:textId="77777777" w:rsidR="001A4661" w:rsidRDefault="001A4661" w:rsidP="001A4661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</w:rPr>
      </w:pPr>
      <w:r w:rsidRPr="001270CE">
        <w:rPr>
          <w:rFonts w:asciiTheme="minorHAnsi" w:hAnsiTheme="minorHAnsi" w:cstheme="minorHAnsi"/>
        </w:rPr>
        <w:t>oraz dokonuje modyfikacji treści ogłoszenia o zamówieniu.</w:t>
      </w:r>
    </w:p>
    <w:p w14:paraId="42BE5808" w14:textId="77777777" w:rsidR="001A4661" w:rsidRPr="001270CE" w:rsidRDefault="001A4661" w:rsidP="001A4661">
      <w:pPr>
        <w:shd w:val="clear" w:color="auto" w:fill="FFFFFF"/>
        <w:spacing w:line="319" w:lineRule="auto"/>
        <w:ind w:firstLine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Zamawiający dokonuje modyfikacji załącznika nr 1 do SWZ – Formularz ofertowy, zgodnie z załączonym wzorem.</w:t>
      </w:r>
    </w:p>
    <w:p w14:paraId="1B440DD0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</w:rPr>
      </w:pPr>
    </w:p>
    <w:p w14:paraId="1CD2B56A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</w:rPr>
      </w:pPr>
    </w:p>
    <w:p w14:paraId="5A86569C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</w:rPr>
      </w:pPr>
    </w:p>
    <w:bookmarkEnd w:id="0"/>
    <w:p w14:paraId="6EB573DD" w14:textId="77777777" w:rsidR="001A4661" w:rsidRPr="001270CE" w:rsidRDefault="001A4661" w:rsidP="001A4661">
      <w:pPr>
        <w:spacing w:line="319" w:lineRule="auto"/>
        <w:rPr>
          <w:rFonts w:asciiTheme="minorHAnsi" w:hAnsiTheme="minorHAnsi" w:cstheme="minorHAnsi"/>
        </w:rPr>
      </w:pPr>
    </w:p>
    <w:p w14:paraId="7D38FF2A" w14:textId="77777777" w:rsidR="002E26CF" w:rsidRDefault="002E26CF"/>
    <w:sectPr w:rsidR="002E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3FCC"/>
    <w:multiLevelType w:val="hybridMultilevel"/>
    <w:tmpl w:val="1C762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8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1"/>
    <w:rsid w:val="001A4661"/>
    <w:rsid w:val="002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A66"/>
  <w15:chartTrackingRefBased/>
  <w15:docId w15:val="{88FF5356-6CC4-45E4-BA92-F9EA0B7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6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661"/>
    <w:pPr>
      <w:ind w:left="720"/>
      <w:contextualSpacing/>
    </w:pPr>
  </w:style>
  <w:style w:type="table" w:styleId="Tabela-Siatka">
    <w:name w:val="Table Grid"/>
    <w:basedOn w:val="Standardowy"/>
    <w:uiPriority w:val="59"/>
    <w:rsid w:val="001A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2022-10-06T12:31:00Z</dcterms:created>
  <dcterms:modified xsi:type="dcterms:W3CDTF">2022-10-06T12:32:00Z</dcterms:modified>
</cp:coreProperties>
</file>