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8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W</w:t>
      </w:r>
      <w:r>
        <w:rPr>
          <w:rStyle w:val="Mocnewyrnione"/>
          <w:b/>
          <w:sz w:val="22"/>
          <w:szCs w:val="22"/>
        </w:rPr>
        <w:t>ykonawcy</w:t>
      </w:r>
      <w:r>
        <w:rPr>
          <w:rStyle w:val="Mocnewyrnione"/>
          <w:b/>
          <w:sz w:val="22"/>
          <w:szCs w:val="22"/>
        </w:rPr>
        <w:br/>
        <w:t>składane na podstawie art. 125 ust. 1 ustawy Pzp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ascii="Arial" w:hAnsi="Arial"/>
          <w:sz w:val="22"/>
          <w:szCs w:val="22"/>
        </w:rPr>
        <w:t xml:space="preserve">Budowa obiektów małej architektury na terenie parku im. Jana Pawła II </w:t>
      </w:r>
      <w:r>
        <w:rPr>
          <w:rStyle w:val="Domylnaczcionkaakapitu"/>
          <w:rFonts w:ascii="Arial" w:hAnsi="Arial"/>
          <w:sz w:val="22"/>
          <w:szCs w:val="22"/>
        </w:rPr>
        <w:t>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276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28.3pt" type="#_x0000_t75"/>
          <w:control r:id="rId4" w:name="unnamed3" w:shapeid="control_shape_2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51.45pt;height:16.95pt" type="#_x0000_t75"/>
          <w:control r:id="rId5" w:name="unnamed4" w:shapeid="control_shape_3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4" o:allowincell="t" style="width:124.3pt;height:19.8pt" type="#_x0000_t75"/>
          <w:control r:id="rId6" w:name="Pole tekstowe: Podstawy wykluczenia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470.45pt;height:199.75pt" type="#_x0000_t75"/>
          <w:control r:id="rId7" w:name="unnamed5" w:shapeid="control_shape_5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LibreOffice/7.3.0.3$Windows_X86_64 LibreOffice_project/0f246aa12d0eee4a0f7adcefbf7c878fc2238db3</Application>
  <AppVersion>15.0000</AppVersion>
  <Pages>2</Pages>
  <Words>268</Words>
  <Characters>1818</Characters>
  <CharactersWithSpaces>2071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2022-03-15T11:39:44Z</dcterms:created>
  <dc:creator/>
  <dc:description/>
  <dc:language>pl-PL</dc:language>
  <cp:lastModifiedBy/>
  <dcterms:modified xsi:type="dcterms:W3CDTF">2022-03-15T12:01:16Z</dcterms:modified>
  <cp:revision>2</cp:revision>
  <dc:subject/>
  <dc:title/>
</cp:coreProperties>
</file>