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75E" w:rsidRPr="000C6F8C" w:rsidRDefault="00E95279" w:rsidP="00F0075E">
      <w:pPr>
        <w:pStyle w:val="Nagwek1"/>
        <w:ind w:left="11345" w:firstLine="708"/>
        <w:rPr>
          <w:b w:val="0"/>
          <w:bCs/>
          <w:sz w:val="20"/>
        </w:rPr>
      </w:pPr>
      <w:r w:rsidRPr="000C6F8C">
        <w:rPr>
          <w:b w:val="0"/>
          <w:bCs/>
          <w:sz w:val="20"/>
        </w:rPr>
        <w:t xml:space="preserve">Załącznik nr </w:t>
      </w:r>
      <w:r w:rsidR="00395B1A">
        <w:rPr>
          <w:b w:val="0"/>
          <w:bCs/>
          <w:sz w:val="20"/>
        </w:rPr>
        <w:t xml:space="preserve">1 </w:t>
      </w:r>
      <w:r w:rsidR="00F0075E" w:rsidRPr="000C6F8C">
        <w:rPr>
          <w:b w:val="0"/>
          <w:bCs/>
          <w:sz w:val="20"/>
        </w:rPr>
        <w:t xml:space="preserve">do </w:t>
      </w:r>
      <w:r w:rsidR="00013A65">
        <w:rPr>
          <w:b w:val="0"/>
          <w:bCs/>
          <w:sz w:val="20"/>
        </w:rPr>
        <w:t>SIWZ</w:t>
      </w:r>
    </w:p>
    <w:p w:rsidR="00F0075E" w:rsidRPr="000C6F8C" w:rsidRDefault="003C3286" w:rsidP="00F0075E">
      <w:pPr>
        <w:shd w:val="clear" w:color="auto" w:fill="FFFFFF"/>
        <w:spacing w:before="10"/>
        <w:ind w:left="274"/>
        <w:jc w:val="center"/>
        <w:rPr>
          <w:b/>
        </w:rPr>
      </w:pPr>
      <w:r w:rsidRPr="000C6F8C">
        <w:rPr>
          <w:b/>
        </w:rPr>
        <w:t>Specyf</w:t>
      </w:r>
      <w:r w:rsidR="00E95279" w:rsidRPr="000C6F8C">
        <w:rPr>
          <w:b/>
        </w:rPr>
        <w:t xml:space="preserve">ikacja techniczna </w:t>
      </w:r>
      <w:r w:rsidR="00013A65">
        <w:rPr>
          <w:b/>
        </w:rPr>
        <w:t xml:space="preserve">zestawu </w:t>
      </w:r>
      <w:r w:rsidR="00E95279" w:rsidRPr="000C6F8C">
        <w:rPr>
          <w:b/>
        </w:rPr>
        <w:t>zbiornik</w:t>
      </w:r>
      <w:r w:rsidR="00013A65">
        <w:rPr>
          <w:b/>
        </w:rPr>
        <w:t>ów</w:t>
      </w:r>
      <w:r w:rsidR="00E95279" w:rsidRPr="000C6F8C">
        <w:rPr>
          <w:b/>
        </w:rPr>
        <w:t xml:space="preserve"> podwieszan</w:t>
      </w:r>
      <w:r w:rsidR="00013A65">
        <w:rPr>
          <w:b/>
        </w:rPr>
        <w:t>ych</w:t>
      </w:r>
      <w:r w:rsidR="00E95279" w:rsidRPr="000C6F8C">
        <w:rPr>
          <w:b/>
        </w:rPr>
        <w:t xml:space="preserve"> pod śmigłowiec</w:t>
      </w:r>
      <w:r w:rsidR="00D42B02">
        <w:rPr>
          <w:b/>
        </w:rPr>
        <w:t xml:space="preserve"> </w:t>
      </w:r>
      <w:r w:rsidR="00E95279" w:rsidRPr="000C6F8C">
        <w:rPr>
          <w:b/>
        </w:rPr>
        <w:t>wraz z wyposażeniem</w:t>
      </w:r>
      <w:r w:rsidR="00013A65">
        <w:rPr>
          <w:b/>
        </w:rPr>
        <w:t xml:space="preserve"> – dotyczy dostawy 2 sztuk zestawów. </w:t>
      </w:r>
    </w:p>
    <w:p w:rsidR="00F0075E" w:rsidRPr="000C6F8C" w:rsidRDefault="00F0075E" w:rsidP="00F0075E">
      <w:pPr>
        <w:shd w:val="clear" w:color="auto" w:fill="FFFFFF"/>
        <w:spacing w:before="10"/>
        <w:ind w:left="274"/>
        <w:jc w:val="center"/>
        <w:rPr>
          <w:bCs/>
          <w:sz w:val="28"/>
          <w:szCs w:val="28"/>
        </w:rPr>
      </w:pPr>
    </w:p>
    <w:tbl>
      <w:tblPr>
        <w:tblW w:w="14001" w:type="dxa"/>
        <w:tblInd w:w="283" w:type="dxa"/>
        <w:tblLayout w:type="fixed"/>
        <w:tblLook w:val="0000" w:firstRow="0" w:lastRow="0" w:firstColumn="0" w:lastColumn="0" w:noHBand="0" w:noVBand="0"/>
      </w:tblPr>
      <w:tblGrid>
        <w:gridCol w:w="705"/>
        <w:gridCol w:w="12332"/>
        <w:gridCol w:w="964"/>
      </w:tblGrid>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66767B">
            <w:pPr>
              <w:snapToGrid w:val="0"/>
              <w:jc w:val="center"/>
              <w:rPr>
                <w:b/>
                <w:color w:val="000000"/>
              </w:rPr>
            </w:pPr>
            <w:r w:rsidRPr="000C6F8C">
              <w:rPr>
                <w:b/>
                <w:color w:val="000000"/>
              </w:rPr>
              <w:t>Lp.</w:t>
            </w:r>
          </w:p>
        </w:tc>
        <w:tc>
          <w:tcPr>
            <w:tcW w:w="12332" w:type="dxa"/>
            <w:tcBorders>
              <w:top w:val="single" w:sz="4" w:space="0" w:color="000000"/>
              <w:left w:val="single" w:sz="4" w:space="0" w:color="000000"/>
              <w:bottom w:val="single" w:sz="4" w:space="0" w:color="auto"/>
              <w:right w:val="single" w:sz="4" w:space="0" w:color="auto"/>
            </w:tcBorders>
            <w:shd w:val="clear" w:color="auto" w:fill="auto"/>
          </w:tcPr>
          <w:p w:rsidR="007D22B6" w:rsidRPr="000C6F8C" w:rsidRDefault="007D22B6" w:rsidP="0066767B">
            <w:pPr>
              <w:snapToGrid w:val="0"/>
              <w:jc w:val="center"/>
              <w:rPr>
                <w:b/>
              </w:rPr>
            </w:pPr>
            <w:r w:rsidRPr="000C6F8C">
              <w:rPr>
                <w:b/>
              </w:rPr>
              <w:t>Wymagane parametry techniczno-użytkowe</w:t>
            </w:r>
          </w:p>
        </w:tc>
        <w:tc>
          <w:tcPr>
            <w:tcW w:w="964" w:type="dxa"/>
            <w:tcBorders>
              <w:top w:val="single" w:sz="4" w:space="0" w:color="000000"/>
              <w:left w:val="single" w:sz="4" w:space="0" w:color="000000"/>
              <w:bottom w:val="single" w:sz="4" w:space="0" w:color="auto"/>
              <w:right w:val="single" w:sz="4" w:space="0" w:color="auto"/>
            </w:tcBorders>
          </w:tcPr>
          <w:p w:rsidR="007D22B6" w:rsidRPr="000C6F8C" w:rsidRDefault="007D22B6" w:rsidP="0066767B">
            <w:pPr>
              <w:snapToGrid w:val="0"/>
              <w:spacing w:line="240" w:lineRule="atLeast"/>
              <w:jc w:val="center"/>
              <w:rPr>
                <w:b/>
              </w:rPr>
            </w:pPr>
            <w:r w:rsidRPr="000C6F8C">
              <w:rPr>
                <w:b/>
                <w:spacing w:val="-2"/>
              </w:rPr>
              <w:t>Ilość</w:t>
            </w:r>
          </w:p>
        </w:tc>
      </w:tr>
      <w:tr w:rsidR="003C3A21" w:rsidRPr="000C6F8C" w:rsidTr="0036528A">
        <w:trPr>
          <w:trHeight w:val="289"/>
        </w:trPr>
        <w:tc>
          <w:tcPr>
            <w:tcW w:w="705" w:type="dxa"/>
            <w:tcBorders>
              <w:top w:val="single" w:sz="4" w:space="0" w:color="000000"/>
              <w:left w:val="single" w:sz="4" w:space="0" w:color="000000"/>
              <w:bottom w:val="single" w:sz="4" w:space="0" w:color="000000"/>
            </w:tcBorders>
            <w:shd w:val="clear" w:color="auto" w:fill="auto"/>
            <w:vAlign w:val="center"/>
          </w:tcPr>
          <w:p w:rsidR="003C3A21" w:rsidRPr="000C6F8C" w:rsidRDefault="003C3A21" w:rsidP="0036528A">
            <w:pPr>
              <w:snapToGrid w:val="0"/>
              <w:jc w:val="center"/>
              <w:rPr>
                <w:b/>
                <w:bCs/>
                <w:color w:val="000000"/>
              </w:rPr>
            </w:pPr>
            <w:r w:rsidRPr="000C6F8C">
              <w:rPr>
                <w:b/>
                <w:bCs/>
                <w:color w:val="000000"/>
              </w:rPr>
              <w:t>1.</w:t>
            </w:r>
          </w:p>
        </w:tc>
        <w:tc>
          <w:tcPr>
            <w:tcW w:w="13296"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3C3A21" w:rsidRPr="00E430E7" w:rsidRDefault="003C3A21" w:rsidP="0036528A">
            <w:pPr>
              <w:pStyle w:val="Akapitzlist"/>
              <w:ind w:left="0"/>
              <w:jc w:val="center"/>
              <w:rPr>
                <w:rFonts w:ascii="Times New Roman" w:hAnsi="Times New Roman"/>
                <w:b/>
                <w:bCs/>
              </w:rPr>
            </w:pPr>
            <w:r w:rsidRPr="00E430E7">
              <w:rPr>
                <w:rFonts w:ascii="Times New Roman" w:hAnsi="Times New Roman"/>
                <w:b/>
              </w:rPr>
              <w:t>Podwieszany zbiornik gaśniczy „BambiBucket”</w:t>
            </w:r>
          </w:p>
        </w:tc>
      </w:tr>
      <w:tr w:rsidR="007D22B6" w:rsidRPr="000C6F8C" w:rsidTr="00E27532">
        <w:trPr>
          <w:trHeight w:val="1837"/>
        </w:trPr>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3C3A21">
            <w:pPr>
              <w:snapToGrid w:val="0"/>
              <w:rPr>
                <w:bCs/>
                <w:color w:val="000000"/>
              </w:rPr>
            </w:pPr>
            <w:r w:rsidRPr="000C6F8C">
              <w:rPr>
                <w:bCs/>
                <w:color w:val="000000"/>
              </w:rPr>
              <w:t>1.1</w:t>
            </w:r>
          </w:p>
        </w:tc>
        <w:tc>
          <w:tcPr>
            <w:tcW w:w="12332" w:type="dxa"/>
            <w:tcBorders>
              <w:top w:val="single" w:sz="4" w:space="0" w:color="auto"/>
              <w:left w:val="single" w:sz="4" w:space="0" w:color="000000"/>
              <w:bottom w:val="single" w:sz="4" w:space="0" w:color="000000"/>
              <w:right w:val="single" w:sz="4" w:space="0" w:color="auto"/>
            </w:tcBorders>
            <w:shd w:val="clear" w:color="auto" w:fill="auto"/>
          </w:tcPr>
          <w:p w:rsidR="007D22B6" w:rsidRPr="000C6F8C" w:rsidRDefault="007D22B6" w:rsidP="00381BAD">
            <w:pPr>
              <w:numPr>
                <w:ilvl w:val="0"/>
                <w:numId w:val="41"/>
              </w:numPr>
              <w:suppressAutoHyphens/>
              <w:ind w:left="317" w:hanging="317"/>
              <w:rPr>
                <w:sz w:val="22"/>
                <w:szCs w:val="24"/>
              </w:rPr>
            </w:pPr>
            <w:r w:rsidRPr="000C6F8C">
              <w:rPr>
                <w:sz w:val="22"/>
                <w:szCs w:val="24"/>
              </w:rPr>
              <w:t xml:space="preserve">Zbiornik gaśniczy o parametrach umożliwiających </w:t>
            </w:r>
            <w:r>
              <w:rPr>
                <w:sz w:val="22"/>
                <w:szCs w:val="24"/>
              </w:rPr>
              <w:t>użytkowanie na śmigłowcach S-70i</w:t>
            </w:r>
            <w:r w:rsidRPr="000C6F8C">
              <w:rPr>
                <w:sz w:val="22"/>
                <w:szCs w:val="24"/>
              </w:rPr>
              <w:t xml:space="preserve"> jako podwieszane do urządzenia „cargo hook”,</w:t>
            </w:r>
          </w:p>
          <w:p w:rsidR="007D22B6" w:rsidRPr="000C6F8C" w:rsidRDefault="007D22B6" w:rsidP="00381BAD">
            <w:pPr>
              <w:numPr>
                <w:ilvl w:val="0"/>
                <w:numId w:val="41"/>
              </w:numPr>
              <w:suppressAutoHyphens/>
              <w:ind w:left="317" w:hanging="317"/>
              <w:rPr>
                <w:sz w:val="22"/>
                <w:szCs w:val="24"/>
              </w:rPr>
            </w:pPr>
            <w:r w:rsidRPr="000C6F8C">
              <w:rPr>
                <w:sz w:val="22"/>
                <w:szCs w:val="24"/>
              </w:rPr>
              <w:t>maksymalna masa napełnionego urządzenia nie większa niż 3100 kg,</w:t>
            </w:r>
          </w:p>
          <w:p w:rsidR="007D22B6" w:rsidRPr="000C6F8C" w:rsidRDefault="007D22B6" w:rsidP="00381BAD">
            <w:pPr>
              <w:numPr>
                <w:ilvl w:val="0"/>
                <w:numId w:val="41"/>
              </w:numPr>
              <w:suppressAutoHyphens/>
              <w:ind w:left="317" w:hanging="317"/>
              <w:rPr>
                <w:sz w:val="22"/>
                <w:szCs w:val="24"/>
              </w:rPr>
            </w:pPr>
            <w:r w:rsidRPr="000C6F8C">
              <w:rPr>
                <w:sz w:val="22"/>
                <w:szCs w:val="24"/>
              </w:rPr>
              <w:t>maksymalna pojemność zbiornika na wodę nie mniejsza niż 2900 litrów,</w:t>
            </w:r>
          </w:p>
          <w:p w:rsidR="007D22B6" w:rsidRPr="000C6F8C" w:rsidRDefault="007D22B6" w:rsidP="00381BAD">
            <w:pPr>
              <w:numPr>
                <w:ilvl w:val="0"/>
                <w:numId w:val="41"/>
              </w:numPr>
              <w:suppressAutoHyphens/>
              <w:ind w:left="317" w:hanging="317"/>
              <w:rPr>
                <w:sz w:val="22"/>
                <w:szCs w:val="24"/>
              </w:rPr>
            </w:pPr>
            <w:r w:rsidRPr="000C6F8C">
              <w:rPr>
                <w:sz w:val="22"/>
                <w:szCs w:val="24"/>
              </w:rPr>
              <w:t xml:space="preserve">konstrukcja i wymiary urządzenia po złożeniu do transportu muszą umożliwiać załadunek i przewóz w kabinie transportowej śmigłowca </w:t>
            </w:r>
            <w:r>
              <w:rPr>
                <w:sz w:val="22"/>
                <w:szCs w:val="24"/>
              </w:rPr>
              <w:t>S-70i</w:t>
            </w:r>
            <w:r w:rsidRPr="000C6F8C">
              <w:rPr>
                <w:sz w:val="22"/>
                <w:szCs w:val="24"/>
              </w:rPr>
              <w:t>,</w:t>
            </w:r>
          </w:p>
          <w:p w:rsidR="007D22B6" w:rsidRPr="000C6F8C" w:rsidRDefault="007D22B6" w:rsidP="00381BAD">
            <w:pPr>
              <w:numPr>
                <w:ilvl w:val="0"/>
                <w:numId w:val="41"/>
              </w:numPr>
              <w:suppressAutoHyphens/>
              <w:ind w:left="317" w:hanging="317"/>
              <w:rPr>
                <w:sz w:val="22"/>
                <w:szCs w:val="24"/>
              </w:rPr>
            </w:pPr>
            <w:r w:rsidRPr="000C6F8C">
              <w:rPr>
                <w:sz w:val="22"/>
                <w:szCs w:val="24"/>
              </w:rPr>
              <w:t>w kompletacji urządzenia musi znajdować się zestaw naprawczy do zbiornika tego samego producenta</w:t>
            </w:r>
            <w:r w:rsidR="00E96E66">
              <w:rPr>
                <w:sz w:val="22"/>
                <w:szCs w:val="24"/>
              </w:rPr>
              <w:t>.</w:t>
            </w:r>
          </w:p>
        </w:tc>
        <w:tc>
          <w:tcPr>
            <w:tcW w:w="964" w:type="dxa"/>
            <w:tcBorders>
              <w:top w:val="single" w:sz="4" w:space="0" w:color="auto"/>
              <w:left w:val="single" w:sz="4" w:space="0" w:color="000000"/>
              <w:bottom w:val="single" w:sz="4" w:space="0" w:color="000000"/>
              <w:right w:val="single" w:sz="4" w:space="0" w:color="auto"/>
            </w:tcBorders>
          </w:tcPr>
          <w:p w:rsidR="007D22B6" w:rsidRPr="000C6F8C" w:rsidRDefault="007D22B6" w:rsidP="0066767B">
            <w:pPr>
              <w:pStyle w:val="Akapitzlist"/>
              <w:ind w:left="0"/>
              <w:jc w:val="both"/>
              <w:rPr>
                <w:bCs/>
                <w:sz w:val="20"/>
                <w:szCs w:val="20"/>
              </w:rPr>
            </w:pPr>
            <w:r w:rsidRPr="000C6F8C">
              <w:rPr>
                <w:b/>
                <w:bCs/>
                <w:sz w:val="20"/>
                <w:szCs w:val="20"/>
              </w:rPr>
              <w:t>1 kpl.</w:t>
            </w:r>
          </w:p>
        </w:tc>
      </w:tr>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001683">
            <w:pPr>
              <w:snapToGrid w:val="0"/>
              <w:rPr>
                <w:bCs/>
                <w:color w:val="000000"/>
              </w:rPr>
            </w:pPr>
            <w:r w:rsidRPr="000C6F8C">
              <w:rPr>
                <w:bCs/>
                <w:color w:val="000000"/>
              </w:rPr>
              <w:t>1.2.</w:t>
            </w:r>
          </w:p>
        </w:tc>
        <w:tc>
          <w:tcPr>
            <w:tcW w:w="12332"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5D134D">
            <w:pPr>
              <w:numPr>
                <w:ilvl w:val="0"/>
                <w:numId w:val="43"/>
              </w:numPr>
              <w:suppressAutoHyphens/>
              <w:ind w:left="317" w:hanging="317"/>
              <w:jc w:val="both"/>
              <w:rPr>
                <w:sz w:val="22"/>
                <w:szCs w:val="24"/>
              </w:rPr>
            </w:pPr>
            <w:r w:rsidRPr="000C6F8C">
              <w:rPr>
                <w:sz w:val="22"/>
                <w:szCs w:val="24"/>
              </w:rPr>
              <w:t xml:space="preserve">Zbiornik gaśniczy o parametrach umożliwiających </w:t>
            </w:r>
            <w:r>
              <w:rPr>
                <w:sz w:val="22"/>
                <w:szCs w:val="24"/>
              </w:rPr>
              <w:t>użytkowanie na śmigłowcach S-70i</w:t>
            </w:r>
            <w:r w:rsidRPr="000C6F8C">
              <w:rPr>
                <w:sz w:val="22"/>
                <w:szCs w:val="24"/>
              </w:rPr>
              <w:t xml:space="preserve"> oraz PZL W-3 Sokół jako podwieszane do urządzenia „cargo hook”,</w:t>
            </w:r>
          </w:p>
          <w:p w:rsidR="007D22B6" w:rsidRPr="000C6F8C" w:rsidRDefault="007D22B6" w:rsidP="005D134D">
            <w:pPr>
              <w:numPr>
                <w:ilvl w:val="0"/>
                <w:numId w:val="43"/>
              </w:numPr>
              <w:suppressAutoHyphens/>
              <w:ind w:left="317" w:hanging="317"/>
              <w:jc w:val="both"/>
              <w:rPr>
                <w:sz w:val="22"/>
                <w:szCs w:val="24"/>
              </w:rPr>
            </w:pPr>
            <w:r w:rsidRPr="000C6F8C">
              <w:rPr>
                <w:sz w:val="22"/>
                <w:szCs w:val="24"/>
              </w:rPr>
              <w:t>maksymalna masa napełnionego urządzenia nie większa niż 1700 kg,</w:t>
            </w:r>
          </w:p>
          <w:p w:rsidR="007D22B6" w:rsidRPr="000C6F8C" w:rsidRDefault="007D22B6" w:rsidP="005D134D">
            <w:pPr>
              <w:numPr>
                <w:ilvl w:val="0"/>
                <w:numId w:val="43"/>
              </w:numPr>
              <w:suppressAutoHyphens/>
              <w:ind w:left="317" w:hanging="317"/>
              <w:jc w:val="both"/>
              <w:rPr>
                <w:sz w:val="22"/>
                <w:szCs w:val="24"/>
              </w:rPr>
            </w:pPr>
            <w:r w:rsidRPr="000C6F8C">
              <w:rPr>
                <w:sz w:val="22"/>
                <w:szCs w:val="24"/>
              </w:rPr>
              <w:t>maksymalna pojemność zbiornika na wodę nie mniejsza niż 1500 litrów,</w:t>
            </w:r>
          </w:p>
          <w:p w:rsidR="007D22B6" w:rsidRPr="000C6F8C" w:rsidRDefault="007D22B6" w:rsidP="005D134D">
            <w:pPr>
              <w:numPr>
                <w:ilvl w:val="0"/>
                <w:numId w:val="43"/>
              </w:numPr>
              <w:suppressAutoHyphens/>
              <w:ind w:left="317" w:hanging="317"/>
              <w:jc w:val="both"/>
              <w:rPr>
                <w:sz w:val="22"/>
                <w:szCs w:val="24"/>
              </w:rPr>
            </w:pPr>
            <w:r w:rsidRPr="000C6F8C">
              <w:rPr>
                <w:sz w:val="22"/>
                <w:szCs w:val="24"/>
              </w:rPr>
              <w:t>konstrukcja i wymiary urządzenia po złożeniu do transportu muszą umożliwiać załadunek i przewóz w kabin</w:t>
            </w:r>
            <w:r>
              <w:rPr>
                <w:sz w:val="22"/>
                <w:szCs w:val="24"/>
              </w:rPr>
              <w:t>ie transportowej śmigłowca S-70i</w:t>
            </w:r>
            <w:r w:rsidRPr="000C6F8C">
              <w:rPr>
                <w:sz w:val="22"/>
                <w:szCs w:val="24"/>
              </w:rPr>
              <w:t xml:space="preserve"> oraz PZL W-3 Sokół,</w:t>
            </w:r>
          </w:p>
          <w:p w:rsidR="007D22B6" w:rsidRPr="000C6F8C" w:rsidRDefault="007D22B6" w:rsidP="005D134D">
            <w:pPr>
              <w:numPr>
                <w:ilvl w:val="0"/>
                <w:numId w:val="43"/>
              </w:numPr>
              <w:suppressAutoHyphens/>
              <w:ind w:left="317" w:hanging="317"/>
              <w:jc w:val="both"/>
              <w:rPr>
                <w:sz w:val="22"/>
                <w:szCs w:val="24"/>
              </w:rPr>
            </w:pPr>
            <w:r w:rsidRPr="000C6F8C">
              <w:rPr>
                <w:sz w:val="22"/>
                <w:szCs w:val="24"/>
              </w:rPr>
              <w:t>w kompletacji urządzenia musi znajdować się zestaw naprawczy do zbiornika tego samego producenta</w:t>
            </w:r>
            <w:r w:rsidR="001D5D70">
              <w:rPr>
                <w:sz w:val="22"/>
                <w:szCs w:val="24"/>
              </w:rPr>
              <w:t>.</w:t>
            </w:r>
          </w:p>
        </w:tc>
        <w:tc>
          <w:tcPr>
            <w:tcW w:w="964" w:type="dxa"/>
            <w:tcBorders>
              <w:top w:val="single" w:sz="4" w:space="0" w:color="000000"/>
              <w:left w:val="single" w:sz="4" w:space="0" w:color="000000"/>
              <w:bottom w:val="single" w:sz="4" w:space="0" w:color="000000"/>
              <w:right w:val="single" w:sz="4" w:space="0" w:color="auto"/>
            </w:tcBorders>
          </w:tcPr>
          <w:p w:rsidR="007D22B6" w:rsidRPr="000C6F8C" w:rsidRDefault="007D22B6" w:rsidP="0066767B">
            <w:pPr>
              <w:snapToGrid w:val="0"/>
              <w:jc w:val="both"/>
              <w:rPr>
                <w:bCs/>
              </w:rPr>
            </w:pPr>
            <w:r w:rsidRPr="000C6F8C">
              <w:rPr>
                <w:b/>
                <w:bCs/>
              </w:rPr>
              <w:t>1 kpl.</w:t>
            </w:r>
          </w:p>
        </w:tc>
      </w:tr>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001683">
            <w:pPr>
              <w:snapToGrid w:val="0"/>
              <w:rPr>
                <w:bCs/>
                <w:color w:val="000000"/>
              </w:rPr>
            </w:pPr>
            <w:r w:rsidRPr="000C6F8C">
              <w:rPr>
                <w:bCs/>
                <w:color w:val="000000"/>
              </w:rPr>
              <w:t>1.3.</w:t>
            </w:r>
          </w:p>
        </w:tc>
        <w:tc>
          <w:tcPr>
            <w:tcW w:w="12332"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2D228E">
            <w:pPr>
              <w:suppressAutoHyphens/>
              <w:jc w:val="both"/>
              <w:rPr>
                <w:sz w:val="22"/>
              </w:rPr>
            </w:pPr>
            <w:r w:rsidRPr="000C6F8C">
              <w:rPr>
                <w:sz w:val="22"/>
              </w:rPr>
              <w:t>Akumulatorowy system umożliwiający autonomiczne operowanie zrzutem wody bez korzystania z instalacji elektrycznej śmigłowca. System musi umożliwiać wykonanie minimum 200 operacji bez konieczności ładowania. W komplecie powinno znajdować się urządzenie do ładowania z sieci 230 VAC; Zestaw akumulatorowy pasujący do zbiornika 1.1 i 1.2</w:t>
            </w:r>
            <w:r w:rsidR="003B7D96">
              <w:rPr>
                <w:sz w:val="22"/>
              </w:rPr>
              <w:t>.</w:t>
            </w:r>
          </w:p>
        </w:tc>
        <w:tc>
          <w:tcPr>
            <w:tcW w:w="964"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66767B">
            <w:pPr>
              <w:snapToGrid w:val="0"/>
              <w:jc w:val="both"/>
              <w:rPr>
                <w:bCs/>
              </w:rPr>
            </w:pPr>
            <w:r w:rsidRPr="000C6F8C">
              <w:rPr>
                <w:b/>
                <w:bCs/>
              </w:rPr>
              <w:t>1 kpl.</w:t>
            </w:r>
          </w:p>
        </w:tc>
      </w:tr>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001683">
            <w:pPr>
              <w:snapToGrid w:val="0"/>
              <w:rPr>
                <w:bCs/>
                <w:color w:val="000000"/>
              </w:rPr>
            </w:pPr>
            <w:r w:rsidRPr="000C6F8C">
              <w:rPr>
                <w:bCs/>
                <w:color w:val="000000"/>
              </w:rPr>
              <w:t>1.4.</w:t>
            </w:r>
          </w:p>
        </w:tc>
        <w:tc>
          <w:tcPr>
            <w:tcW w:w="12332"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2D228E">
            <w:pPr>
              <w:suppressAutoHyphens/>
              <w:jc w:val="both"/>
              <w:rPr>
                <w:sz w:val="22"/>
                <w:szCs w:val="24"/>
              </w:rPr>
            </w:pPr>
            <w:r w:rsidRPr="000C6F8C">
              <w:rPr>
                <w:sz w:val="22"/>
                <w:szCs w:val="24"/>
              </w:rPr>
              <w:t>System podwieszenia zbiornika gaśniczego umożliwiający zwiększenie odległości zbiornika od pokładu do około 15 m umożlwiający napełnianie wodą w terenie trudnodostępnym. W skład zestawy musi wchodzić przedłużka do systemu, o którym mowa w pkt. 1.3</w:t>
            </w:r>
            <w:r w:rsidR="003A138D">
              <w:rPr>
                <w:sz w:val="22"/>
                <w:szCs w:val="24"/>
              </w:rPr>
              <w:t>.</w:t>
            </w:r>
          </w:p>
        </w:tc>
        <w:tc>
          <w:tcPr>
            <w:tcW w:w="964" w:type="dxa"/>
            <w:tcBorders>
              <w:top w:val="single" w:sz="4" w:space="0" w:color="000000"/>
              <w:left w:val="single" w:sz="4" w:space="0" w:color="000000"/>
              <w:bottom w:val="single" w:sz="4" w:space="0" w:color="000000"/>
              <w:right w:val="single" w:sz="4" w:space="0" w:color="auto"/>
            </w:tcBorders>
          </w:tcPr>
          <w:p w:rsidR="007D22B6" w:rsidRPr="000C6F8C" w:rsidRDefault="007D22B6" w:rsidP="0066767B">
            <w:pPr>
              <w:snapToGrid w:val="0"/>
              <w:jc w:val="both"/>
              <w:rPr>
                <w:bCs/>
              </w:rPr>
            </w:pPr>
            <w:r w:rsidRPr="000C6F8C">
              <w:rPr>
                <w:b/>
                <w:bCs/>
              </w:rPr>
              <w:t>1 kpl.</w:t>
            </w:r>
          </w:p>
        </w:tc>
      </w:tr>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5C4BF5">
            <w:pPr>
              <w:snapToGrid w:val="0"/>
              <w:rPr>
                <w:bCs/>
                <w:color w:val="000000"/>
              </w:rPr>
            </w:pPr>
            <w:r w:rsidRPr="000C6F8C">
              <w:rPr>
                <w:bCs/>
                <w:color w:val="000000"/>
              </w:rPr>
              <w:t>1.5.</w:t>
            </w:r>
          </w:p>
        </w:tc>
        <w:tc>
          <w:tcPr>
            <w:tcW w:w="12332"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66767B">
            <w:pPr>
              <w:tabs>
                <w:tab w:val="left" w:pos="48"/>
                <w:tab w:val="left" w:pos="921"/>
                <w:tab w:val="left" w:pos="6513"/>
                <w:tab w:val="left" w:pos="10395"/>
                <w:tab w:val="left" w:pos="14730"/>
              </w:tabs>
              <w:snapToGrid w:val="0"/>
              <w:spacing w:line="240" w:lineRule="atLeast"/>
              <w:jc w:val="both"/>
              <w:rPr>
                <w:bCs/>
              </w:rPr>
            </w:pPr>
            <w:r w:rsidRPr="000C6F8C">
              <w:rPr>
                <w:bCs/>
                <w:sz w:val="22"/>
                <w:szCs w:val="24"/>
              </w:rPr>
              <w:t xml:space="preserve">Sieć transportowa </w:t>
            </w:r>
            <w:r w:rsidRPr="000C6F8C">
              <w:rPr>
                <w:color w:val="000000"/>
                <w:sz w:val="22"/>
                <w:szCs w:val="24"/>
              </w:rPr>
              <w:t>MA-3 (15x20 stóp)</w:t>
            </w:r>
            <w:r w:rsidR="00D4772B">
              <w:rPr>
                <w:color w:val="000000"/>
                <w:sz w:val="22"/>
                <w:szCs w:val="24"/>
              </w:rPr>
              <w:t>.</w:t>
            </w:r>
          </w:p>
        </w:tc>
        <w:tc>
          <w:tcPr>
            <w:tcW w:w="964" w:type="dxa"/>
            <w:tcBorders>
              <w:top w:val="single" w:sz="4" w:space="0" w:color="000000"/>
              <w:left w:val="single" w:sz="4" w:space="0" w:color="000000"/>
              <w:bottom w:val="single" w:sz="4" w:space="0" w:color="000000"/>
              <w:right w:val="single" w:sz="4" w:space="0" w:color="auto"/>
            </w:tcBorders>
          </w:tcPr>
          <w:p w:rsidR="007D22B6" w:rsidRPr="000C6F8C" w:rsidRDefault="007D22B6" w:rsidP="0066767B">
            <w:pPr>
              <w:tabs>
                <w:tab w:val="left" w:pos="48"/>
                <w:tab w:val="left" w:pos="921"/>
                <w:tab w:val="left" w:pos="6513"/>
                <w:tab w:val="left" w:pos="10395"/>
                <w:tab w:val="left" w:pos="14730"/>
              </w:tabs>
              <w:snapToGrid w:val="0"/>
              <w:spacing w:line="240" w:lineRule="atLeast"/>
              <w:jc w:val="both"/>
              <w:rPr>
                <w:bCs/>
              </w:rPr>
            </w:pPr>
            <w:r w:rsidRPr="000C6F8C">
              <w:rPr>
                <w:b/>
                <w:bCs/>
              </w:rPr>
              <w:t>1 szt.</w:t>
            </w:r>
          </w:p>
        </w:tc>
      </w:tr>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5C4BF5">
            <w:pPr>
              <w:snapToGrid w:val="0"/>
              <w:rPr>
                <w:bCs/>
                <w:color w:val="000000"/>
              </w:rPr>
            </w:pPr>
            <w:r w:rsidRPr="000C6F8C">
              <w:rPr>
                <w:bCs/>
                <w:color w:val="000000"/>
              </w:rPr>
              <w:t>1.6.</w:t>
            </w:r>
          </w:p>
        </w:tc>
        <w:tc>
          <w:tcPr>
            <w:tcW w:w="12332"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E76839" w:rsidP="0066767B">
            <w:pPr>
              <w:tabs>
                <w:tab w:val="left" w:pos="48"/>
                <w:tab w:val="left" w:pos="921"/>
                <w:tab w:val="left" w:pos="6513"/>
                <w:tab w:val="left" w:pos="10395"/>
                <w:tab w:val="left" w:pos="14730"/>
              </w:tabs>
              <w:snapToGrid w:val="0"/>
              <w:spacing w:line="240" w:lineRule="atLeast"/>
              <w:jc w:val="both"/>
              <w:rPr>
                <w:bCs/>
                <w:sz w:val="22"/>
                <w:szCs w:val="24"/>
              </w:rPr>
            </w:pPr>
            <w:r w:rsidRPr="00E76839">
              <w:rPr>
                <w:bCs/>
                <w:sz w:val="22"/>
                <w:szCs w:val="24"/>
              </w:rPr>
              <w:t>Szekla omega  spełniająca wymagania normy PN-EN 13889. WLL (DOR)≥4,2T i współczynniku bezpieczeństwa min. 5:1. Szekla musi umożliwiać odsunięcie i ukierunkowanie zawiesia pod pokładem śmigłowca S-70i oraz PZL W-3 Sokół.</w:t>
            </w:r>
          </w:p>
        </w:tc>
        <w:tc>
          <w:tcPr>
            <w:tcW w:w="964" w:type="dxa"/>
            <w:tcBorders>
              <w:top w:val="single" w:sz="4" w:space="0" w:color="000000"/>
              <w:left w:val="single" w:sz="4" w:space="0" w:color="000000"/>
              <w:bottom w:val="single" w:sz="4" w:space="0" w:color="000000"/>
              <w:right w:val="single" w:sz="4" w:space="0" w:color="auto"/>
            </w:tcBorders>
          </w:tcPr>
          <w:p w:rsidR="007D22B6" w:rsidRPr="000C6F8C" w:rsidRDefault="007D22B6" w:rsidP="0066767B">
            <w:pPr>
              <w:tabs>
                <w:tab w:val="left" w:pos="48"/>
                <w:tab w:val="left" w:pos="921"/>
                <w:tab w:val="left" w:pos="6513"/>
                <w:tab w:val="left" w:pos="10395"/>
                <w:tab w:val="left" w:pos="14730"/>
              </w:tabs>
              <w:snapToGrid w:val="0"/>
              <w:spacing w:line="240" w:lineRule="atLeast"/>
              <w:jc w:val="both"/>
              <w:rPr>
                <w:bCs/>
              </w:rPr>
            </w:pPr>
            <w:r w:rsidRPr="000C6F8C">
              <w:rPr>
                <w:b/>
                <w:bCs/>
              </w:rPr>
              <w:t>2 szt.</w:t>
            </w:r>
          </w:p>
        </w:tc>
      </w:tr>
      <w:tr w:rsidR="00E9799D"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E9799D" w:rsidRPr="00493F32" w:rsidRDefault="00E539E8" w:rsidP="00630251">
            <w:pPr>
              <w:snapToGrid w:val="0"/>
              <w:rPr>
                <w:b/>
                <w:bCs/>
                <w:color w:val="000000"/>
              </w:rPr>
            </w:pPr>
            <w:r>
              <w:rPr>
                <w:b/>
                <w:bCs/>
                <w:color w:val="000000"/>
              </w:rPr>
              <w:t>2</w:t>
            </w:r>
            <w:r w:rsidR="00E9799D" w:rsidRPr="00493F32">
              <w:rPr>
                <w:b/>
                <w:bCs/>
                <w:color w:val="000000"/>
              </w:rPr>
              <w:t>.</w:t>
            </w:r>
          </w:p>
        </w:tc>
        <w:tc>
          <w:tcPr>
            <w:tcW w:w="13296" w:type="dxa"/>
            <w:gridSpan w:val="2"/>
            <w:tcBorders>
              <w:top w:val="single" w:sz="4" w:space="0" w:color="000000"/>
              <w:left w:val="single" w:sz="4" w:space="0" w:color="auto"/>
              <w:bottom w:val="single" w:sz="4" w:space="0" w:color="000000"/>
              <w:right w:val="single" w:sz="4" w:space="0" w:color="auto"/>
            </w:tcBorders>
            <w:shd w:val="clear" w:color="auto" w:fill="auto"/>
          </w:tcPr>
          <w:p w:rsidR="00E9799D" w:rsidRPr="00E143F4" w:rsidRDefault="00E9799D" w:rsidP="0036528A">
            <w:pPr>
              <w:snapToGrid w:val="0"/>
              <w:jc w:val="center"/>
              <w:rPr>
                <w:b/>
                <w:bCs/>
                <w:sz w:val="24"/>
                <w:szCs w:val="24"/>
              </w:rPr>
            </w:pPr>
            <w:r w:rsidRPr="00E143F4">
              <w:rPr>
                <w:b/>
                <w:bCs/>
                <w:sz w:val="24"/>
                <w:szCs w:val="24"/>
              </w:rPr>
              <w:t xml:space="preserve">Wyposażenie – </w:t>
            </w:r>
            <w:r w:rsidR="003211D6">
              <w:rPr>
                <w:b/>
                <w:bCs/>
                <w:sz w:val="24"/>
                <w:szCs w:val="24"/>
              </w:rPr>
              <w:t>słuchawki HeadsetPeltor</w:t>
            </w:r>
          </w:p>
        </w:tc>
      </w:tr>
      <w:tr w:rsidR="00603BEF"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630251">
            <w:pPr>
              <w:snapToGrid w:val="0"/>
              <w:rPr>
                <w:bCs/>
                <w:color w:val="000000"/>
              </w:rPr>
            </w:pPr>
            <w:r>
              <w:rPr>
                <w:bCs/>
                <w:color w:val="000000"/>
              </w:rPr>
              <w:lastRenderedPageBreak/>
              <w:t>2</w:t>
            </w:r>
            <w:r w:rsidR="00603BEF" w:rsidRPr="000C6F8C">
              <w:rPr>
                <w:bCs/>
                <w:color w:val="000000"/>
              </w:rPr>
              <w:t>.1.</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C925D5" w:rsidRPr="00261754" w:rsidRDefault="00DD5659" w:rsidP="002D257D">
            <w:pPr>
              <w:snapToGrid w:val="0"/>
              <w:jc w:val="both"/>
              <w:rPr>
                <w:bCs/>
                <w:sz w:val="22"/>
                <w:szCs w:val="22"/>
              </w:rPr>
            </w:pPr>
            <w:r>
              <w:rPr>
                <w:sz w:val="22"/>
                <w:szCs w:val="22"/>
              </w:rPr>
              <w:t>Ochronniki słuchu zapewniające dwukierunkową komunikację w głośnym otoczeniu. Wyposażone w zewnętrzne mikrofony</w:t>
            </w:r>
            <w:r w:rsidR="00031D0A">
              <w:rPr>
                <w:sz w:val="22"/>
                <w:szCs w:val="22"/>
              </w:rPr>
              <w:t xml:space="preserve"> do nasłuchiwania dźwięków otoczenia,</w:t>
            </w:r>
            <w:r>
              <w:rPr>
                <w:sz w:val="22"/>
                <w:szCs w:val="22"/>
              </w:rPr>
              <w:t xml:space="preserve"> zasilane bateriami </w:t>
            </w:r>
            <w:r w:rsidR="00031D0A">
              <w:rPr>
                <w:sz w:val="22"/>
                <w:szCs w:val="22"/>
              </w:rPr>
              <w:t xml:space="preserve">typ </w:t>
            </w:r>
            <w:r>
              <w:rPr>
                <w:sz w:val="22"/>
                <w:szCs w:val="22"/>
              </w:rPr>
              <w:t>AA</w:t>
            </w:r>
            <w:r w:rsidR="00031D0A">
              <w:rPr>
                <w:sz w:val="22"/>
                <w:szCs w:val="22"/>
              </w:rPr>
              <w:t>A</w:t>
            </w:r>
            <w:r>
              <w:rPr>
                <w:sz w:val="22"/>
                <w:szCs w:val="22"/>
              </w:rPr>
              <w:t>. Ochronniki muszą być w wersji</w:t>
            </w:r>
            <w:r w:rsidR="00C925D5" w:rsidRPr="00261754">
              <w:rPr>
                <w:sz w:val="22"/>
                <w:szCs w:val="22"/>
              </w:rPr>
              <w:t xml:space="preserve"> umożliwiającej dopięcia do kasku PETZLVertex</w:t>
            </w:r>
            <w:r w:rsidR="00D33F2F">
              <w:rPr>
                <w:sz w:val="22"/>
                <w:szCs w:val="22"/>
              </w:rPr>
              <w:t xml:space="preserve"> będącego na wyposażeniu Zamawiającego</w:t>
            </w:r>
            <w:r w:rsidR="00C925D5" w:rsidRPr="00261754">
              <w:rPr>
                <w:sz w:val="22"/>
                <w:szCs w:val="22"/>
              </w:rPr>
              <w:t>. Zestaw słuchawek wyposażony w dodatkowy adapter z PTT umożliwiający podłączenie zestawu do radiotelefonu HyteraPD785G. Zestaw musi zapewniać działanie z interkomem śmigłowca S-70i (po odłączeniu od radiotelefonu). Mikrofon</w:t>
            </w:r>
            <w:r>
              <w:rPr>
                <w:sz w:val="22"/>
                <w:szCs w:val="22"/>
              </w:rPr>
              <w:t xml:space="preserve"> mowy</w:t>
            </w:r>
            <w:r w:rsidR="00C925D5" w:rsidRPr="00261754">
              <w:rPr>
                <w:sz w:val="22"/>
                <w:szCs w:val="22"/>
              </w:rPr>
              <w:t xml:space="preserve"> zestawu musi być przystosowany do pracy w środowisku o dużym natężeniu hałasu, wyposażony w osłonę przeci</w:t>
            </w:r>
            <w:r w:rsidR="00AA48E3" w:rsidRPr="00261754">
              <w:rPr>
                <w:sz w:val="22"/>
                <w:szCs w:val="22"/>
              </w:rPr>
              <w:t>w</w:t>
            </w:r>
            <w:r w:rsidR="00C925D5" w:rsidRPr="00261754">
              <w:rPr>
                <w:sz w:val="22"/>
                <w:szCs w:val="22"/>
              </w:rPr>
              <w:t>wiatrową z gąbki,  montowany na giętkim ramieniu typu "gęsia szyja".</w:t>
            </w:r>
            <w:r w:rsidR="002D257D">
              <w:rPr>
                <w:sz w:val="22"/>
                <w:szCs w:val="22"/>
              </w:rPr>
              <w:t xml:space="preserve"> </w:t>
            </w:r>
          </w:p>
        </w:tc>
        <w:tc>
          <w:tcPr>
            <w:tcW w:w="964" w:type="dxa"/>
            <w:tcBorders>
              <w:top w:val="single" w:sz="4" w:space="0" w:color="000000"/>
              <w:left w:val="single" w:sz="4" w:space="0" w:color="auto"/>
              <w:bottom w:val="single" w:sz="4" w:space="0" w:color="000000"/>
              <w:right w:val="single" w:sz="4" w:space="0" w:color="auto"/>
            </w:tcBorders>
            <w:shd w:val="clear" w:color="auto" w:fill="auto"/>
          </w:tcPr>
          <w:p w:rsidR="00603BEF" w:rsidRPr="00261754" w:rsidRDefault="00603BEF" w:rsidP="00E9799D">
            <w:pPr>
              <w:snapToGrid w:val="0"/>
              <w:jc w:val="both"/>
              <w:rPr>
                <w:bCs/>
                <w:sz w:val="22"/>
                <w:szCs w:val="22"/>
              </w:rPr>
            </w:pPr>
            <w:r w:rsidRPr="00261754">
              <w:rPr>
                <w:b/>
                <w:bCs/>
              </w:rPr>
              <w:t>2 szt.</w:t>
            </w:r>
          </w:p>
        </w:tc>
      </w:tr>
      <w:tr w:rsidR="00C925D5"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C925D5" w:rsidRPr="000C6F8C" w:rsidRDefault="00E539E8" w:rsidP="00630251">
            <w:pPr>
              <w:snapToGrid w:val="0"/>
              <w:rPr>
                <w:bCs/>
                <w:color w:val="000000"/>
              </w:rPr>
            </w:pPr>
            <w:r>
              <w:rPr>
                <w:bCs/>
                <w:color w:val="000000"/>
              </w:rPr>
              <w:t>2</w:t>
            </w:r>
            <w:r w:rsidR="00C925D5">
              <w:rPr>
                <w:bCs/>
                <w:color w:val="000000"/>
              </w:rPr>
              <w:t>.2.</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C925D5" w:rsidRPr="00261754" w:rsidRDefault="00C925D5" w:rsidP="00D33F2F">
            <w:pPr>
              <w:jc w:val="both"/>
              <w:rPr>
                <w:sz w:val="22"/>
                <w:szCs w:val="22"/>
              </w:rPr>
            </w:pPr>
            <w:r w:rsidRPr="00261754">
              <w:rPr>
                <w:sz w:val="22"/>
                <w:szCs w:val="22"/>
              </w:rPr>
              <w:t>Słuchawki w wersji umożliwiającej dopięcia do kasku PETZLVertex</w:t>
            </w:r>
            <w:r w:rsidR="00D33F2F">
              <w:rPr>
                <w:sz w:val="22"/>
                <w:szCs w:val="22"/>
              </w:rPr>
              <w:t xml:space="preserve"> będącego na wyposażeniu Zamawiającego.</w:t>
            </w:r>
            <w:r w:rsidRPr="00261754">
              <w:rPr>
                <w:sz w:val="22"/>
                <w:szCs w:val="22"/>
              </w:rPr>
              <w:t xml:space="preserve"> Zestaw musi umożliwiać komunikację na pokładzie śmigłowca poprzez równoczesne podłączenie go do radiotelefon</w:t>
            </w:r>
            <w:r w:rsidR="0009602E">
              <w:rPr>
                <w:sz w:val="22"/>
                <w:szCs w:val="22"/>
              </w:rPr>
              <w:t>u</w:t>
            </w:r>
            <w:r w:rsidRPr="00261754">
              <w:rPr>
                <w:sz w:val="22"/>
                <w:szCs w:val="22"/>
              </w:rPr>
              <w:t xml:space="preserve"> HyteraPD785G </w:t>
            </w:r>
            <w:r w:rsidR="00C8528C">
              <w:rPr>
                <w:sz w:val="22"/>
                <w:szCs w:val="22"/>
              </w:rPr>
              <w:t xml:space="preserve">będącego </w:t>
            </w:r>
            <w:r w:rsidR="00926711">
              <w:rPr>
                <w:sz w:val="22"/>
                <w:szCs w:val="22"/>
              </w:rPr>
              <w:t>na</w:t>
            </w:r>
            <w:r w:rsidR="00C8528C">
              <w:rPr>
                <w:sz w:val="22"/>
                <w:szCs w:val="22"/>
              </w:rPr>
              <w:t xml:space="preserve"> wyposażeniu Zamawiającego </w:t>
            </w:r>
            <w:r w:rsidRPr="00261754">
              <w:rPr>
                <w:sz w:val="22"/>
                <w:szCs w:val="22"/>
              </w:rPr>
              <w:t xml:space="preserve">(poprzez dodatkowy adapter z PTT) oraz interkomu śmigłowca S-70i. Dopuszcza się rozwiązanie, </w:t>
            </w:r>
            <w:r w:rsidR="00926711">
              <w:rPr>
                <w:sz w:val="22"/>
                <w:szCs w:val="22"/>
              </w:rPr>
              <w:br/>
            </w:r>
            <w:r w:rsidRPr="00261754">
              <w:rPr>
                <w:sz w:val="22"/>
                <w:szCs w:val="22"/>
              </w:rPr>
              <w:t xml:space="preserve">w którym  dźwięk z poszczególnych instalacji (interkom śmigłowca, radiotelefon) będzie słyszalny tylko w jednej ze słuchawek. </w:t>
            </w:r>
            <w:r w:rsidR="00926711">
              <w:rPr>
                <w:sz w:val="22"/>
                <w:szCs w:val="22"/>
              </w:rPr>
              <w:br/>
            </w:r>
            <w:r w:rsidRPr="00261754">
              <w:rPr>
                <w:sz w:val="22"/>
                <w:szCs w:val="22"/>
              </w:rPr>
              <w:t>W przypadku zastosowania rozwiązania, w którym  zarówno dźwięk z interkomu jak i radiotelefonu będzie słyszalny w obydwu słuchawkach</w:t>
            </w:r>
            <w:r w:rsidR="00AA48E3" w:rsidRPr="00261754">
              <w:rPr>
                <w:sz w:val="22"/>
                <w:szCs w:val="22"/>
              </w:rPr>
              <w:t>,</w:t>
            </w:r>
            <w:r w:rsidRPr="00261754">
              <w:rPr>
                <w:sz w:val="22"/>
                <w:szCs w:val="22"/>
              </w:rPr>
              <w:t xml:space="preserve"> wymagane jest zastosowanie wyższego priorytetu dla dźwięku z interkomu śmigłowca (komunikat z interkomu musi zawsze zagłuszyć komunikat z radiotelefonu).  Mikrofon zestawu musi być przystosowany do pracy w środowisku o dużym natężeniu hałasu, wyposażony w osłonę przeci</w:t>
            </w:r>
            <w:r w:rsidR="00AA48E3" w:rsidRPr="00261754">
              <w:rPr>
                <w:sz w:val="22"/>
                <w:szCs w:val="22"/>
              </w:rPr>
              <w:t>w</w:t>
            </w:r>
            <w:r w:rsidRPr="00261754">
              <w:rPr>
                <w:sz w:val="22"/>
                <w:szCs w:val="22"/>
              </w:rPr>
              <w:t>wiatrową z gąbki,  montowany na giętkim ramieniu typu "gęsia szyja".</w:t>
            </w:r>
          </w:p>
        </w:tc>
        <w:tc>
          <w:tcPr>
            <w:tcW w:w="964" w:type="dxa"/>
            <w:tcBorders>
              <w:top w:val="single" w:sz="4" w:space="0" w:color="000000"/>
              <w:left w:val="single" w:sz="4" w:space="0" w:color="auto"/>
              <w:bottom w:val="single" w:sz="4" w:space="0" w:color="000000"/>
              <w:right w:val="single" w:sz="4" w:space="0" w:color="auto"/>
            </w:tcBorders>
            <w:shd w:val="clear" w:color="auto" w:fill="auto"/>
          </w:tcPr>
          <w:p w:rsidR="00C925D5" w:rsidRPr="00261754" w:rsidRDefault="00C925D5" w:rsidP="00E9799D">
            <w:pPr>
              <w:snapToGrid w:val="0"/>
              <w:jc w:val="both"/>
              <w:rPr>
                <w:b/>
                <w:bCs/>
              </w:rPr>
            </w:pPr>
            <w:r w:rsidRPr="00261754">
              <w:rPr>
                <w:b/>
                <w:bCs/>
              </w:rPr>
              <w:t>1 szt.</w:t>
            </w:r>
          </w:p>
        </w:tc>
      </w:tr>
      <w:tr w:rsidR="00E9799D"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E9799D" w:rsidRPr="00493F32" w:rsidRDefault="00E539E8" w:rsidP="00630251">
            <w:pPr>
              <w:snapToGrid w:val="0"/>
              <w:rPr>
                <w:b/>
                <w:bCs/>
                <w:color w:val="000000"/>
              </w:rPr>
            </w:pPr>
            <w:r>
              <w:rPr>
                <w:b/>
                <w:bCs/>
                <w:color w:val="000000"/>
              </w:rPr>
              <w:t>3</w:t>
            </w:r>
            <w:r w:rsidR="00E9799D" w:rsidRPr="00493F32">
              <w:rPr>
                <w:b/>
                <w:bCs/>
                <w:color w:val="000000"/>
              </w:rPr>
              <w:t>.</w:t>
            </w:r>
          </w:p>
        </w:tc>
        <w:tc>
          <w:tcPr>
            <w:tcW w:w="13296" w:type="dxa"/>
            <w:gridSpan w:val="2"/>
            <w:tcBorders>
              <w:top w:val="single" w:sz="4" w:space="0" w:color="000000"/>
              <w:left w:val="single" w:sz="4" w:space="0" w:color="auto"/>
              <w:bottom w:val="single" w:sz="4" w:space="0" w:color="000000"/>
              <w:right w:val="single" w:sz="4" w:space="0" w:color="auto"/>
            </w:tcBorders>
            <w:shd w:val="clear" w:color="auto" w:fill="auto"/>
          </w:tcPr>
          <w:p w:rsidR="00E9799D" w:rsidRPr="00E143F4" w:rsidRDefault="00E9799D" w:rsidP="00E9799D">
            <w:pPr>
              <w:snapToGrid w:val="0"/>
              <w:jc w:val="center"/>
              <w:rPr>
                <w:bCs/>
                <w:sz w:val="24"/>
                <w:szCs w:val="24"/>
              </w:rPr>
            </w:pPr>
            <w:r w:rsidRPr="00E143F4">
              <w:rPr>
                <w:b/>
                <w:bCs/>
                <w:sz w:val="24"/>
                <w:szCs w:val="24"/>
              </w:rPr>
              <w:t xml:space="preserve">Wyposażenie – </w:t>
            </w:r>
            <w:r w:rsidR="000C6F8C" w:rsidRPr="00E143F4">
              <w:rPr>
                <w:b/>
                <w:bCs/>
                <w:sz w:val="24"/>
                <w:szCs w:val="24"/>
              </w:rPr>
              <w:t>zestaw do uziemienia</w:t>
            </w:r>
          </w:p>
        </w:tc>
      </w:tr>
      <w:tr w:rsidR="00603BEF"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630251">
            <w:pPr>
              <w:snapToGrid w:val="0"/>
              <w:rPr>
                <w:bCs/>
                <w:color w:val="000000"/>
              </w:rPr>
            </w:pPr>
            <w:r>
              <w:rPr>
                <w:bCs/>
                <w:color w:val="000000"/>
              </w:rPr>
              <w:t>3</w:t>
            </w:r>
            <w:r w:rsidR="00603BEF" w:rsidRPr="000C6F8C">
              <w:rPr>
                <w:bCs/>
                <w:color w:val="000000"/>
              </w:rPr>
              <w:t>.1.</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603BEF" w:rsidRPr="008754C5" w:rsidRDefault="00603BEF" w:rsidP="00E9799D">
            <w:pPr>
              <w:snapToGrid w:val="0"/>
              <w:jc w:val="both"/>
              <w:rPr>
                <w:bCs/>
                <w:sz w:val="22"/>
                <w:szCs w:val="22"/>
              </w:rPr>
            </w:pPr>
            <w:r w:rsidRPr="008754C5">
              <w:rPr>
                <w:bCs/>
                <w:sz w:val="22"/>
                <w:szCs w:val="22"/>
              </w:rPr>
              <w:t>Staticdischargewand nr NSN 1670-01-192-5535</w:t>
            </w:r>
            <w:r w:rsidR="008754C5" w:rsidRPr="008754C5">
              <w:rPr>
                <w:bCs/>
                <w:sz w:val="22"/>
                <w:szCs w:val="22"/>
              </w:rPr>
              <w:t xml:space="preserve"> lub równoważne. </w:t>
            </w:r>
          </w:p>
        </w:tc>
        <w:tc>
          <w:tcPr>
            <w:tcW w:w="964" w:type="dxa"/>
            <w:tcBorders>
              <w:top w:val="single" w:sz="4" w:space="0" w:color="000000"/>
              <w:left w:val="single" w:sz="4" w:space="0" w:color="auto"/>
              <w:bottom w:val="single" w:sz="4" w:space="0" w:color="000000"/>
              <w:right w:val="single" w:sz="4" w:space="0" w:color="auto"/>
            </w:tcBorders>
            <w:shd w:val="clear" w:color="auto" w:fill="auto"/>
          </w:tcPr>
          <w:p w:rsidR="00603BEF" w:rsidRPr="008754C5" w:rsidRDefault="00603BEF" w:rsidP="00E9799D">
            <w:pPr>
              <w:snapToGrid w:val="0"/>
              <w:jc w:val="both"/>
              <w:rPr>
                <w:bCs/>
                <w:sz w:val="22"/>
                <w:szCs w:val="22"/>
              </w:rPr>
            </w:pPr>
            <w:r w:rsidRPr="008754C5">
              <w:rPr>
                <w:b/>
                <w:bCs/>
              </w:rPr>
              <w:t>1 szt.</w:t>
            </w:r>
          </w:p>
        </w:tc>
      </w:tr>
      <w:tr w:rsidR="00603BEF"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630251">
            <w:pPr>
              <w:snapToGrid w:val="0"/>
              <w:rPr>
                <w:bCs/>
                <w:color w:val="000000"/>
              </w:rPr>
            </w:pPr>
            <w:r>
              <w:rPr>
                <w:bCs/>
                <w:color w:val="000000"/>
              </w:rPr>
              <w:t>3</w:t>
            </w:r>
            <w:r w:rsidR="00603BEF" w:rsidRPr="000C6F8C">
              <w:rPr>
                <w:bCs/>
                <w:color w:val="000000"/>
              </w:rPr>
              <w:t>.2</w:t>
            </w:r>
            <w:r w:rsidR="00603BEF">
              <w:rPr>
                <w:bCs/>
                <w:color w:val="000000"/>
              </w:rPr>
              <w:t>.</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603BEF" w:rsidRPr="008754C5" w:rsidRDefault="00603BEF" w:rsidP="00E9799D">
            <w:pPr>
              <w:snapToGrid w:val="0"/>
              <w:jc w:val="both"/>
              <w:rPr>
                <w:bCs/>
                <w:sz w:val="22"/>
                <w:szCs w:val="22"/>
              </w:rPr>
            </w:pPr>
            <w:r w:rsidRPr="008754C5">
              <w:rPr>
                <w:bCs/>
                <w:sz w:val="22"/>
                <w:szCs w:val="22"/>
              </w:rPr>
              <w:t>Rękawice dielektryczne</w:t>
            </w:r>
            <w:r w:rsidR="00DC21DC" w:rsidRPr="008754C5">
              <w:rPr>
                <w:bCs/>
                <w:sz w:val="22"/>
                <w:szCs w:val="22"/>
              </w:rPr>
              <w:t>.</w:t>
            </w:r>
          </w:p>
        </w:tc>
        <w:tc>
          <w:tcPr>
            <w:tcW w:w="964" w:type="dxa"/>
            <w:tcBorders>
              <w:top w:val="single" w:sz="4" w:space="0" w:color="000000"/>
              <w:left w:val="single" w:sz="4" w:space="0" w:color="auto"/>
              <w:bottom w:val="single" w:sz="4" w:space="0" w:color="000000"/>
              <w:right w:val="single" w:sz="4" w:space="0" w:color="auto"/>
            </w:tcBorders>
            <w:shd w:val="clear" w:color="auto" w:fill="auto"/>
          </w:tcPr>
          <w:p w:rsidR="00603BEF" w:rsidRPr="008754C5" w:rsidRDefault="00603BEF" w:rsidP="00E9799D">
            <w:pPr>
              <w:snapToGrid w:val="0"/>
              <w:jc w:val="both"/>
              <w:rPr>
                <w:bCs/>
                <w:sz w:val="22"/>
                <w:szCs w:val="22"/>
              </w:rPr>
            </w:pPr>
            <w:r w:rsidRPr="008754C5">
              <w:rPr>
                <w:b/>
                <w:bCs/>
              </w:rPr>
              <w:t>1 para</w:t>
            </w:r>
          </w:p>
        </w:tc>
      </w:tr>
      <w:tr w:rsidR="00630251"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630251" w:rsidRPr="00493F32" w:rsidRDefault="00E539E8" w:rsidP="00630251">
            <w:pPr>
              <w:snapToGrid w:val="0"/>
              <w:rPr>
                <w:b/>
                <w:bCs/>
                <w:color w:val="000000"/>
              </w:rPr>
            </w:pPr>
            <w:r>
              <w:rPr>
                <w:b/>
                <w:bCs/>
                <w:color w:val="000000"/>
              </w:rPr>
              <w:t>4</w:t>
            </w:r>
            <w:r w:rsidR="00630251" w:rsidRPr="00493F32">
              <w:rPr>
                <w:b/>
                <w:bCs/>
                <w:color w:val="000000"/>
              </w:rPr>
              <w:t>.</w:t>
            </w:r>
          </w:p>
        </w:tc>
        <w:tc>
          <w:tcPr>
            <w:tcW w:w="13296" w:type="dxa"/>
            <w:gridSpan w:val="2"/>
            <w:tcBorders>
              <w:top w:val="single" w:sz="4" w:space="0" w:color="000000"/>
              <w:left w:val="single" w:sz="4" w:space="0" w:color="auto"/>
              <w:bottom w:val="single" w:sz="4" w:space="0" w:color="000000"/>
              <w:right w:val="single" w:sz="4" w:space="0" w:color="auto"/>
            </w:tcBorders>
            <w:shd w:val="clear" w:color="auto" w:fill="auto"/>
          </w:tcPr>
          <w:p w:rsidR="00630251" w:rsidRPr="00DC21DC" w:rsidRDefault="00630251" w:rsidP="00630251">
            <w:pPr>
              <w:snapToGrid w:val="0"/>
              <w:jc w:val="center"/>
              <w:rPr>
                <w:bCs/>
                <w:sz w:val="24"/>
                <w:szCs w:val="24"/>
              </w:rPr>
            </w:pPr>
            <w:r w:rsidRPr="00DC21DC">
              <w:rPr>
                <w:b/>
                <w:bCs/>
                <w:sz w:val="24"/>
                <w:szCs w:val="24"/>
              </w:rPr>
              <w:t>Wyposażenie – Przyczepa transportowa</w:t>
            </w:r>
          </w:p>
        </w:tc>
      </w:tr>
      <w:tr w:rsidR="00603BEF" w:rsidRPr="000C6F8C" w:rsidTr="00C8528C">
        <w:trPr>
          <w:trHeight w:val="560"/>
        </w:trPr>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630251">
            <w:pPr>
              <w:snapToGrid w:val="0"/>
              <w:rPr>
                <w:bCs/>
                <w:color w:val="000000"/>
              </w:rPr>
            </w:pPr>
            <w:r>
              <w:rPr>
                <w:bCs/>
                <w:color w:val="000000"/>
              </w:rPr>
              <w:t>4</w:t>
            </w:r>
            <w:r w:rsidR="00603BEF" w:rsidRPr="000C6F8C">
              <w:rPr>
                <w:bCs/>
                <w:color w:val="000000"/>
              </w:rPr>
              <w:t>.1</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396FD4" w:rsidRPr="00396FD4" w:rsidRDefault="00396FD4" w:rsidP="00D47771">
            <w:pPr>
              <w:snapToGrid w:val="0"/>
              <w:jc w:val="both"/>
              <w:rPr>
                <w:spacing w:val="-1"/>
                <w:sz w:val="22"/>
                <w:szCs w:val="22"/>
              </w:rPr>
            </w:pPr>
            <w:r w:rsidRPr="00396FD4">
              <w:rPr>
                <w:spacing w:val="-1"/>
                <w:sz w:val="22"/>
                <w:szCs w:val="22"/>
              </w:rPr>
              <w:t>Całość wyposażenia zamontowana i dostarczona na przyczepie transportowej lekkiej. Dyszel  przyczepy  powinien  posiadać  możliwość regulacji wysokości sprzęgu  w zakresie  różnicy wysokości min.  60 cm . Dyszel  powinien  posiadać  możliwość wymiany  końcówek zaczepu na</w:t>
            </w:r>
            <w:bookmarkStart w:id="0" w:name="_GoBack"/>
            <w:bookmarkEnd w:id="0"/>
            <w:r w:rsidRPr="00396FD4">
              <w:rPr>
                <w:spacing w:val="-1"/>
                <w:sz w:val="22"/>
                <w:szCs w:val="22"/>
              </w:rPr>
              <w:t xml:space="preserve">:         </w:t>
            </w:r>
          </w:p>
          <w:p w:rsidR="00396FD4" w:rsidRPr="00396FD4" w:rsidRDefault="00396FD4" w:rsidP="00D47771">
            <w:pPr>
              <w:snapToGrid w:val="0"/>
              <w:jc w:val="both"/>
              <w:rPr>
                <w:spacing w:val="-1"/>
                <w:sz w:val="22"/>
                <w:szCs w:val="22"/>
              </w:rPr>
            </w:pPr>
            <w:r w:rsidRPr="00396FD4">
              <w:rPr>
                <w:spacing w:val="-1"/>
                <w:sz w:val="22"/>
                <w:szCs w:val="22"/>
              </w:rPr>
              <w:t>- zaczep  dostosowany  do  haka kulowego -  samochody  osobowe  i  dostawcze,</w:t>
            </w:r>
          </w:p>
          <w:p w:rsidR="00396FD4" w:rsidRPr="00396FD4" w:rsidRDefault="00396FD4" w:rsidP="00D47771">
            <w:pPr>
              <w:snapToGrid w:val="0"/>
              <w:jc w:val="both"/>
              <w:rPr>
                <w:spacing w:val="-1"/>
                <w:sz w:val="22"/>
                <w:szCs w:val="22"/>
              </w:rPr>
            </w:pPr>
            <w:r w:rsidRPr="00396FD4">
              <w:rPr>
                <w:spacing w:val="-1"/>
                <w:sz w:val="22"/>
                <w:szCs w:val="22"/>
              </w:rPr>
              <w:t>- zaczep  oczkowy o średnicy DIN Ø40 mm – kompatybilny  zaczepem  „paszczowym” -samochody ciężarowe.</w:t>
            </w:r>
          </w:p>
          <w:p w:rsidR="00396FD4" w:rsidRPr="00396FD4" w:rsidRDefault="00396FD4" w:rsidP="00D47771">
            <w:pPr>
              <w:snapToGrid w:val="0"/>
              <w:jc w:val="both"/>
              <w:rPr>
                <w:spacing w:val="-1"/>
                <w:sz w:val="22"/>
                <w:szCs w:val="22"/>
              </w:rPr>
            </w:pPr>
            <w:r w:rsidRPr="00396FD4">
              <w:rPr>
                <w:spacing w:val="-1"/>
                <w:sz w:val="22"/>
                <w:szCs w:val="22"/>
              </w:rPr>
              <w:t xml:space="preserve">Wymiana  końcówek sprzęgowych  powinna  być  łatwa i  możliwa  przy  użyciu  standardowych  kluczy.  </w:t>
            </w:r>
          </w:p>
          <w:p w:rsidR="00603BEF" w:rsidRPr="000C6F8C" w:rsidRDefault="00396FD4" w:rsidP="00D47771">
            <w:pPr>
              <w:snapToGrid w:val="0"/>
              <w:jc w:val="both"/>
              <w:rPr>
                <w:spacing w:val="-1"/>
                <w:sz w:val="22"/>
                <w:szCs w:val="22"/>
              </w:rPr>
            </w:pPr>
            <w:r w:rsidRPr="00396FD4">
              <w:rPr>
                <w:spacing w:val="-1"/>
                <w:sz w:val="22"/>
                <w:szCs w:val="22"/>
              </w:rPr>
              <w:t xml:space="preserve"> Dyszel  wyposażony w  koło  podporowe.</w:t>
            </w:r>
            <w:r w:rsidR="00D47771">
              <w:rPr>
                <w:spacing w:val="-1"/>
                <w:sz w:val="22"/>
                <w:szCs w:val="22"/>
              </w:rPr>
              <w:t xml:space="preserve"> </w:t>
            </w:r>
            <w:r w:rsidRPr="00396FD4">
              <w:rPr>
                <w:spacing w:val="-1"/>
                <w:sz w:val="22"/>
                <w:szCs w:val="22"/>
              </w:rPr>
              <w:t>Przyczepka  powinna  posiadać  co najmniej  dwa  kliny  pod  koła.  Kliny zamocowane   na przyczepce.</w:t>
            </w:r>
            <w:r w:rsidR="00D47771">
              <w:rPr>
                <w:spacing w:val="-1"/>
                <w:sz w:val="22"/>
                <w:szCs w:val="22"/>
              </w:rPr>
              <w:t xml:space="preserve"> </w:t>
            </w:r>
            <w:r w:rsidRPr="00396FD4">
              <w:rPr>
                <w:spacing w:val="-1"/>
                <w:sz w:val="22"/>
                <w:szCs w:val="22"/>
              </w:rPr>
              <w:t>W przypadku, gdy masa przyczepy wraz z ładunkiem przekracza 750 kg, należy zastosować przyczepę o DMC 1100 kg z urządzeniem najazdowym.</w:t>
            </w:r>
          </w:p>
        </w:tc>
        <w:tc>
          <w:tcPr>
            <w:tcW w:w="964" w:type="dxa"/>
            <w:tcBorders>
              <w:top w:val="single" w:sz="4" w:space="0" w:color="000000"/>
              <w:left w:val="single" w:sz="4" w:space="0" w:color="auto"/>
              <w:bottom w:val="single" w:sz="4" w:space="0" w:color="000000"/>
              <w:right w:val="single" w:sz="4" w:space="0" w:color="auto"/>
            </w:tcBorders>
          </w:tcPr>
          <w:p w:rsidR="00603BEF" w:rsidRPr="000C6F8C" w:rsidRDefault="00603BEF" w:rsidP="0066767B">
            <w:pPr>
              <w:snapToGrid w:val="0"/>
              <w:jc w:val="center"/>
              <w:rPr>
                <w:bCs/>
                <w:spacing w:val="-1"/>
              </w:rPr>
            </w:pPr>
            <w:r w:rsidRPr="000C6F8C">
              <w:rPr>
                <w:b/>
                <w:bCs/>
                <w:spacing w:val="-1"/>
              </w:rPr>
              <w:t>1 szt.</w:t>
            </w:r>
          </w:p>
        </w:tc>
      </w:tr>
      <w:tr w:rsidR="00603BEF"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630251">
            <w:pPr>
              <w:snapToGrid w:val="0"/>
              <w:rPr>
                <w:bCs/>
                <w:color w:val="000000"/>
              </w:rPr>
            </w:pPr>
            <w:r>
              <w:rPr>
                <w:bCs/>
                <w:color w:val="000000"/>
              </w:rPr>
              <w:t>4</w:t>
            </w:r>
            <w:r w:rsidR="00603BEF" w:rsidRPr="000C6F8C">
              <w:rPr>
                <w:bCs/>
                <w:color w:val="000000"/>
              </w:rPr>
              <w:t>.2</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603BEF" w:rsidRPr="000C6F8C" w:rsidRDefault="00603BEF" w:rsidP="0036528A">
            <w:pPr>
              <w:snapToGrid w:val="0"/>
              <w:rPr>
                <w:spacing w:val="-1"/>
                <w:sz w:val="22"/>
                <w:szCs w:val="22"/>
              </w:rPr>
            </w:pPr>
            <w:r w:rsidRPr="000C6F8C">
              <w:rPr>
                <w:spacing w:val="-1"/>
                <w:sz w:val="22"/>
                <w:szCs w:val="22"/>
              </w:rPr>
              <w:t>Przyczepa musi posiadać uchwyty pozwalające trwale zamontować wyposażenie określone w pkt 1 i 2, dopuszcza się mocowanie ładunku za pomocą elementów mocujących określonych w pkt 1.</w:t>
            </w:r>
          </w:p>
        </w:tc>
        <w:tc>
          <w:tcPr>
            <w:tcW w:w="964" w:type="dxa"/>
            <w:tcBorders>
              <w:top w:val="single" w:sz="4" w:space="0" w:color="000000"/>
              <w:left w:val="single" w:sz="4" w:space="0" w:color="auto"/>
              <w:bottom w:val="single" w:sz="4" w:space="0" w:color="000000"/>
              <w:right w:val="single" w:sz="4" w:space="0" w:color="auto"/>
            </w:tcBorders>
          </w:tcPr>
          <w:p w:rsidR="00603BEF" w:rsidRPr="000C6F8C" w:rsidRDefault="009E549E" w:rsidP="0066767B">
            <w:pPr>
              <w:snapToGrid w:val="0"/>
              <w:jc w:val="center"/>
              <w:rPr>
                <w:bCs/>
                <w:spacing w:val="-1"/>
              </w:rPr>
            </w:pPr>
            <w:r w:rsidRPr="006C3109">
              <w:rPr>
                <w:b/>
              </w:rPr>
              <w:t>-</w:t>
            </w:r>
          </w:p>
        </w:tc>
      </w:tr>
      <w:tr w:rsidR="00603BEF" w:rsidRPr="000C6F8C" w:rsidTr="00E27532">
        <w:trPr>
          <w:trHeight w:val="1058"/>
        </w:trPr>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397AE4">
            <w:pPr>
              <w:snapToGrid w:val="0"/>
              <w:rPr>
                <w:bCs/>
                <w:color w:val="000000"/>
              </w:rPr>
            </w:pPr>
            <w:r>
              <w:rPr>
                <w:bCs/>
                <w:color w:val="000000"/>
              </w:rPr>
              <w:lastRenderedPageBreak/>
              <w:t>4</w:t>
            </w:r>
            <w:r w:rsidR="00603BEF" w:rsidRPr="000C6F8C">
              <w:rPr>
                <w:bCs/>
                <w:color w:val="000000"/>
              </w:rPr>
              <w:t>.3</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603BEF" w:rsidRPr="009E549E" w:rsidRDefault="00603BEF" w:rsidP="0036528A">
            <w:pPr>
              <w:spacing w:line="276" w:lineRule="auto"/>
              <w:ind w:left="28"/>
              <w:jc w:val="both"/>
              <w:rPr>
                <w:bCs/>
                <w:sz w:val="22"/>
                <w:szCs w:val="22"/>
              </w:rPr>
            </w:pPr>
            <w:r w:rsidRPr="000C6F8C">
              <w:rPr>
                <w:spacing w:val="-1"/>
                <w:sz w:val="22"/>
                <w:szCs w:val="22"/>
              </w:rPr>
              <w:t xml:space="preserve">Przyczepa wyposażona w opończę koloru czerwonego oraz oznakowanie zgodne z załącznikiem </w:t>
            </w:r>
            <w:r w:rsidR="00A45E99" w:rsidRPr="00A45E99">
              <w:rPr>
                <w:spacing w:val="-1"/>
                <w:sz w:val="22"/>
                <w:szCs w:val="22"/>
              </w:rPr>
              <w:t xml:space="preserve">Nr </w:t>
            </w:r>
            <w:r w:rsidRPr="00A45E99">
              <w:rPr>
                <w:spacing w:val="-1"/>
                <w:sz w:val="22"/>
                <w:szCs w:val="22"/>
              </w:rPr>
              <w:t xml:space="preserve">1 do </w:t>
            </w:r>
            <w:r w:rsidR="00A45E99" w:rsidRPr="00261754">
              <w:rPr>
                <w:sz w:val="22"/>
                <w:szCs w:val="22"/>
              </w:rPr>
              <w:t>Zarządzenia Nr 1 Komendanta Głównego Państwowej Straży Pożarnej z dnia 24 stycznia 2020 r. w sprawie gospodarki transportowej w jednostkach organizacyjnych Państwowej Straży Pożarnej (Dz. Urz. KG PSP z 2020 r., poz. 3)</w:t>
            </w:r>
            <w:r w:rsidRPr="00261754">
              <w:rPr>
                <w:bCs/>
                <w:sz w:val="22"/>
                <w:szCs w:val="22"/>
              </w:rPr>
              <w:t xml:space="preserve">. Numer operacyjny zostanie podany po podpisaniu </w:t>
            </w:r>
            <w:r w:rsidRPr="000C6F8C">
              <w:rPr>
                <w:bCs/>
                <w:sz w:val="22"/>
                <w:szCs w:val="22"/>
              </w:rPr>
              <w:t>umowy</w:t>
            </w:r>
            <w:r w:rsidR="004808D4">
              <w:rPr>
                <w:bCs/>
                <w:sz w:val="22"/>
                <w:szCs w:val="22"/>
              </w:rPr>
              <w:t xml:space="preserve"> na wniosek Wykonawcy. </w:t>
            </w:r>
          </w:p>
        </w:tc>
        <w:tc>
          <w:tcPr>
            <w:tcW w:w="964" w:type="dxa"/>
            <w:tcBorders>
              <w:top w:val="single" w:sz="4" w:space="0" w:color="000000"/>
              <w:left w:val="single" w:sz="4" w:space="0" w:color="auto"/>
              <w:bottom w:val="single" w:sz="4" w:space="0" w:color="000000"/>
              <w:right w:val="single" w:sz="4" w:space="0" w:color="auto"/>
            </w:tcBorders>
          </w:tcPr>
          <w:p w:rsidR="00603BEF" w:rsidRPr="000C6F8C" w:rsidRDefault="009E549E" w:rsidP="0066767B">
            <w:pPr>
              <w:snapToGrid w:val="0"/>
              <w:jc w:val="center"/>
              <w:rPr>
                <w:bCs/>
                <w:spacing w:val="-1"/>
              </w:rPr>
            </w:pPr>
            <w:r w:rsidRPr="006C3109">
              <w:rPr>
                <w:b/>
              </w:rPr>
              <w:t>-</w:t>
            </w:r>
          </w:p>
        </w:tc>
      </w:tr>
      <w:tr w:rsidR="00603BEF" w:rsidRPr="000C6F8C" w:rsidTr="00D966C2">
        <w:trPr>
          <w:trHeight w:val="70"/>
        </w:trPr>
        <w:tc>
          <w:tcPr>
            <w:tcW w:w="705" w:type="dxa"/>
            <w:tcBorders>
              <w:top w:val="single" w:sz="4" w:space="0" w:color="000000"/>
              <w:left w:val="single" w:sz="4" w:space="0" w:color="000000"/>
              <w:bottom w:val="single" w:sz="4" w:space="0" w:color="000000"/>
              <w:right w:val="single" w:sz="4" w:space="0" w:color="auto"/>
            </w:tcBorders>
            <w:shd w:val="clear" w:color="auto" w:fill="auto"/>
          </w:tcPr>
          <w:p w:rsidR="00D966C2" w:rsidRDefault="00D966C2" w:rsidP="00397AE4">
            <w:pPr>
              <w:snapToGrid w:val="0"/>
              <w:rPr>
                <w:bCs/>
                <w:color w:val="000000"/>
              </w:rPr>
            </w:pPr>
          </w:p>
          <w:p w:rsidR="00603BEF" w:rsidRPr="000C6F8C" w:rsidRDefault="00E539E8" w:rsidP="00397AE4">
            <w:pPr>
              <w:snapToGrid w:val="0"/>
              <w:rPr>
                <w:bCs/>
                <w:color w:val="000000"/>
              </w:rPr>
            </w:pPr>
            <w:r>
              <w:rPr>
                <w:bCs/>
                <w:color w:val="000000"/>
              </w:rPr>
              <w:t>4</w:t>
            </w:r>
            <w:r w:rsidR="00603BEF" w:rsidRPr="000C6F8C">
              <w:rPr>
                <w:bCs/>
                <w:color w:val="000000"/>
              </w:rPr>
              <w:t>.4</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A57294" w:rsidRPr="00A57294" w:rsidRDefault="00A57294" w:rsidP="002E4D05">
            <w:pPr>
              <w:spacing w:before="240"/>
              <w:jc w:val="both"/>
              <w:rPr>
                <w:spacing w:val="-1"/>
                <w:sz w:val="22"/>
                <w:szCs w:val="22"/>
              </w:rPr>
            </w:pPr>
            <w:r w:rsidRPr="00A57294">
              <w:rPr>
                <w:spacing w:val="-1"/>
                <w:sz w:val="22"/>
                <w:szCs w:val="22"/>
              </w:rPr>
              <w:t>Przyczepa powinna posiadać instalację elektryczną działającą na</w:t>
            </w:r>
            <w:r>
              <w:rPr>
                <w:spacing w:val="-1"/>
                <w:sz w:val="22"/>
                <w:szCs w:val="22"/>
              </w:rPr>
              <w:t xml:space="preserve"> 12/ 24V bez konieczności wymiany  źródeł światła. Przyczepa powinna mieć możliwość podłączenia się do gniazda zarówno 7 jak i 13 pinowego. Podłączenie może być realizowane za pomocą adaptera.</w:t>
            </w:r>
          </w:p>
        </w:tc>
        <w:tc>
          <w:tcPr>
            <w:tcW w:w="964" w:type="dxa"/>
            <w:tcBorders>
              <w:top w:val="single" w:sz="4" w:space="0" w:color="000000"/>
              <w:left w:val="single" w:sz="4" w:space="0" w:color="auto"/>
              <w:bottom w:val="single" w:sz="4" w:space="0" w:color="000000"/>
              <w:right w:val="single" w:sz="4" w:space="0" w:color="auto"/>
            </w:tcBorders>
          </w:tcPr>
          <w:p w:rsidR="00D966C2" w:rsidRDefault="00D966C2" w:rsidP="0066767B">
            <w:pPr>
              <w:snapToGrid w:val="0"/>
              <w:jc w:val="center"/>
              <w:rPr>
                <w:b/>
              </w:rPr>
            </w:pPr>
          </w:p>
          <w:p w:rsidR="00603BEF" w:rsidRPr="000C6F8C" w:rsidRDefault="00F33BB9" w:rsidP="0066767B">
            <w:pPr>
              <w:snapToGrid w:val="0"/>
              <w:jc w:val="center"/>
              <w:rPr>
                <w:bCs/>
                <w:spacing w:val="-1"/>
              </w:rPr>
            </w:pPr>
            <w:r w:rsidRPr="006C3109">
              <w:rPr>
                <w:b/>
              </w:rPr>
              <w:t>-</w:t>
            </w:r>
          </w:p>
        </w:tc>
      </w:tr>
      <w:tr w:rsidR="000A3EB5" w:rsidRPr="000C6F8C" w:rsidTr="00D966C2">
        <w:trPr>
          <w:trHeight w:val="70"/>
        </w:trPr>
        <w:tc>
          <w:tcPr>
            <w:tcW w:w="705" w:type="dxa"/>
            <w:tcBorders>
              <w:top w:val="single" w:sz="4" w:space="0" w:color="000000"/>
              <w:left w:val="single" w:sz="4" w:space="0" w:color="000000"/>
              <w:bottom w:val="single" w:sz="4" w:space="0" w:color="000000"/>
              <w:right w:val="single" w:sz="4" w:space="0" w:color="auto"/>
            </w:tcBorders>
            <w:shd w:val="clear" w:color="auto" w:fill="auto"/>
          </w:tcPr>
          <w:p w:rsidR="000A3EB5" w:rsidRDefault="000A3EB5" w:rsidP="00397AE4">
            <w:pPr>
              <w:snapToGrid w:val="0"/>
              <w:rPr>
                <w:bCs/>
                <w:color w:val="000000"/>
              </w:rPr>
            </w:pPr>
            <w:r>
              <w:rPr>
                <w:bCs/>
                <w:color w:val="000000"/>
              </w:rPr>
              <w:t>4.5</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151A54" w:rsidRPr="00151A54" w:rsidRDefault="00151A54" w:rsidP="00151A54">
            <w:pPr>
              <w:jc w:val="both"/>
              <w:rPr>
                <w:spacing w:val="-1"/>
                <w:sz w:val="22"/>
                <w:szCs w:val="22"/>
              </w:rPr>
            </w:pPr>
            <w:r w:rsidRPr="00151A54">
              <w:rPr>
                <w:spacing w:val="-1"/>
                <w:sz w:val="22"/>
                <w:szCs w:val="22"/>
              </w:rPr>
              <w:t>Na każdej przyczepie należy zamieścić tabliczkę formatu A3 (jeżeli warunki techniczne nie pozwolą na umieszczenie tabliczki formatu A3 wtedy będą umieszczane odpowiednio mniejsze, np. A4). Dokładne jej umiejscowienie zostanie wskazane przez Zamawiającego po podpisaniu umowy</w:t>
            </w:r>
            <w:r>
              <w:rPr>
                <w:spacing w:val="-1"/>
                <w:sz w:val="22"/>
                <w:szCs w:val="22"/>
              </w:rPr>
              <w:t xml:space="preserve"> na wniosek Wykonawcy</w:t>
            </w:r>
            <w:r w:rsidRPr="00151A54">
              <w:rPr>
                <w:spacing w:val="-1"/>
                <w:sz w:val="22"/>
                <w:szCs w:val="22"/>
              </w:rPr>
              <w:t>. Tabliczkę należy wykonać na folii samoprzylepnej, odpornej na niekorzystne działanie warunków atmosferycznych.</w:t>
            </w:r>
          </w:p>
          <w:p w:rsidR="00151A54" w:rsidRPr="00151A54" w:rsidRDefault="00151A54" w:rsidP="00151A54">
            <w:pPr>
              <w:jc w:val="both"/>
              <w:rPr>
                <w:spacing w:val="-1"/>
                <w:sz w:val="22"/>
                <w:szCs w:val="22"/>
              </w:rPr>
            </w:pPr>
            <w:r w:rsidRPr="00151A54">
              <w:rPr>
                <w:spacing w:val="-1"/>
                <w:sz w:val="22"/>
                <w:szCs w:val="22"/>
              </w:rPr>
              <w:t>Wzór tabliczki stanowi załącznik do umowy.</w:t>
            </w:r>
          </w:p>
          <w:p w:rsidR="000A3EB5" w:rsidRPr="00A57294" w:rsidRDefault="00151A54" w:rsidP="00151A54">
            <w:pPr>
              <w:jc w:val="both"/>
              <w:rPr>
                <w:spacing w:val="-1"/>
                <w:sz w:val="22"/>
                <w:szCs w:val="22"/>
              </w:rPr>
            </w:pPr>
            <w:r w:rsidRPr="00151A54">
              <w:rPr>
                <w:spacing w:val="-1"/>
                <w:sz w:val="22"/>
                <w:szCs w:val="22"/>
              </w:rPr>
              <w:t>Dodatkowo, Wykonawca przekaże Użytkownikowi po 5 szt. tabliczek umożliwiających samodzielne ich naklejanie na każdej przyczepie.</w:t>
            </w:r>
          </w:p>
        </w:tc>
        <w:tc>
          <w:tcPr>
            <w:tcW w:w="964" w:type="dxa"/>
            <w:tcBorders>
              <w:top w:val="single" w:sz="4" w:space="0" w:color="000000"/>
              <w:left w:val="single" w:sz="4" w:space="0" w:color="auto"/>
              <w:bottom w:val="single" w:sz="4" w:space="0" w:color="000000"/>
              <w:right w:val="single" w:sz="4" w:space="0" w:color="auto"/>
            </w:tcBorders>
          </w:tcPr>
          <w:p w:rsidR="000A3EB5" w:rsidRDefault="000A3EB5" w:rsidP="0066767B">
            <w:pPr>
              <w:snapToGrid w:val="0"/>
              <w:jc w:val="center"/>
              <w:rPr>
                <w:b/>
              </w:rPr>
            </w:pPr>
          </w:p>
        </w:tc>
      </w:tr>
      <w:tr w:rsidR="003C3286"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3C3286" w:rsidRPr="00493F32" w:rsidRDefault="00E539E8" w:rsidP="003C3286">
            <w:pPr>
              <w:snapToGrid w:val="0"/>
              <w:rPr>
                <w:b/>
                <w:bCs/>
                <w:color w:val="000000"/>
              </w:rPr>
            </w:pPr>
            <w:r>
              <w:rPr>
                <w:b/>
                <w:bCs/>
                <w:color w:val="000000"/>
              </w:rPr>
              <w:t>5</w:t>
            </w:r>
            <w:r w:rsidR="003C3286" w:rsidRPr="00493F32">
              <w:rPr>
                <w:b/>
                <w:bCs/>
                <w:color w:val="000000"/>
              </w:rPr>
              <w:t>.</w:t>
            </w:r>
          </w:p>
        </w:tc>
        <w:tc>
          <w:tcPr>
            <w:tcW w:w="13296" w:type="dxa"/>
            <w:gridSpan w:val="2"/>
            <w:tcBorders>
              <w:top w:val="single" w:sz="4" w:space="0" w:color="000000"/>
              <w:left w:val="single" w:sz="4" w:space="0" w:color="auto"/>
              <w:bottom w:val="single" w:sz="4" w:space="0" w:color="000000"/>
              <w:right w:val="single" w:sz="4" w:space="0" w:color="auto"/>
            </w:tcBorders>
            <w:shd w:val="clear" w:color="auto" w:fill="auto"/>
          </w:tcPr>
          <w:p w:rsidR="003C3286" w:rsidRPr="007A50A9" w:rsidRDefault="000C6F8C" w:rsidP="0066767B">
            <w:pPr>
              <w:snapToGrid w:val="0"/>
              <w:jc w:val="center"/>
              <w:rPr>
                <w:bCs/>
                <w:spacing w:val="-1"/>
                <w:sz w:val="24"/>
                <w:szCs w:val="24"/>
              </w:rPr>
            </w:pPr>
            <w:r w:rsidRPr="007A50A9">
              <w:rPr>
                <w:b/>
                <w:spacing w:val="-1"/>
                <w:sz w:val="24"/>
                <w:szCs w:val="24"/>
              </w:rPr>
              <w:t>Dodatkowe</w:t>
            </w:r>
            <w:r w:rsidR="003C3286" w:rsidRPr="007A50A9">
              <w:rPr>
                <w:b/>
                <w:spacing w:val="-1"/>
                <w:sz w:val="24"/>
                <w:szCs w:val="24"/>
              </w:rPr>
              <w:t xml:space="preserve"> wymagania</w:t>
            </w:r>
          </w:p>
        </w:tc>
      </w:tr>
      <w:tr w:rsidR="00603BEF"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603BEF" w:rsidRPr="000C6F8C" w:rsidRDefault="00E539E8" w:rsidP="003C3286">
            <w:pPr>
              <w:snapToGrid w:val="0"/>
              <w:rPr>
                <w:bCs/>
              </w:rPr>
            </w:pPr>
            <w:r>
              <w:rPr>
                <w:bCs/>
              </w:rPr>
              <w:t>5</w:t>
            </w:r>
            <w:r w:rsidR="00603BEF" w:rsidRPr="000C6F8C">
              <w:rPr>
                <w:bCs/>
              </w:rPr>
              <w:t>.1</w:t>
            </w:r>
            <w:r w:rsidR="00603BEF">
              <w:rPr>
                <w:bCs/>
              </w:rPr>
              <w:t>.</w:t>
            </w:r>
          </w:p>
        </w:tc>
        <w:tc>
          <w:tcPr>
            <w:tcW w:w="1233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03BEF" w:rsidRPr="000C6F8C" w:rsidRDefault="00603BEF" w:rsidP="00D966C2">
            <w:pPr>
              <w:snapToGrid w:val="0"/>
              <w:jc w:val="both"/>
              <w:rPr>
                <w:bCs/>
                <w:color w:val="FF0000"/>
                <w:spacing w:val="-1"/>
              </w:rPr>
            </w:pPr>
            <w:r w:rsidRPr="000C6F8C">
              <w:rPr>
                <w:sz w:val="22"/>
                <w:szCs w:val="24"/>
              </w:rPr>
              <w:t>Wraz z dostawą urządzenia musi być zapewniona usługa szczegółowego instruktarzu z zakresu eksploatacji, obsługi i konserwacji dla min. 15 osób</w:t>
            </w:r>
            <w:r w:rsidR="00F33BB9">
              <w:rPr>
                <w:sz w:val="22"/>
                <w:szCs w:val="24"/>
              </w:rPr>
              <w:t xml:space="preserve"> zgodnie z wymaganiami umowy. </w:t>
            </w:r>
            <w:r w:rsidR="00D966C2" w:rsidRPr="00D966C2">
              <w:rPr>
                <w:sz w:val="22"/>
                <w:szCs w:val="24"/>
              </w:rPr>
              <w:t xml:space="preserve">Wymagania w zakresie szkolenia obejmują przeszkolenie </w:t>
            </w:r>
            <w:r w:rsidR="00D966C2" w:rsidRPr="00D966C2">
              <w:rPr>
                <w:bCs/>
                <w:sz w:val="22"/>
                <w:szCs w:val="24"/>
              </w:rPr>
              <w:t>z podstawowych zasad obsługi i konserwacji zbiorników, które powinny zawierać m.in.: zasady prawidłowego przechowywania, konserwacji, łączenia poszczególnych elementów służących do podwieszenia i obsługi zbiorników,</w:t>
            </w:r>
            <w:r w:rsidR="00D966C2" w:rsidRPr="00D966C2">
              <w:rPr>
                <w:sz w:val="22"/>
                <w:szCs w:val="24"/>
              </w:rPr>
              <w:t xml:space="preserve"> składania/rozkładania/łączenia dostarczonych urządzeń, instalacji na śmigłowcu/podwieszanie (przygotowanie do użycia), operowanie elementami sterowania dostarczonych urządzeń, podstawowa obsługa techniczna dotycząca przeglądów przed lotami i po lotach, omówienie zasad przechowywania i wymaganych przeglądów okresowych (jeśli będą wymagane), ewentualnych zasad </w:t>
            </w:r>
            <w:r w:rsidR="00D966C2" w:rsidRPr="00D966C2">
              <w:rPr>
                <w:bCs/>
                <w:sz w:val="22"/>
                <w:szCs w:val="24"/>
              </w:rPr>
              <w:t>wykonywania samodzielnych napraw przez użytkowników, bez autoryzowanego serwisu (jeżeli producent takie dopuszcza).</w:t>
            </w:r>
            <w:r w:rsidR="00D966C2" w:rsidRPr="00D966C2">
              <w:rPr>
                <w:sz w:val="22"/>
                <w:szCs w:val="24"/>
              </w:rPr>
              <w:t xml:space="preserve">Wykonawca powinien zapewnić cały zasób personelu, w tym kadrę szkolącą oraz wszelkie materiały szkoleniowe dotyczące przeszkolenia teoretycznego itp. Jeżeli zajdzie potrzeba sprawdzenia zbiorników w warunkach praktycznego ich wykorzystania, wówczas Zamawiający zapewni zasób sprzętowy i logistyczny do prowadzenia prób praktycznych m.in. śmigłowce, paliwo, zabezpieczenie terenu.  </w:t>
            </w:r>
          </w:p>
        </w:tc>
        <w:tc>
          <w:tcPr>
            <w:tcW w:w="96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03BEF" w:rsidRPr="000C6F8C" w:rsidRDefault="00F33BB9" w:rsidP="00F33BB9">
            <w:pPr>
              <w:snapToGrid w:val="0"/>
              <w:jc w:val="center"/>
              <w:rPr>
                <w:bCs/>
                <w:spacing w:val="-1"/>
              </w:rPr>
            </w:pPr>
            <w:r w:rsidRPr="006C3109">
              <w:rPr>
                <w:b/>
              </w:rPr>
              <w:t>-</w:t>
            </w:r>
          </w:p>
        </w:tc>
      </w:tr>
      <w:tr w:rsidR="00E27532" w:rsidRPr="000C6F8C" w:rsidTr="00E27532">
        <w:trPr>
          <w:trHeight w:val="2331"/>
        </w:trPr>
        <w:tc>
          <w:tcPr>
            <w:tcW w:w="70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7532" w:rsidRPr="000C6F8C" w:rsidRDefault="00E539E8" w:rsidP="003C3286">
            <w:pPr>
              <w:snapToGrid w:val="0"/>
              <w:rPr>
                <w:bCs/>
              </w:rPr>
            </w:pPr>
            <w:r>
              <w:rPr>
                <w:bCs/>
                <w:color w:val="000000"/>
              </w:rPr>
              <w:lastRenderedPageBreak/>
              <w:t>5</w:t>
            </w:r>
            <w:r w:rsidR="00E27532" w:rsidRPr="000C6F8C">
              <w:rPr>
                <w:bCs/>
                <w:color w:val="000000"/>
              </w:rPr>
              <w:t>.2</w:t>
            </w:r>
            <w:r w:rsidR="00E27532">
              <w:rPr>
                <w:bCs/>
                <w:color w:val="000000"/>
              </w:rPr>
              <w:t>.</w:t>
            </w:r>
          </w:p>
        </w:tc>
        <w:tc>
          <w:tcPr>
            <w:tcW w:w="1233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27532" w:rsidRDefault="00E27532" w:rsidP="00E27532">
            <w:pPr>
              <w:jc w:val="both"/>
              <w:rPr>
                <w:sz w:val="22"/>
                <w:szCs w:val="22"/>
              </w:rPr>
            </w:pPr>
            <w:r w:rsidRPr="000C6F8C">
              <w:rPr>
                <w:sz w:val="22"/>
                <w:szCs w:val="22"/>
              </w:rPr>
              <w:t>Wykonawca udzieli 24 miesięcznej gwarancji</w:t>
            </w:r>
            <w:r w:rsidR="006D2E2B">
              <w:rPr>
                <w:sz w:val="22"/>
                <w:szCs w:val="22"/>
              </w:rPr>
              <w:t xml:space="preserve"> i rękojmi</w:t>
            </w:r>
            <w:r w:rsidRPr="000C6F8C">
              <w:rPr>
                <w:sz w:val="22"/>
                <w:szCs w:val="22"/>
              </w:rPr>
              <w:t xml:space="preserve"> na dostarczony sprzęt. Czas gwarancji </w:t>
            </w:r>
            <w:r w:rsidR="008665A3">
              <w:rPr>
                <w:sz w:val="22"/>
                <w:szCs w:val="22"/>
              </w:rPr>
              <w:t xml:space="preserve">i rękojmi </w:t>
            </w:r>
            <w:r w:rsidRPr="000C6F8C">
              <w:rPr>
                <w:sz w:val="22"/>
                <w:szCs w:val="22"/>
              </w:rPr>
              <w:t>będzie liczony od dnia ostatecznego odbioru. W okresie gwarancyjnym wszystkie uszkodzenia, jak również efekty zużycia wynikające z zastosowania materiałów o złej jakości, wykonawca będzie usuwał na własny koszt. Gwarancji nie podlegają uszkodzenia powstałe z winy zamawiającego (użytkownika) oraz w wyniku działania siły wyższej.</w:t>
            </w:r>
          </w:p>
          <w:p w:rsidR="00E27532" w:rsidRDefault="00E27532" w:rsidP="00E27532">
            <w:pPr>
              <w:jc w:val="both"/>
              <w:rPr>
                <w:b/>
                <w:bCs/>
                <w:sz w:val="22"/>
                <w:szCs w:val="22"/>
                <w:u w:val="single"/>
              </w:rPr>
            </w:pPr>
            <w:r w:rsidRPr="00E27532">
              <w:rPr>
                <w:b/>
                <w:bCs/>
                <w:sz w:val="22"/>
                <w:szCs w:val="22"/>
                <w:u w:val="single"/>
              </w:rPr>
              <w:t>Uwaga:</w:t>
            </w:r>
          </w:p>
          <w:p w:rsidR="00E27532" w:rsidRPr="00E27532" w:rsidRDefault="00E27532" w:rsidP="00E27532">
            <w:pPr>
              <w:jc w:val="both"/>
              <w:rPr>
                <w:b/>
                <w:bCs/>
                <w:sz w:val="22"/>
                <w:szCs w:val="22"/>
                <w:u w:val="single"/>
              </w:rPr>
            </w:pPr>
            <w:r>
              <w:rPr>
                <w:b/>
                <w:bCs/>
                <w:sz w:val="22"/>
                <w:szCs w:val="22"/>
                <w:u w:val="single"/>
              </w:rPr>
              <w:t xml:space="preserve">Przedmiotowy parametr podlega punktowaniu, szczegóły zostały opisane w specyfikacji istotnych warunków zamówienia w tym w szczególności rozdziale XXI. </w:t>
            </w:r>
          </w:p>
          <w:p w:rsidR="00E27532" w:rsidRPr="000C6F8C" w:rsidRDefault="00E27532" w:rsidP="00E27532">
            <w:pPr>
              <w:snapToGrid w:val="0"/>
              <w:jc w:val="both"/>
              <w:rPr>
                <w:sz w:val="22"/>
                <w:szCs w:val="24"/>
              </w:rPr>
            </w:pPr>
            <w:r w:rsidRPr="00E27532">
              <w:rPr>
                <w:sz w:val="22"/>
                <w:szCs w:val="22"/>
              </w:rPr>
              <w:t xml:space="preserve">W formularzu ofertowym należy podać oferowany okres gwarancji i rękojmi na </w:t>
            </w:r>
            <w:r>
              <w:rPr>
                <w:sz w:val="22"/>
                <w:szCs w:val="22"/>
              </w:rPr>
              <w:t>przedmiot zamówienia</w:t>
            </w:r>
            <w:r w:rsidRPr="00E27532">
              <w:rPr>
                <w:sz w:val="22"/>
                <w:szCs w:val="22"/>
              </w:rPr>
              <w:t xml:space="preserve"> we wskazanym miejscu. </w:t>
            </w:r>
            <w:r w:rsidR="0031774C">
              <w:rPr>
                <w:sz w:val="22"/>
                <w:szCs w:val="22"/>
              </w:rPr>
              <w:br/>
            </w:r>
            <w:r w:rsidRPr="00E27532">
              <w:rPr>
                <w:sz w:val="22"/>
                <w:szCs w:val="22"/>
              </w:rPr>
              <w:t>W przypadku braku podania przedmiotowego okresu w formularzu ofertowym Zamawiający przyjmie do obliczeń okres 24 miesięcy przyznając Wykonawcy 0 pkt. Uzyskanie 0 pkt. w przedmiotowym kryterium nie eliminuje oferty z dalszej oceny.</w:t>
            </w:r>
          </w:p>
        </w:tc>
        <w:tc>
          <w:tcPr>
            <w:tcW w:w="96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27532" w:rsidRPr="006C3109" w:rsidRDefault="00E27532" w:rsidP="00F33BB9">
            <w:pPr>
              <w:snapToGrid w:val="0"/>
              <w:jc w:val="center"/>
              <w:rPr>
                <w:b/>
              </w:rPr>
            </w:pPr>
            <w:r w:rsidRPr="006C3109">
              <w:rPr>
                <w:b/>
              </w:rPr>
              <w:t>-</w:t>
            </w:r>
          </w:p>
        </w:tc>
      </w:tr>
    </w:tbl>
    <w:p w:rsidR="00F0075E" w:rsidRDefault="00F0075E" w:rsidP="00F0075E">
      <w:pPr>
        <w:rPr>
          <w:b/>
        </w:rPr>
        <w:sectPr w:rsidR="00F0075E" w:rsidSect="00397AE4">
          <w:footerReference w:type="default" r:id="rId7"/>
          <w:pgSz w:w="16838" w:h="11906" w:orient="landscape"/>
          <w:pgMar w:top="1418" w:right="1134" w:bottom="1702" w:left="1418" w:header="709" w:footer="709" w:gutter="0"/>
          <w:cols w:space="708"/>
          <w:docGrid w:linePitch="360"/>
        </w:sectPr>
      </w:pPr>
    </w:p>
    <w:p w:rsidR="002C36A9" w:rsidRDefault="006B6C07" w:rsidP="003C3A21"/>
    <w:sectPr w:rsidR="002C36A9" w:rsidSect="00BF02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1B7" w:rsidRDefault="00A011B7" w:rsidP="00F0075E">
      <w:r>
        <w:separator/>
      </w:r>
    </w:p>
  </w:endnote>
  <w:endnote w:type="continuationSeparator" w:id="0">
    <w:p w:rsidR="00A011B7" w:rsidRDefault="00A011B7" w:rsidP="00F0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C1" w:rsidRDefault="008743C1">
    <w:pPr>
      <w:pStyle w:val="Stopka"/>
    </w:pPr>
    <w:r w:rsidRPr="00416856">
      <w:rPr>
        <w:rFonts w:ascii="Verdana" w:hAnsi="Verdana" w:cs="Verdana"/>
        <w:noProof/>
      </w:rPr>
      <w:drawing>
        <wp:inline distT="0" distB="0" distL="0" distR="0">
          <wp:extent cx="5953125" cy="11811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1181100"/>
                  </a:xfrm>
                  <a:prstGeom prst="rect">
                    <a:avLst/>
                  </a:prstGeom>
                  <a:noFill/>
                  <a:ln>
                    <a:noFill/>
                  </a:ln>
                </pic:spPr>
              </pic:pic>
            </a:graphicData>
          </a:graphic>
        </wp:inline>
      </w:drawing>
    </w:r>
  </w:p>
  <w:p w:rsidR="008743C1" w:rsidRDefault="008743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1B7" w:rsidRDefault="00A011B7" w:rsidP="00F0075E">
      <w:r>
        <w:separator/>
      </w:r>
    </w:p>
  </w:footnote>
  <w:footnote w:type="continuationSeparator" w:id="0">
    <w:p w:rsidR="00A011B7" w:rsidRDefault="00A011B7" w:rsidP="00F00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17B6FF3"/>
    <w:multiLevelType w:val="multilevel"/>
    <w:tmpl w:val="3048800E"/>
    <w:lvl w:ilvl="0">
      <w:start w:val="1"/>
      <w:numFmt w:val="decimal"/>
      <w:lvlText w:val="%1."/>
      <w:lvlJc w:val="left"/>
      <w:pPr>
        <w:ind w:left="643" w:hanging="360"/>
      </w:pPr>
      <w:rPr>
        <w:rFonts w:hint="default"/>
        <w:b/>
      </w:rPr>
    </w:lvl>
    <w:lvl w:ilvl="1">
      <w:start w:val="1"/>
      <w:numFmt w:val="decimal"/>
      <w:isLgl/>
      <w:lvlText w:val="%1.%2."/>
      <w:lvlJc w:val="left"/>
      <w:pPr>
        <w:ind w:left="1284" w:hanging="720"/>
      </w:pPr>
      <w:rPr>
        <w:rFonts w:hint="default"/>
        <w:b/>
        <w:bCs/>
      </w:rPr>
    </w:lvl>
    <w:lvl w:ilvl="2">
      <w:start w:val="1"/>
      <w:numFmt w:val="decimal"/>
      <w:isLgl/>
      <w:lvlText w:val="%1.%2.%3."/>
      <w:lvlJc w:val="left"/>
      <w:pPr>
        <w:ind w:left="1565" w:hanging="720"/>
      </w:pPr>
      <w:rPr>
        <w:rFonts w:hint="default"/>
      </w:rPr>
    </w:lvl>
    <w:lvl w:ilvl="3">
      <w:start w:val="1"/>
      <w:numFmt w:val="decimal"/>
      <w:isLgl/>
      <w:lvlText w:val="%1.%2.%3.%4."/>
      <w:lvlJc w:val="left"/>
      <w:pPr>
        <w:ind w:left="2206" w:hanging="1080"/>
      </w:pPr>
      <w:rPr>
        <w:rFonts w:hint="default"/>
      </w:rPr>
    </w:lvl>
    <w:lvl w:ilvl="4">
      <w:start w:val="1"/>
      <w:numFmt w:val="decimal"/>
      <w:isLgl/>
      <w:lvlText w:val="%1.%2.%3.%4.%5."/>
      <w:lvlJc w:val="left"/>
      <w:pPr>
        <w:ind w:left="2847" w:hanging="1440"/>
      </w:pPr>
      <w:rPr>
        <w:rFonts w:hint="default"/>
      </w:rPr>
    </w:lvl>
    <w:lvl w:ilvl="5">
      <w:start w:val="1"/>
      <w:numFmt w:val="decimal"/>
      <w:isLgl/>
      <w:lvlText w:val="%1.%2.%3.%4.%5.%6."/>
      <w:lvlJc w:val="left"/>
      <w:pPr>
        <w:ind w:left="3128" w:hanging="1440"/>
      </w:pPr>
      <w:rPr>
        <w:rFonts w:hint="default"/>
      </w:rPr>
    </w:lvl>
    <w:lvl w:ilvl="6">
      <w:start w:val="1"/>
      <w:numFmt w:val="decimal"/>
      <w:isLgl/>
      <w:lvlText w:val="%1.%2.%3.%4.%5.%6.%7."/>
      <w:lvlJc w:val="left"/>
      <w:pPr>
        <w:ind w:left="3769" w:hanging="1800"/>
      </w:pPr>
      <w:rPr>
        <w:rFonts w:hint="default"/>
      </w:rPr>
    </w:lvl>
    <w:lvl w:ilvl="7">
      <w:start w:val="1"/>
      <w:numFmt w:val="decimal"/>
      <w:isLgl/>
      <w:lvlText w:val="%1.%2.%3.%4.%5.%6.%7.%8."/>
      <w:lvlJc w:val="left"/>
      <w:pPr>
        <w:ind w:left="4410" w:hanging="2160"/>
      </w:pPr>
      <w:rPr>
        <w:rFonts w:hint="default"/>
      </w:rPr>
    </w:lvl>
    <w:lvl w:ilvl="8">
      <w:start w:val="1"/>
      <w:numFmt w:val="decimal"/>
      <w:isLgl/>
      <w:lvlText w:val="%1.%2.%3.%4.%5.%6.%7.%8.%9."/>
      <w:lvlJc w:val="left"/>
      <w:pPr>
        <w:ind w:left="4691" w:hanging="2160"/>
      </w:pPr>
      <w:rPr>
        <w:rFonts w:hint="default"/>
      </w:rPr>
    </w:lvl>
  </w:abstractNum>
  <w:abstractNum w:abstractNumId="3" w15:restartNumberingAfterBreak="0">
    <w:nsid w:val="035D3D9F"/>
    <w:multiLevelType w:val="hybridMultilevel"/>
    <w:tmpl w:val="D9AC219C"/>
    <w:lvl w:ilvl="0" w:tplc="B7DC03A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6" w15:restartNumberingAfterBreak="0">
    <w:nsid w:val="129D5206"/>
    <w:multiLevelType w:val="hybridMultilevel"/>
    <w:tmpl w:val="C8166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4A48DC"/>
    <w:multiLevelType w:val="hybridMultilevel"/>
    <w:tmpl w:val="051A2F02"/>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F48D4"/>
    <w:multiLevelType w:val="multilevel"/>
    <w:tmpl w:val="13EEF62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9A16A7"/>
    <w:multiLevelType w:val="hybridMultilevel"/>
    <w:tmpl w:val="D8A82080"/>
    <w:lvl w:ilvl="0" w:tplc="04150011">
      <w:start w:val="1"/>
      <w:numFmt w:val="decimal"/>
      <w:lvlText w:val="%1)"/>
      <w:lvlJc w:val="left"/>
      <w:pPr>
        <w:tabs>
          <w:tab w:val="num" w:pos="360"/>
        </w:tabs>
        <w:ind w:left="360" w:hanging="360"/>
      </w:pPr>
    </w:lvl>
    <w:lvl w:ilvl="1" w:tplc="13F62CBC">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790861"/>
    <w:multiLevelType w:val="hybridMultilevel"/>
    <w:tmpl w:val="E4706166"/>
    <w:lvl w:ilvl="0" w:tplc="152C858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3297D"/>
    <w:multiLevelType w:val="hybridMultilevel"/>
    <w:tmpl w:val="CD46A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0" w15:restartNumberingAfterBreak="0">
    <w:nsid w:val="3FB25381"/>
    <w:multiLevelType w:val="hybridMultilevel"/>
    <w:tmpl w:val="BD8C525A"/>
    <w:lvl w:ilvl="0" w:tplc="C98236FC">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1"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8719FE"/>
    <w:multiLevelType w:val="hybridMultilevel"/>
    <w:tmpl w:val="BA0CF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74140"/>
    <w:multiLevelType w:val="hybridMultilevel"/>
    <w:tmpl w:val="44BAE08C"/>
    <w:lvl w:ilvl="0" w:tplc="D9449C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B402AFA"/>
    <w:multiLevelType w:val="hybridMultilevel"/>
    <w:tmpl w:val="80E0808C"/>
    <w:lvl w:ilvl="0" w:tplc="0415000F">
      <w:start w:val="1"/>
      <w:numFmt w:val="decimal"/>
      <w:lvlText w:val="%1."/>
      <w:lvlJc w:val="left"/>
      <w:pPr>
        <w:tabs>
          <w:tab w:val="num" w:pos="720"/>
        </w:tabs>
        <w:ind w:left="720" w:hanging="360"/>
      </w:pPr>
      <w:rPr>
        <w:rFonts w:cs="Times New Roman"/>
      </w:rPr>
    </w:lvl>
    <w:lvl w:ilvl="1" w:tplc="DBDE7CF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513D54C3"/>
    <w:multiLevelType w:val="multilevel"/>
    <w:tmpl w:val="E51C0586"/>
    <w:lvl w:ilvl="0">
      <w:start w:val="8"/>
      <w:numFmt w:val="decimal"/>
      <w:lvlText w:val="%1."/>
      <w:lvlJc w:val="left"/>
      <w:pPr>
        <w:tabs>
          <w:tab w:val="num" w:pos="786"/>
        </w:tabs>
        <w:ind w:left="786" w:hanging="360"/>
      </w:pPr>
      <w:rPr>
        <w:rFonts w:hint="default"/>
        <w:b w:val="0"/>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7" w15:restartNumberingAfterBreak="0">
    <w:nsid w:val="518D5656"/>
    <w:multiLevelType w:val="singleLevel"/>
    <w:tmpl w:val="B35ECCBA"/>
    <w:lvl w:ilvl="0">
      <w:start w:val="1"/>
      <w:numFmt w:val="decimal"/>
      <w:lvlText w:val="%1."/>
      <w:lvlJc w:val="left"/>
      <w:pPr>
        <w:tabs>
          <w:tab w:val="num" w:pos="705"/>
        </w:tabs>
        <w:ind w:left="705" w:hanging="705"/>
      </w:pPr>
      <w:rPr>
        <w:rFonts w:cs="Times New Roman" w:hint="default"/>
      </w:rPr>
    </w:lvl>
  </w:abstractNum>
  <w:abstractNum w:abstractNumId="28" w15:restartNumberingAfterBreak="0">
    <w:nsid w:val="54ED5352"/>
    <w:multiLevelType w:val="hybridMultilevel"/>
    <w:tmpl w:val="DEA2AC68"/>
    <w:lvl w:ilvl="0" w:tplc="A050B028">
      <w:start w:val="1"/>
      <w:numFmt w:val="decimal"/>
      <w:lvlText w:val="%1)"/>
      <w:lvlJc w:val="left"/>
      <w:pPr>
        <w:tabs>
          <w:tab w:val="num" w:pos="1494"/>
        </w:tabs>
        <w:ind w:left="1494"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9" w15:restartNumberingAfterBreak="0">
    <w:nsid w:val="57430080"/>
    <w:multiLevelType w:val="multilevel"/>
    <w:tmpl w:val="9DEC13F4"/>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C100B18"/>
    <w:multiLevelType w:val="hybridMultilevel"/>
    <w:tmpl w:val="B0E858D2"/>
    <w:lvl w:ilvl="0" w:tplc="DF06A7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A06309"/>
    <w:multiLevelType w:val="hybridMultilevel"/>
    <w:tmpl w:val="23746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C4F48"/>
    <w:multiLevelType w:val="singleLevel"/>
    <w:tmpl w:val="B3AEC54A"/>
    <w:lvl w:ilvl="0">
      <w:start w:val="2"/>
      <w:numFmt w:val="decimal"/>
      <w:lvlText w:val="%1."/>
      <w:lvlJc w:val="left"/>
      <w:pPr>
        <w:tabs>
          <w:tab w:val="num" w:pos="360"/>
        </w:tabs>
        <w:ind w:left="360" w:hanging="360"/>
      </w:pPr>
      <w:rPr>
        <w:rFonts w:hint="default"/>
        <w:b w:val="0"/>
        <w:bCs/>
      </w:rPr>
    </w:lvl>
  </w:abstractNum>
  <w:abstractNum w:abstractNumId="33" w15:restartNumberingAfterBreak="0">
    <w:nsid w:val="5F586B5E"/>
    <w:multiLevelType w:val="hybridMultilevel"/>
    <w:tmpl w:val="06ECFB54"/>
    <w:lvl w:ilvl="0" w:tplc="B21EC190">
      <w:start w:val="1"/>
      <w:numFmt w:val="decimal"/>
      <w:lvlText w:val="%1)"/>
      <w:lvlJc w:val="left"/>
      <w:pPr>
        <w:tabs>
          <w:tab w:val="num" w:pos="957"/>
        </w:tabs>
        <w:ind w:left="957" w:hanging="390"/>
      </w:pPr>
      <w:rPr>
        <w:rFonts w:cs="Times New Roman" w:hint="default"/>
      </w:rPr>
    </w:lvl>
    <w:lvl w:ilvl="1" w:tplc="6CCAE4EE">
      <w:start w:val="3"/>
      <w:numFmt w:val="decimal"/>
      <w:lvlText w:val="%2."/>
      <w:lvlJc w:val="left"/>
      <w:pPr>
        <w:tabs>
          <w:tab w:val="num" w:pos="1647"/>
        </w:tabs>
        <w:ind w:left="1647" w:hanging="360"/>
      </w:pPr>
      <w:rPr>
        <w:rFonts w:cs="Times New Roman" w:hint="default"/>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61D74A67"/>
    <w:multiLevelType w:val="multilevel"/>
    <w:tmpl w:val="509A9B9E"/>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5202"/>
        </w:tabs>
        <w:ind w:left="5202" w:hanging="180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35" w15:restartNumberingAfterBreak="0">
    <w:nsid w:val="63B8636C"/>
    <w:multiLevelType w:val="hybridMultilevel"/>
    <w:tmpl w:val="3A809FD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7" w15:restartNumberingAfterBreak="0">
    <w:nsid w:val="6A9D650A"/>
    <w:multiLevelType w:val="hybridMultilevel"/>
    <w:tmpl w:val="C8166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76BA033C"/>
    <w:multiLevelType w:val="hybridMultilevel"/>
    <w:tmpl w:val="A63E3CA8"/>
    <w:lvl w:ilvl="0" w:tplc="142AF820">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CD6618"/>
    <w:multiLevelType w:val="hybridMultilevel"/>
    <w:tmpl w:val="C2F81538"/>
    <w:lvl w:ilvl="0" w:tplc="8A486A3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9"/>
  </w:num>
  <w:num w:numId="7">
    <w:abstractNumId w:val="2"/>
  </w:num>
  <w:num w:numId="8">
    <w:abstractNumId w:val="27"/>
  </w:num>
  <w:num w:numId="9">
    <w:abstractNumId w:val="24"/>
  </w:num>
  <w:num w:numId="10">
    <w:abstractNumId w:val="3"/>
  </w:num>
  <w:num w:numId="11">
    <w:abstractNumId w:val="21"/>
  </w:num>
  <w:num w:numId="12">
    <w:abstractNumId w:val="12"/>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num>
  <w:num w:numId="16">
    <w:abstractNumId w:val="41"/>
  </w:num>
  <w:num w:numId="17">
    <w:abstractNumId w:val="4"/>
  </w:num>
  <w:num w:numId="18">
    <w:abstractNumId w:val="23"/>
  </w:num>
  <w:num w:numId="19">
    <w:abstractNumId w:val="40"/>
  </w:num>
  <w:num w:numId="20">
    <w:abstractNumId w:val="19"/>
    <w:lvlOverride w:ilvl="0">
      <w:startOverride w:val="1"/>
    </w:lvlOverride>
  </w:num>
  <w:num w:numId="21">
    <w:abstractNumId w:val="0"/>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num>
  <w:num w:numId="29">
    <w:abstractNumId w:val="17"/>
  </w:num>
  <w:num w:numId="30">
    <w:abstractNumId w:val="20"/>
  </w:num>
  <w:num w:numId="31">
    <w:abstractNumId w:val="11"/>
  </w:num>
  <w:num w:numId="32">
    <w:abstractNumId w:val="16"/>
  </w:num>
  <w:num w:numId="33">
    <w:abstractNumId w:val="9"/>
  </w:num>
  <w:num w:numId="34">
    <w:abstractNumId w:val="32"/>
  </w:num>
  <w:num w:numId="35">
    <w:abstractNumId w:val="14"/>
  </w:num>
  <w:num w:numId="36">
    <w:abstractNumId w:val="42"/>
  </w:num>
  <w:num w:numId="37">
    <w:abstractNumId w:val="3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1"/>
  </w:num>
  <w:num w:numId="41">
    <w:abstractNumId w:val="6"/>
  </w:num>
  <w:num w:numId="42">
    <w:abstractNumId w:val="18"/>
  </w:num>
  <w:num w:numId="43">
    <w:abstractNumId w:val="37"/>
  </w:num>
  <w:num w:numId="44">
    <w:abstractNumId w:val="1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5E"/>
    <w:rsid w:val="00001683"/>
    <w:rsid w:val="00013A65"/>
    <w:rsid w:val="00031D0A"/>
    <w:rsid w:val="0007757D"/>
    <w:rsid w:val="000828BA"/>
    <w:rsid w:val="000870B6"/>
    <w:rsid w:val="0009602E"/>
    <w:rsid w:val="000A3EB5"/>
    <w:rsid w:val="000A43B8"/>
    <w:rsid w:val="000C6F8C"/>
    <w:rsid w:val="000F25E3"/>
    <w:rsid w:val="00120A01"/>
    <w:rsid w:val="00151A54"/>
    <w:rsid w:val="001A60A3"/>
    <w:rsid w:val="001D5D70"/>
    <w:rsid w:val="00244713"/>
    <w:rsid w:val="00261754"/>
    <w:rsid w:val="0026487E"/>
    <w:rsid w:val="002851F7"/>
    <w:rsid w:val="002A4DBA"/>
    <w:rsid w:val="002C43ED"/>
    <w:rsid w:val="002D228E"/>
    <w:rsid w:val="002D257D"/>
    <w:rsid w:val="002E4D05"/>
    <w:rsid w:val="002F1D64"/>
    <w:rsid w:val="00300A0F"/>
    <w:rsid w:val="00301BFB"/>
    <w:rsid w:val="00303AF9"/>
    <w:rsid w:val="0031774C"/>
    <w:rsid w:val="003211D6"/>
    <w:rsid w:val="0036528A"/>
    <w:rsid w:val="00381BAD"/>
    <w:rsid w:val="00395B1A"/>
    <w:rsid w:val="00396FD4"/>
    <w:rsid w:val="00397AE4"/>
    <w:rsid w:val="003A138D"/>
    <w:rsid w:val="003B7D96"/>
    <w:rsid w:val="003C3286"/>
    <w:rsid w:val="003C3A21"/>
    <w:rsid w:val="003D3398"/>
    <w:rsid w:val="00460943"/>
    <w:rsid w:val="004808D4"/>
    <w:rsid w:val="00493F32"/>
    <w:rsid w:val="00494282"/>
    <w:rsid w:val="0051214B"/>
    <w:rsid w:val="005837EA"/>
    <w:rsid w:val="005C4BF5"/>
    <w:rsid w:val="005D134D"/>
    <w:rsid w:val="005D27F5"/>
    <w:rsid w:val="005E681F"/>
    <w:rsid w:val="00603BEF"/>
    <w:rsid w:val="00622B06"/>
    <w:rsid w:val="00630251"/>
    <w:rsid w:val="00646236"/>
    <w:rsid w:val="00651B1C"/>
    <w:rsid w:val="006B65CF"/>
    <w:rsid w:val="006B6C07"/>
    <w:rsid w:val="006C3109"/>
    <w:rsid w:val="006C3BA0"/>
    <w:rsid w:val="006D2E2B"/>
    <w:rsid w:val="0073380E"/>
    <w:rsid w:val="007526D9"/>
    <w:rsid w:val="007A50A9"/>
    <w:rsid w:val="007B3AF2"/>
    <w:rsid w:val="007D22B6"/>
    <w:rsid w:val="008665A3"/>
    <w:rsid w:val="008743C1"/>
    <w:rsid w:val="008754C5"/>
    <w:rsid w:val="0091524E"/>
    <w:rsid w:val="00916118"/>
    <w:rsid w:val="00926711"/>
    <w:rsid w:val="0095409B"/>
    <w:rsid w:val="009C20E1"/>
    <w:rsid w:val="009C4E1C"/>
    <w:rsid w:val="009E549E"/>
    <w:rsid w:val="00A011B7"/>
    <w:rsid w:val="00A26117"/>
    <w:rsid w:val="00A45E99"/>
    <w:rsid w:val="00A57294"/>
    <w:rsid w:val="00AA48E3"/>
    <w:rsid w:val="00AE08E2"/>
    <w:rsid w:val="00B056B4"/>
    <w:rsid w:val="00B6494F"/>
    <w:rsid w:val="00B81F1C"/>
    <w:rsid w:val="00BF02A9"/>
    <w:rsid w:val="00BF3BD9"/>
    <w:rsid w:val="00C14A38"/>
    <w:rsid w:val="00C73236"/>
    <w:rsid w:val="00C83092"/>
    <w:rsid w:val="00C83F46"/>
    <w:rsid w:val="00C8528C"/>
    <w:rsid w:val="00C925D5"/>
    <w:rsid w:val="00CC17A4"/>
    <w:rsid w:val="00CC1F7B"/>
    <w:rsid w:val="00D33F2F"/>
    <w:rsid w:val="00D36478"/>
    <w:rsid w:val="00D42B02"/>
    <w:rsid w:val="00D46A7D"/>
    <w:rsid w:val="00D4772B"/>
    <w:rsid w:val="00D47771"/>
    <w:rsid w:val="00D966C2"/>
    <w:rsid w:val="00DC21DC"/>
    <w:rsid w:val="00DD5659"/>
    <w:rsid w:val="00E143F4"/>
    <w:rsid w:val="00E27532"/>
    <w:rsid w:val="00E430E7"/>
    <w:rsid w:val="00E539E8"/>
    <w:rsid w:val="00E72B32"/>
    <w:rsid w:val="00E76839"/>
    <w:rsid w:val="00E86431"/>
    <w:rsid w:val="00E95279"/>
    <w:rsid w:val="00E96524"/>
    <w:rsid w:val="00E96E66"/>
    <w:rsid w:val="00E9799D"/>
    <w:rsid w:val="00ED6201"/>
    <w:rsid w:val="00F0075E"/>
    <w:rsid w:val="00F33BB9"/>
    <w:rsid w:val="00F7684E"/>
    <w:rsid w:val="00FA6F5B"/>
    <w:rsid w:val="00FD78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9B2F"/>
  <w15:docId w15:val="{81B751A1-6BF1-4486-BB9F-0A36BFB7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75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0075E"/>
    <w:pPr>
      <w:keepNext/>
      <w:outlineLvl w:val="0"/>
    </w:pPr>
    <w:rPr>
      <w:b/>
      <w:sz w:val="28"/>
    </w:rPr>
  </w:style>
  <w:style w:type="paragraph" w:styleId="Nagwek2">
    <w:name w:val="heading 2"/>
    <w:basedOn w:val="Normalny"/>
    <w:next w:val="Normalny"/>
    <w:link w:val="Nagwek2Znak"/>
    <w:qFormat/>
    <w:rsid w:val="00F0075E"/>
    <w:pPr>
      <w:keepNext/>
      <w:jc w:val="both"/>
      <w:outlineLvl w:val="1"/>
    </w:pPr>
    <w:rPr>
      <w:b/>
      <w:sz w:val="28"/>
    </w:rPr>
  </w:style>
  <w:style w:type="paragraph" w:styleId="Nagwek3">
    <w:name w:val="heading 3"/>
    <w:basedOn w:val="Normalny"/>
    <w:next w:val="Normalny"/>
    <w:link w:val="Nagwek3Znak"/>
    <w:qFormat/>
    <w:rsid w:val="00F0075E"/>
    <w:pPr>
      <w:keepNext/>
      <w:spacing w:before="120"/>
      <w:ind w:left="709" w:hanging="709"/>
      <w:jc w:val="both"/>
      <w:outlineLvl w:val="2"/>
    </w:pPr>
    <w:rPr>
      <w:b/>
      <w:caps/>
      <w:color w:val="000000"/>
      <w:sz w:val="24"/>
      <w:szCs w:val="24"/>
    </w:rPr>
  </w:style>
  <w:style w:type="paragraph" w:styleId="Nagwek6">
    <w:name w:val="heading 6"/>
    <w:basedOn w:val="Normalny"/>
    <w:next w:val="Normalny"/>
    <w:link w:val="Nagwek6Znak"/>
    <w:qFormat/>
    <w:rsid w:val="00F0075E"/>
    <w:pPr>
      <w:spacing w:before="240" w:after="60"/>
      <w:outlineLvl w:val="5"/>
    </w:pPr>
    <w:rPr>
      <w:b/>
      <w:bCs/>
      <w:sz w:val="22"/>
      <w:szCs w:val="22"/>
    </w:rPr>
  </w:style>
  <w:style w:type="paragraph" w:styleId="Nagwek7">
    <w:name w:val="heading 7"/>
    <w:basedOn w:val="Normalny"/>
    <w:next w:val="Normalny"/>
    <w:link w:val="Nagwek7Znak"/>
    <w:qFormat/>
    <w:rsid w:val="00F0075E"/>
    <w:pPr>
      <w:keepNext/>
      <w:jc w:val="both"/>
      <w:outlineLvl w:val="6"/>
    </w:pPr>
    <w:rPr>
      <w:b/>
      <w:caps/>
      <w:sz w:val="24"/>
      <w:szCs w:val="24"/>
    </w:rPr>
  </w:style>
  <w:style w:type="paragraph" w:styleId="Nagwek8">
    <w:name w:val="heading 8"/>
    <w:basedOn w:val="Normalny"/>
    <w:next w:val="Normalny"/>
    <w:link w:val="Nagwek8Znak"/>
    <w:qFormat/>
    <w:rsid w:val="00F0075E"/>
    <w:pPr>
      <w:keepNext/>
      <w:jc w:val="center"/>
      <w:outlineLvl w:val="7"/>
    </w:pPr>
    <w:rPr>
      <w:color w:val="000000"/>
      <w:sz w:val="28"/>
      <w:szCs w:val="28"/>
    </w:rPr>
  </w:style>
  <w:style w:type="paragraph" w:styleId="Nagwek9">
    <w:name w:val="heading 9"/>
    <w:basedOn w:val="Normalny"/>
    <w:next w:val="Normalny"/>
    <w:link w:val="Nagwek9Znak"/>
    <w:qFormat/>
    <w:rsid w:val="00F0075E"/>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75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F0075E"/>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F0075E"/>
    <w:rPr>
      <w:rFonts w:ascii="Times New Roman" w:eastAsia="Times New Roman" w:hAnsi="Times New Roman" w:cs="Times New Roman"/>
      <w:b/>
      <w:caps/>
      <w:color w:val="000000"/>
      <w:sz w:val="24"/>
      <w:szCs w:val="24"/>
      <w:lang w:eastAsia="pl-PL"/>
    </w:rPr>
  </w:style>
  <w:style w:type="character" w:customStyle="1" w:styleId="Nagwek6Znak">
    <w:name w:val="Nagłówek 6 Znak"/>
    <w:basedOn w:val="Domylnaczcionkaakapitu"/>
    <w:link w:val="Nagwek6"/>
    <w:rsid w:val="00F0075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0075E"/>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F0075E"/>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F0075E"/>
    <w:rPr>
      <w:rFonts w:ascii="Times New Roman" w:eastAsia="Times New Roman" w:hAnsi="Times New Roman" w:cs="Times New Roman"/>
      <w:color w:val="000000"/>
      <w:sz w:val="28"/>
      <w:szCs w:val="28"/>
      <w:lang w:eastAsia="pl-PL"/>
    </w:rPr>
  </w:style>
  <w:style w:type="character" w:styleId="Hipercze">
    <w:name w:val="Hyperlink"/>
    <w:rsid w:val="00F0075E"/>
    <w:rPr>
      <w:color w:val="0000FF"/>
      <w:u w:val="single"/>
    </w:rPr>
  </w:style>
  <w:style w:type="paragraph" w:styleId="Tekstpodstawowy">
    <w:name w:val="Body Text"/>
    <w:basedOn w:val="Normalny"/>
    <w:link w:val="TekstpodstawowyZnak"/>
    <w:rsid w:val="00F0075E"/>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F0075E"/>
    <w:rPr>
      <w:rFonts w:ascii="TimesNewRomanPS" w:eastAsia="Times New Roman" w:hAnsi="TimesNewRomanPS" w:cs="Times New Roman"/>
      <w:color w:val="000000"/>
      <w:sz w:val="24"/>
      <w:szCs w:val="20"/>
      <w:lang w:val="cs-CZ" w:eastAsia="pl-PL"/>
    </w:rPr>
  </w:style>
  <w:style w:type="paragraph" w:styleId="Tekstpodstawowy2">
    <w:name w:val="Body Text 2"/>
    <w:basedOn w:val="Normalny"/>
    <w:link w:val="Tekstpodstawowy2Znak"/>
    <w:semiHidden/>
    <w:rsid w:val="00F0075E"/>
    <w:pPr>
      <w:spacing w:before="120"/>
      <w:jc w:val="both"/>
    </w:pPr>
    <w:rPr>
      <w:bCs/>
      <w:sz w:val="22"/>
      <w:szCs w:val="22"/>
    </w:rPr>
  </w:style>
  <w:style w:type="character" w:customStyle="1" w:styleId="Tekstpodstawowy2Znak">
    <w:name w:val="Tekst podstawowy 2 Znak"/>
    <w:basedOn w:val="Domylnaczcionkaakapitu"/>
    <w:link w:val="Tekstpodstawowy2"/>
    <w:semiHidden/>
    <w:rsid w:val="00F0075E"/>
    <w:rPr>
      <w:rFonts w:ascii="Times New Roman" w:eastAsia="Times New Roman" w:hAnsi="Times New Roman" w:cs="Times New Roman"/>
      <w:bCs/>
      <w:lang w:eastAsia="pl-PL"/>
    </w:rPr>
  </w:style>
  <w:style w:type="paragraph" w:styleId="Tekstpodstawowy3">
    <w:name w:val="Body Text 3"/>
    <w:basedOn w:val="Normalny"/>
    <w:link w:val="Tekstpodstawowy3Znak"/>
    <w:semiHidden/>
    <w:rsid w:val="00F0075E"/>
    <w:pPr>
      <w:spacing w:before="120"/>
      <w:jc w:val="both"/>
    </w:pPr>
    <w:rPr>
      <w:color w:val="000000"/>
      <w:sz w:val="24"/>
      <w:szCs w:val="24"/>
    </w:rPr>
  </w:style>
  <w:style w:type="character" w:customStyle="1" w:styleId="Tekstpodstawowy3Znak">
    <w:name w:val="Tekst podstawowy 3 Znak"/>
    <w:basedOn w:val="Domylnaczcionkaakapitu"/>
    <w:link w:val="Tekstpodstawowy3"/>
    <w:semiHidden/>
    <w:rsid w:val="00F0075E"/>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F0075E"/>
    <w:pPr>
      <w:ind w:left="709" w:hanging="709"/>
      <w:jc w:val="both"/>
    </w:pPr>
    <w:rPr>
      <w:b/>
      <w:caps/>
      <w:color w:val="000000"/>
      <w:sz w:val="24"/>
      <w:szCs w:val="24"/>
    </w:rPr>
  </w:style>
  <w:style w:type="character" w:customStyle="1" w:styleId="Tekstpodstawowywcity2Znak">
    <w:name w:val="Tekst podstawowy wcięty 2 Znak"/>
    <w:basedOn w:val="Domylnaczcionkaakapitu"/>
    <w:link w:val="Tekstpodstawowywcity2"/>
    <w:semiHidden/>
    <w:rsid w:val="00F0075E"/>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F0075E"/>
    <w:pPr>
      <w:spacing w:after="120"/>
      <w:ind w:left="283"/>
    </w:pPr>
  </w:style>
  <w:style w:type="paragraph" w:customStyle="1" w:styleId="Akapitzlist1">
    <w:name w:val="Akapit z listą1"/>
    <w:basedOn w:val="Normalny"/>
    <w:rsid w:val="00F0075E"/>
    <w:pPr>
      <w:spacing w:after="200" w:line="276" w:lineRule="auto"/>
      <w:ind w:left="720"/>
    </w:pPr>
    <w:rPr>
      <w:rFonts w:ascii="Calibri" w:hAnsi="Calibri"/>
      <w:sz w:val="24"/>
      <w:szCs w:val="24"/>
      <w:lang w:eastAsia="en-US"/>
    </w:rPr>
  </w:style>
  <w:style w:type="paragraph" w:styleId="Stopka">
    <w:name w:val="footer"/>
    <w:basedOn w:val="Normalny"/>
    <w:link w:val="StopkaZnak"/>
    <w:uiPriority w:val="99"/>
    <w:rsid w:val="00F0075E"/>
    <w:pPr>
      <w:tabs>
        <w:tab w:val="center" w:pos="4536"/>
        <w:tab w:val="right" w:pos="9072"/>
      </w:tabs>
    </w:pPr>
  </w:style>
  <w:style w:type="character" w:customStyle="1" w:styleId="StopkaZnak">
    <w:name w:val="Stopka Znak"/>
    <w:basedOn w:val="Domylnaczcionkaakapitu"/>
    <w:link w:val="Stopka"/>
    <w:uiPriority w:val="99"/>
    <w:rsid w:val="00F0075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F0075E"/>
  </w:style>
  <w:style w:type="paragraph" w:styleId="Nagwek">
    <w:name w:val="header"/>
    <w:basedOn w:val="Normalny"/>
    <w:link w:val="NagwekZnak"/>
    <w:semiHidden/>
    <w:rsid w:val="00F0075E"/>
    <w:pPr>
      <w:tabs>
        <w:tab w:val="center" w:pos="4536"/>
        <w:tab w:val="right" w:pos="9072"/>
      </w:tabs>
    </w:pPr>
  </w:style>
  <w:style w:type="character" w:customStyle="1" w:styleId="NagwekZnak">
    <w:name w:val="Nagłówek Znak"/>
    <w:basedOn w:val="Domylnaczcionkaakapitu"/>
    <w:link w:val="Nagwek"/>
    <w:semiHidden/>
    <w:rsid w:val="00F0075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F0075E"/>
    <w:pPr>
      <w:spacing w:before="120"/>
      <w:ind w:left="567" w:hanging="567"/>
      <w:jc w:val="both"/>
    </w:pPr>
    <w:rPr>
      <w:bCs/>
      <w:sz w:val="22"/>
      <w:szCs w:val="22"/>
    </w:rPr>
  </w:style>
  <w:style w:type="character" w:customStyle="1" w:styleId="TekstpodstawowywcityZnak">
    <w:name w:val="Tekst podstawowy wcięty Znak"/>
    <w:basedOn w:val="Domylnaczcionkaakapitu"/>
    <w:link w:val="Tekstpodstawowywcity"/>
    <w:semiHidden/>
    <w:rsid w:val="00F0075E"/>
    <w:rPr>
      <w:rFonts w:ascii="Times New Roman" w:eastAsia="Times New Roman" w:hAnsi="Times New Roman" w:cs="Times New Roman"/>
      <w:bCs/>
      <w:lang w:eastAsia="pl-PL"/>
    </w:rPr>
  </w:style>
  <w:style w:type="paragraph" w:styleId="Akapitzlist">
    <w:name w:val="List Paragraph"/>
    <w:aliases w:val="CW_Lista"/>
    <w:basedOn w:val="Normalny"/>
    <w:link w:val="AkapitzlistZnak"/>
    <w:uiPriority w:val="34"/>
    <w:qFormat/>
    <w:rsid w:val="00F0075E"/>
    <w:pPr>
      <w:spacing w:after="200" w:line="276" w:lineRule="auto"/>
      <w:ind w:left="720"/>
    </w:pPr>
    <w:rPr>
      <w:rFonts w:ascii="Calibri" w:eastAsia="Calibri" w:hAnsi="Calibri"/>
      <w:sz w:val="24"/>
      <w:szCs w:val="24"/>
      <w:lang w:eastAsia="en-US"/>
    </w:rPr>
  </w:style>
  <w:style w:type="character" w:customStyle="1" w:styleId="FontStyle15">
    <w:name w:val="Font Style15"/>
    <w:rsid w:val="00F0075E"/>
    <w:rPr>
      <w:rFonts w:ascii="Arial" w:hAnsi="Arial" w:cs="Arial"/>
      <w:sz w:val="24"/>
      <w:szCs w:val="24"/>
    </w:rPr>
  </w:style>
  <w:style w:type="paragraph" w:styleId="Tekstprzypisudolnego">
    <w:name w:val="footnote text"/>
    <w:basedOn w:val="Normalny"/>
    <w:link w:val="TekstprzypisudolnegoZnak"/>
    <w:unhideWhenUsed/>
    <w:rsid w:val="00F0075E"/>
  </w:style>
  <w:style w:type="character" w:customStyle="1" w:styleId="TekstprzypisudolnegoZnak">
    <w:name w:val="Tekst przypisu dolnego Znak"/>
    <w:basedOn w:val="Domylnaczcionkaakapitu"/>
    <w:link w:val="Tekstprzypisudolnego"/>
    <w:rsid w:val="00F0075E"/>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0075E"/>
    <w:rPr>
      <w:vertAlign w:val="superscript"/>
    </w:rPr>
  </w:style>
  <w:style w:type="paragraph" w:customStyle="1" w:styleId="Domylnie">
    <w:name w:val="Domyślnie"/>
    <w:rsid w:val="00F0075E"/>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F0075E"/>
  </w:style>
  <w:style w:type="paragraph" w:styleId="Tytu">
    <w:name w:val="Title"/>
    <w:aliases w:val=" Znak Znak Znak,Znak Znak Znak"/>
    <w:basedOn w:val="Normalny"/>
    <w:link w:val="TytuZnak"/>
    <w:qFormat/>
    <w:rsid w:val="00F0075E"/>
    <w:pPr>
      <w:shd w:val="clear" w:color="auto" w:fill="FFFFFF"/>
      <w:tabs>
        <w:tab w:val="left" w:pos="240"/>
      </w:tabs>
      <w:ind w:left="173"/>
      <w:jc w:val="center"/>
    </w:pPr>
    <w:rPr>
      <w:b/>
      <w:bCs/>
      <w:sz w:val="28"/>
      <w:szCs w:val="24"/>
    </w:rPr>
  </w:style>
  <w:style w:type="character" w:customStyle="1" w:styleId="TytuZnak">
    <w:name w:val="Tytuł Znak"/>
    <w:aliases w:val=" Znak Znak Znak Znak,Znak Znak Znak Znak"/>
    <w:basedOn w:val="Domylnaczcionkaakapitu"/>
    <w:link w:val="Tytu"/>
    <w:rsid w:val="00F0075E"/>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F0075E"/>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F0075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F0075E"/>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rsid w:val="00F0075E"/>
    <w:rPr>
      <w:rFonts w:ascii="Courier New" w:hAnsi="Courier New"/>
      <w:lang w:eastAsia="en-US"/>
    </w:rPr>
  </w:style>
  <w:style w:type="character" w:customStyle="1" w:styleId="ZwykytekstZnak">
    <w:name w:val="Zwykły tekst Znak"/>
    <w:basedOn w:val="Domylnaczcionkaakapitu"/>
    <w:link w:val="Zwykytekst"/>
    <w:rsid w:val="00F0075E"/>
    <w:rPr>
      <w:rFonts w:ascii="Courier New" w:eastAsia="Times New Roman" w:hAnsi="Courier New" w:cs="Times New Roman"/>
      <w:sz w:val="20"/>
      <w:szCs w:val="20"/>
    </w:rPr>
  </w:style>
  <w:style w:type="paragraph" w:customStyle="1" w:styleId="Akapitzlist2">
    <w:name w:val="Akapit z listą2"/>
    <w:basedOn w:val="Normalny"/>
    <w:rsid w:val="00F0075E"/>
    <w:pPr>
      <w:spacing w:after="200" w:line="276" w:lineRule="auto"/>
      <w:ind w:left="720"/>
    </w:pPr>
    <w:rPr>
      <w:rFonts w:ascii="Calibri" w:hAnsi="Calibri"/>
      <w:sz w:val="24"/>
      <w:szCs w:val="24"/>
      <w:lang w:eastAsia="en-US"/>
    </w:rPr>
  </w:style>
  <w:style w:type="paragraph" w:styleId="Tekstdymka">
    <w:name w:val="Balloon Text"/>
    <w:basedOn w:val="Normalny"/>
    <w:link w:val="TekstdymkaZnak"/>
    <w:semiHidden/>
    <w:unhideWhenUsed/>
    <w:rsid w:val="00F0075E"/>
    <w:rPr>
      <w:rFonts w:ascii="Tahoma" w:hAnsi="Tahoma" w:cs="Tahoma"/>
      <w:sz w:val="16"/>
      <w:szCs w:val="16"/>
    </w:rPr>
  </w:style>
  <w:style w:type="character" w:customStyle="1" w:styleId="TekstdymkaZnak">
    <w:name w:val="Tekst dymka Znak"/>
    <w:basedOn w:val="Domylnaczcionkaakapitu"/>
    <w:link w:val="Tekstdymka"/>
    <w:semiHidden/>
    <w:rsid w:val="00F0075E"/>
    <w:rPr>
      <w:rFonts w:ascii="Tahoma" w:eastAsia="Times New Roman" w:hAnsi="Tahoma" w:cs="Tahoma"/>
      <w:sz w:val="16"/>
      <w:szCs w:val="16"/>
      <w:lang w:eastAsia="pl-PL"/>
    </w:rPr>
  </w:style>
  <w:style w:type="paragraph" w:customStyle="1" w:styleId="Default">
    <w:name w:val="Default"/>
    <w:rsid w:val="00F0075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F0075E"/>
    <w:rPr>
      <w:b/>
      <w:bCs/>
    </w:rPr>
  </w:style>
  <w:style w:type="character" w:customStyle="1" w:styleId="Teksttreci">
    <w:name w:val="Tekst treści_"/>
    <w:rsid w:val="00F0075E"/>
    <w:rPr>
      <w:spacing w:val="2"/>
      <w:sz w:val="21"/>
      <w:szCs w:val="21"/>
      <w:shd w:val="clear" w:color="auto" w:fill="FFFFFF"/>
    </w:rPr>
  </w:style>
  <w:style w:type="paragraph" w:customStyle="1" w:styleId="Teksttreci0">
    <w:name w:val="Tekst treści"/>
    <w:basedOn w:val="Normalny"/>
    <w:rsid w:val="00F0075E"/>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F0075E"/>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F0075E"/>
    <w:rPr>
      <w:rFonts w:ascii="Arial" w:hAnsi="Arial" w:cs="Arial"/>
      <w:spacing w:val="2"/>
      <w:sz w:val="18"/>
      <w:szCs w:val="18"/>
      <w:u w:val="single"/>
      <w:shd w:val="clear" w:color="auto" w:fill="FFFFFF"/>
      <w:lang w:val="en-US" w:eastAsia="en-US"/>
    </w:rPr>
  </w:style>
  <w:style w:type="character" w:customStyle="1" w:styleId="Teksttreci9">
    <w:name w:val="Tekst treści9"/>
    <w:rsid w:val="00F0075E"/>
    <w:rPr>
      <w:rFonts w:ascii="Arial" w:hAnsi="Arial" w:cs="Arial"/>
      <w:noProof/>
      <w:spacing w:val="2"/>
      <w:sz w:val="18"/>
      <w:szCs w:val="18"/>
      <w:u w:val="none"/>
      <w:shd w:val="clear" w:color="auto" w:fill="FFFFFF"/>
    </w:rPr>
  </w:style>
  <w:style w:type="character" w:customStyle="1" w:styleId="Teksttreci8">
    <w:name w:val="Tekst treści8"/>
    <w:rsid w:val="00F0075E"/>
    <w:rPr>
      <w:rFonts w:ascii="Arial" w:hAnsi="Arial" w:cs="Arial"/>
      <w:spacing w:val="2"/>
      <w:sz w:val="18"/>
      <w:szCs w:val="18"/>
      <w:u w:val="single"/>
      <w:shd w:val="clear" w:color="auto" w:fill="FFFFFF"/>
    </w:rPr>
  </w:style>
  <w:style w:type="character" w:customStyle="1" w:styleId="Nagwek20">
    <w:name w:val="Nagłówek #2_"/>
    <w:rsid w:val="00F0075E"/>
    <w:rPr>
      <w:rFonts w:ascii="Arial" w:hAnsi="Arial" w:cs="Arial"/>
      <w:b/>
      <w:bCs/>
      <w:shd w:val="clear" w:color="auto" w:fill="FFFFFF"/>
    </w:rPr>
  </w:style>
  <w:style w:type="character" w:customStyle="1" w:styleId="TeksttreciPogrubienie">
    <w:name w:val="Tekst treści + Pogrubienie"/>
    <w:rsid w:val="00F0075E"/>
    <w:rPr>
      <w:rFonts w:ascii="Arial" w:hAnsi="Arial" w:cs="Arial"/>
      <w:b/>
      <w:bCs/>
      <w:spacing w:val="2"/>
      <w:sz w:val="20"/>
      <w:szCs w:val="20"/>
      <w:shd w:val="clear" w:color="auto" w:fill="FFFFFF"/>
    </w:rPr>
  </w:style>
  <w:style w:type="paragraph" w:customStyle="1" w:styleId="Nagwek21">
    <w:name w:val="Nagłówek #21"/>
    <w:basedOn w:val="Normalny"/>
    <w:rsid w:val="00F0075E"/>
    <w:pPr>
      <w:widowControl w:val="0"/>
      <w:shd w:val="clear" w:color="auto" w:fill="FFFFFF"/>
      <w:spacing w:after="180" w:line="240" w:lineRule="atLeast"/>
      <w:ind w:hanging="680"/>
      <w:jc w:val="both"/>
      <w:outlineLvl w:val="1"/>
    </w:pPr>
    <w:rPr>
      <w:rFonts w:ascii="Arial" w:hAnsi="Arial" w:cs="Arial"/>
      <w:b/>
      <w:bCs/>
    </w:rPr>
  </w:style>
  <w:style w:type="character" w:customStyle="1" w:styleId="apple-converted-space">
    <w:name w:val="apple-converted-space"/>
    <w:rsid w:val="00F0075E"/>
  </w:style>
  <w:style w:type="paragraph" w:customStyle="1" w:styleId="ChapterTitle">
    <w:name w:val="ChapterTitle"/>
    <w:basedOn w:val="Normalny"/>
    <w:next w:val="Normalny"/>
    <w:rsid w:val="00F0075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0075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0075E"/>
    <w:pPr>
      <w:spacing w:before="120" w:after="120"/>
      <w:jc w:val="center"/>
    </w:pPr>
    <w:rPr>
      <w:rFonts w:eastAsia="Calibri"/>
      <w:b/>
      <w:sz w:val="24"/>
      <w:szCs w:val="22"/>
      <w:u w:val="single"/>
      <w:lang w:eastAsia="en-GB"/>
    </w:rPr>
  </w:style>
  <w:style w:type="paragraph" w:customStyle="1" w:styleId="Styl1">
    <w:name w:val="Styl1"/>
    <w:basedOn w:val="Normalny"/>
    <w:rsid w:val="00F0075E"/>
    <w:pPr>
      <w:widowControl w:val="0"/>
      <w:suppressAutoHyphens/>
      <w:spacing w:line="100" w:lineRule="atLeast"/>
      <w:jc w:val="both"/>
    </w:pPr>
    <w:rPr>
      <w:sz w:val="24"/>
      <w:szCs w:val="24"/>
      <w:lang w:eastAsia="ar-SA"/>
    </w:rPr>
  </w:style>
  <w:style w:type="paragraph" w:styleId="Tekstprzypisukocowego">
    <w:name w:val="endnote text"/>
    <w:basedOn w:val="Normalny"/>
    <w:link w:val="TekstprzypisukocowegoZnak"/>
    <w:semiHidden/>
    <w:unhideWhenUsed/>
    <w:rsid w:val="00F0075E"/>
  </w:style>
  <w:style w:type="character" w:customStyle="1" w:styleId="TekstprzypisukocowegoZnak">
    <w:name w:val="Tekst przypisu końcowego Znak"/>
    <w:basedOn w:val="Domylnaczcionkaakapitu"/>
    <w:link w:val="Tekstprzypisukocowego"/>
    <w:semiHidden/>
    <w:rsid w:val="00F0075E"/>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F0075E"/>
    <w:rPr>
      <w:vertAlign w:val="superscript"/>
    </w:rPr>
  </w:style>
  <w:style w:type="paragraph" w:styleId="Tekstpodstawowywcity3">
    <w:name w:val="Body Text Indent 3"/>
    <w:basedOn w:val="Normalny"/>
    <w:link w:val="Tekstpodstawowywcity3Znak"/>
    <w:semiHidden/>
    <w:unhideWhenUsed/>
    <w:rsid w:val="00F0075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0075E"/>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F0075E"/>
    <w:rPr>
      <w:sz w:val="16"/>
      <w:szCs w:val="16"/>
    </w:rPr>
  </w:style>
  <w:style w:type="paragraph" w:styleId="Tekstkomentarza">
    <w:name w:val="annotation text"/>
    <w:basedOn w:val="Normalny"/>
    <w:link w:val="TekstkomentarzaZnak"/>
    <w:uiPriority w:val="99"/>
    <w:semiHidden/>
    <w:unhideWhenUsed/>
    <w:rsid w:val="00F0075E"/>
  </w:style>
  <w:style w:type="character" w:customStyle="1" w:styleId="TekstkomentarzaZnak">
    <w:name w:val="Tekst komentarza Znak"/>
    <w:basedOn w:val="Domylnaczcionkaakapitu"/>
    <w:link w:val="Tekstkomentarza"/>
    <w:uiPriority w:val="99"/>
    <w:semiHidden/>
    <w:rsid w:val="00F0075E"/>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F0075E"/>
    <w:pPr>
      <w:spacing w:before="100" w:beforeAutospacing="1" w:after="100" w:afterAutospacing="1"/>
    </w:pPr>
    <w:rPr>
      <w:rFonts w:ascii="Times" w:hAnsi="Times"/>
      <w:lang w:val="en-US" w:eastAsia="en-US"/>
    </w:rPr>
  </w:style>
  <w:style w:type="table" w:styleId="Tabela-Siatka">
    <w:name w:val="Table Grid"/>
    <w:basedOn w:val="Standardowy"/>
    <w:uiPriority w:val="59"/>
    <w:rsid w:val="00F00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0075E"/>
    <w:pPr>
      <w:spacing w:after="200" w:line="276" w:lineRule="auto"/>
    </w:pPr>
    <w:rPr>
      <w:rFonts w:ascii="Calibri" w:eastAsia="Calibri" w:hAnsi="Calibri" w:cs="Calibri"/>
      <w:lang w:eastAsia="pl-PL"/>
    </w:rPr>
  </w:style>
  <w:style w:type="character" w:customStyle="1" w:styleId="AkapitzlistZnak">
    <w:name w:val="Akapit z listą Znak"/>
    <w:aliases w:val="CW_Lista Znak"/>
    <w:link w:val="Akapitzlist"/>
    <w:uiPriority w:val="34"/>
    <w:qFormat/>
    <w:locked/>
    <w:rsid w:val="00F0075E"/>
    <w:rPr>
      <w:rFonts w:ascii="Calibri" w:eastAsia="Calibri" w:hAnsi="Calibri" w:cs="Times New Roman"/>
      <w:sz w:val="24"/>
      <w:szCs w:val="24"/>
    </w:rPr>
  </w:style>
  <w:style w:type="paragraph" w:styleId="Lista">
    <w:name w:val="List"/>
    <w:basedOn w:val="Normalny"/>
    <w:rsid w:val="00F0075E"/>
    <w:pPr>
      <w:autoSpaceDE w:val="0"/>
      <w:autoSpaceDN w:val="0"/>
      <w:spacing w:before="90" w:line="380" w:lineRule="atLeast"/>
      <w:jc w:val="both"/>
    </w:pPr>
    <w:rPr>
      <w:w w:val="89"/>
      <w:sz w:val="25"/>
    </w:rPr>
  </w:style>
  <w:style w:type="character" w:customStyle="1" w:styleId="width100prc">
    <w:name w:val="width100prc"/>
    <w:rsid w:val="00F0075E"/>
  </w:style>
  <w:style w:type="character" w:customStyle="1" w:styleId="Teksttreci2">
    <w:name w:val="Tekst treści (2)_"/>
    <w:link w:val="Teksttreci20"/>
    <w:rsid w:val="00F0075E"/>
    <w:rPr>
      <w:rFonts w:ascii="Arial" w:eastAsia="Arial" w:hAnsi="Arial" w:cs="Arial"/>
      <w:shd w:val="clear" w:color="auto" w:fill="FFFFFF"/>
    </w:rPr>
  </w:style>
  <w:style w:type="paragraph" w:customStyle="1" w:styleId="Teksttreci20">
    <w:name w:val="Tekst treści (2)"/>
    <w:basedOn w:val="Normalny"/>
    <w:link w:val="Teksttreci2"/>
    <w:rsid w:val="00F0075E"/>
    <w:pPr>
      <w:widowControl w:val="0"/>
      <w:shd w:val="clear" w:color="auto" w:fill="FFFFFF"/>
      <w:spacing w:after="840" w:line="0" w:lineRule="atLeast"/>
      <w:jc w:val="right"/>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8616">
      <w:bodyDiv w:val="1"/>
      <w:marLeft w:val="0"/>
      <w:marRight w:val="0"/>
      <w:marTop w:val="0"/>
      <w:marBottom w:val="0"/>
      <w:divBdr>
        <w:top w:val="none" w:sz="0" w:space="0" w:color="auto"/>
        <w:left w:val="none" w:sz="0" w:space="0" w:color="auto"/>
        <w:bottom w:val="none" w:sz="0" w:space="0" w:color="auto"/>
        <w:right w:val="none" w:sz="0" w:space="0" w:color="auto"/>
      </w:divBdr>
    </w:div>
    <w:div w:id="10439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1295</Words>
  <Characters>7387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kontener paliwowy</vt:lpstr>
    </vt:vector>
  </TitlesOfParts>
  <Company>KG Panstwowej Strazy Pozarnej</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kontener paliwowy</dc:title>
  <dc:creator>Krzysztof Kijowski</dc:creator>
  <cp:lastModifiedBy>Piotr Strzelecki</cp:lastModifiedBy>
  <cp:revision>7</cp:revision>
  <cp:lastPrinted>2020-07-10T06:40:00Z</cp:lastPrinted>
  <dcterms:created xsi:type="dcterms:W3CDTF">2020-12-18T13:01:00Z</dcterms:created>
  <dcterms:modified xsi:type="dcterms:W3CDTF">2020-12-18T13:13:00Z</dcterms:modified>
</cp:coreProperties>
</file>