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58E9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7BB5B87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A924D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9B335C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B2367DC" w14:textId="77777777" w:rsidR="00123A1B" w:rsidRDefault="007E578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1E33D58F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2085425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3C22951B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5BF0E98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D9F9244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DBB2B9F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334EB356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8546F31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A3A5F79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C6D996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3A29C0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10484DF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0E42159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AE02FA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55909E63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281926D0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67F2D42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69C1A6CB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4528B6A7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5F3F6A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3B49C07A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1769EC6D" w14:textId="77777777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2898EA1F" w14:textId="114F4B34" w:rsidR="00C20D0F" w:rsidRPr="004C1758" w:rsidRDefault="00912A2B" w:rsidP="00C20D0F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val="x-none" w:eastAsia="pl-PL" w:bidi="ar-SA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ZA.271.</w:t>
      </w:r>
      <w:r w:rsidR="00C20D0F">
        <w:rPr>
          <w:rFonts w:ascii="Calibri" w:hAnsi="Calibri" w:cs="Calibri"/>
          <w:b/>
          <w:sz w:val="22"/>
          <w:szCs w:val="22"/>
          <w:lang w:eastAsia="pl-PL"/>
        </w:rPr>
        <w:t>224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.2024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  <w:r w:rsidR="00C20D0F" w:rsidRPr="004C1758">
        <w:rPr>
          <w:rFonts w:ascii="Calibri" w:eastAsia="Times New Roman" w:hAnsi="Calibri" w:cs="Calibri"/>
          <w:b/>
          <w:kern w:val="0"/>
          <w:sz w:val="22"/>
          <w:szCs w:val="22"/>
          <w:lang w:val="x-none" w:eastAsia="pl-PL" w:bidi="ar-SA"/>
        </w:rPr>
        <w:t>Sporządzenie operatów szacunkowych określających wartość nieruchomości (gruntu, części składowych oraz istniejących ograniczonych praw rzeczowych) położonych na terenie powiatu nowotarskiego w celu ustalenia odszkodowania za nieruchomości, które stały się własnością odpowiednich jednostek samorządu terytorialnego na mocy ostatecznych decyzji o</w:t>
      </w:r>
      <w:r w:rsidR="00C20D0F">
        <w:rPr>
          <w:rFonts w:ascii="Calibri" w:eastAsia="Times New Roman" w:hAnsi="Calibri" w:cs="Calibri"/>
          <w:b/>
          <w:kern w:val="0"/>
          <w:sz w:val="22"/>
          <w:szCs w:val="22"/>
          <w:lang w:val="x-none" w:eastAsia="pl-PL" w:bidi="ar-SA"/>
        </w:rPr>
        <w:t> </w:t>
      </w:r>
      <w:r w:rsidR="00C20D0F" w:rsidRPr="004C1758">
        <w:rPr>
          <w:rFonts w:ascii="Calibri" w:eastAsia="Times New Roman" w:hAnsi="Calibri" w:cs="Calibri"/>
          <w:b/>
          <w:kern w:val="0"/>
          <w:sz w:val="22"/>
          <w:szCs w:val="22"/>
          <w:lang w:val="x-none" w:eastAsia="pl-PL" w:bidi="ar-SA"/>
        </w:rPr>
        <w:t>zezwoleniu na realizację inwestycji drogowych, ostatecznych decyzji wydanych w trybie art. 73 ustawy Przepisy wprowadzające ustawy reformujące administrację publiczną oraz decyzji właściwych organów jednostek samorządu terytorialnego zatwierdzających podział w trybie art. 98 ustawy o</w:t>
      </w:r>
      <w:r w:rsidR="00C20D0F" w:rsidRPr="00C20D0F">
        <w:rPr>
          <w:rFonts w:ascii="Calibri" w:eastAsia="Times New Roman" w:hAnsi="Calibri" w:cs="Calibri"/>
          <w:b/>
          <w:kern w:val="0"/>
          <w:sz w:val="22"/>
          <w:szCs w:val="22"/>
          <w:lang w:val="x-none" w:eastAsia="pl-PL" w:bidi="ar-SA"/>
        </w:rPr>
        <w:t> </w:t>
      </w:r>
      <w:r w:rsidR="00C20D0F" w:rsidRPr="004C1758">
        <w:rPr>
          <w:rFonts w:ascii="Calibri" w:eastAsia="Times New Roman" w:hAnsi="Calibri" w:cs="Calibri"/>
          <w:b/>
          <w:kern w:val="0"/>
          <w:sz w:val="22"/>
          <w:szCs w:val="22"/>
          <w:lang w:val="x-none" w:eastAsia="pl-PL" w:bidi="ar-SA"/>
        </w:rPr>
        <w:t>gospodarce nieruchomościami.</w:t>
      </w:r>
    </w:p>
    <w:p w14:paraId="0D5A6468" w14:textId="77777777" w:rsidR="00C20D0F" w:rsidRPr="00C20D0F" w:rsidRDefault="00C20D0F" w:rsidP="00C20D0F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Cena jednostkowa dotyczy operatu szacunkowego wyceny nieruchomości (jedna księga wieczysta lub jednolite władanie) obejmującej działki położone w jednym kompleksie, dla następujących przypadków:</w:t>
      </w:r>
    </w:p>
    <w:p w14:paraId="5FCAA5A6" w14:textId="77777777" w:rsidR="00C20D0F" w:rsidRPr="00C20D0F" w:rsidRDefault="00C20D0F" w:rsidP="00C20D0F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niezabudowany bez ograniczonych praw rzeczowych,</w:t>
      </w:r>
    </w:p>
    <w:p w14:paraId="7C41B029" w14:textId="77777777" w:rsidR="00C20D0F" w:rsidRPr="00C20D0F" w:rsidRDefault="00C20D0F" w:rsidP="00C20D0F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niezabudowany z ograniczonymi prawami rzeczowymi,</w:t>
      </w:r>
    </w:p>
    <w:p w14:paraId="7F101372" w14:textId="77777777" w:rsidR="00C20D0F" w:rsidRPr="00C20D0F" w:rsidRDefault="00C20D0F" w:rsidP="00C20D0F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z częściami składowymi bez ograniczonych praw rzeczowych,</w:t>
      </w:r>
    </w:p>
    <w:p w14:paraId="26C6F4AD" w14:textId="77777777" w:rsidR="00C20D0F" w:rsidRPr="00C20D0F" w:rsidRDefault="00C20D0F" w:rsidP="00C20D0F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z częściami składowymi z ograniczonymi prawami rzeczowymi.</w:t>
      </w:r>
    </w:p>
    <w:p w14:paraId="39A558DB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Operaty szacunkowe muszą być wykonane zgodnie z: </w:t>
      </w:r>
    </w:p>
    <w:p w14:paraId="174E9264" w14:textId="77777777" w:rsidR="00C20D0F" w:rsidRPr="00C20D0F" w:rsidRDefault="00C20D0F" w:rsidP="00C20D0F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ustawą z dnia 21 sierpnia 1997 r. o gospodarce nieruchomościami (t. j. Dz.U. z 2023 r. poz. 344); </w:t>
      </w:r>
    </w:p>
    <w:p w14:paraId="3C52CF16" w14:textId="77777777" w:rsidR="00C20D0F" w:rsidRPr="00C20D0F" w:rsidRDefault="00C20D0F" w:rsidP="00C20D0F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rozporządzeniem Ministra Rozwoju i Technologii z dnia 5 września 2023 r. w sprawie wyceny nieruchomości (Dz.U. z 2023 r., poz. 1832); </w:t>
      </w:r>
    </w:p>
    <w:p w14:paraId="4FDF40C7" w14:textId="77777777" w:rsidR="00C20D0F" w:rsidRPr="00C20D0F" w:rsidRDefault="00C20D0F" w:rsidP="00C20D0F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Standardami Zawodowymi Polskiej Federacji Stowarzyszeń Rzeczoznawców Majątkowych; </w:t>
      </w:r>
    </w:p>
    <w:p w14:paraId="42C4FE91" w14:textId="77777777" w:rsidR="00C20D0F" w:rsidRPr="00C20D0F" w:rsidRDefault="00C20D0F" w:rsidP="00C20D0F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innymi przepisami obowiązującymi w tym zakresie;</w:t>
      </w:r>
    </w:p>
    <w:p w14:paraId="1A66C636" w14:textId="77777777" w:rsidR="00C20D0F" w:rsidRPr="00C20D0F" w:rsidRDefault="00C20D0F" w:rsidP="00C20D0F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Kodeksem Etyki Zawodowej Rzeczoznawców Majątkowych,</w:t>
      </w:r>
    </w:p>
    <w:p w14:paraId="73CECEAB" w14:textId="77777777" w:rsidR="00C20D0F" w:rsidRPr="00C20D0F" w:rsidRDefault="00C20D0F" w:rsidP="00C20D0F">
      <w:pPr>
        <w:widowControl/>
        <w:autoSpaceDN/>
        <w:spacing w:line="276" w:lineRule="auto"/>
        <w:ind w:left="720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tj. rzetelnie, uczciwie, bezstronnie, z zachowaniem tajemnicy zawodowej oraz z uwzględnieniem aktualnego stanowiska organów II instancji i orzecznictwa sądów.  </w:t>
      </w:r>
    </w:p>
    <w:p w14:paraId="5FDB7A25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postępowaniach, na potrzeby których zostaną wykonane ww. opracowania rzeczoznawca majątkowy na wezwanie Zamawiającego zobowiązany jest do uczestnictwa w rozprawach ad</w:t>
      </w: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 xml:space="preserve">ministracyjnych z udziałem stron prowadzonego postępowania (w wypadku konieczności </w:t>
      </w: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ich przeprowadzenia) oraz do składania pisemnych wyjaśnień.</w:t>
      </w:r>
    </w:p>
    <w:p w14:paraId="01E9B962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14:paraId="7E799334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Rzeczoznawca majątkowy zobowiązany jest do potwierdzania aktualności wykonanego operatu szacunkowego po upływie 12 miesięcy od daty jego sporządzenia, stosownie do art. 156 ust. 4 ustawy o gospodarce nieruchomościami - w terminie nie dłuższym niż 14 dni kalendarzowych od daty przekazania takiego wniosku przez Zamawiającego oraz w przypadku nie stwierdzenia znacznych różnic cen rynkowych nieruchomości.    </w:t>
      </w:r>
    </w:p>
    <w:p w14:paraId="19113159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przypadku uchylenia decyzji z powodu wadliwie sporządzonego operatu szacunkowego rzeczoznawca majątkowy sporządzi bez dodatkowego wynagrodzenia prawidłowy operat szacunkowy w oparciu o wytyczne organu II instancji lub sądu administracyjnego w terminie                   21 dni od dnia powiadomienia biegłego przez Zamawiającego o ujawnionych wadach                                i nieprawidłowościach. </w:t>
      </w:r>
    </w:p>
    <w:p w14:paraId="439EECB0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przypadku obciążenia przedmiotu wyceny więcej niż jednym prawem rzeczowym, rzeczoznawca majątkowy powinien określić wartość każdego z tych praw oddzielnie.</w:t>
      </w:r>
    </w:p>
    <w:p w14:paraId="42EAEF1C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Jeżeli przedmiotem wyceny jest działka obciążona jedną służebnością gruntową ustanowioną </w:t>
      </w: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na rzecz właścicieli innych nieruchomości, rzeczoznawca majątkowy zobowiązany jest określić wartość tego prawa oddzielnie dla poszczególnych właścicieli nieruchomości władnących. </w:t>
      </w:r>
    </w:p>
    <w:p w14:paraId="49E3D079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</w:t>
      </w: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w Krakowie z dnia 29.04.2021 r., sygn. akt II SA/Kr 157/21). </w:t>
      </w:r>
    </w:p>
    <w:p w14:paraId="43C1A0DA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Rzeczoznawca majątkowy zobowiązany jest do umieszczania w operacie szacunkowym dokumentacji fotograficznej sporządzonej w trakcie oględzin nieruchomości. </w:t>
      </w:r>
    </w:p>
    <w:p w14:paraId="76449E70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Rzeczoznawca majątkowy zobowiązany jest uzasadnić przyjęty sposób wyceny </w:t>
      </w: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oraz wskazać i wyjaśnić przesłanki, które doprowadziły do przedstawionych konkluzji w sposób logiczny, spójny i wiarygodny.</w:t>
      </w:r>
    </w:p>
    <w:p w14:paraId="417F2753" w14:textId="77777777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Rzeczoznawca majątkowy zobowiązany jest do zamieszczenia w operacie szacunkowym wyjaśnień, czy przeznaczenie nieruchomości wycenianej, zgodne z celem wywłaszczenia (przejęcia) powoduje wzrost jej wartości (zasada korzyści wynikająca z art. 134 ustawy </w:t>
      </w: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o gospodarce nieruchomościami). W przypadku stwierdzenia, że zachodzi zasada korzyści rzeczoznawca majątkowy przeprowadza wycenę zgodnie z ukształtowanym i jednolitym orzecznictwem sądów administracyjnych (por. wyrok NSA z dnia 10.07.2019 r., sygn. akt I OSK 2430/17). </w:t>
      </w:r>
    </w:p>
    <w:p w14:paraId="5FA8755B" w14:textId="31E5D4FE" w:rsidR="00C20D0F" w:rsidRPr="00C20D0F" w:rsidRDefault="00C20D0F" w:rsidP="00C20D0F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Rzeczoznawca majątkowy jest uprawniony do zapoznania się z dokumentami prowadzonych postępowań w zakresie, jaki jest niezbędny do przygotowania opinii w formie operatów szacunkowych.</w:t>
      </w:r>
    </w:p>
    <w:p w14:paraId="5CAAFAF9" w14:textId="77777777" w:rsidR="00C20D0F" w:rsidRPr="00C20D0F" w:rsidRDefault="00C20D0F" w:rsidP="00C20D0F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66B1746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ofercie wykonawca winien określić oddzielnie cenę jednostkową każdego wymienionego typu operatu szacunkowego. </w:t>
      </w:r>
    </w:p>
    <w:p w14:paraId="756892B9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Najkorzystniejszą ofertą będzie ta, w której suma poszczególnych cen jednostkowych jest najniższa. </w:t>
      </w:r>
    </w:p>
    <w:p w14:paraId="47D1A92F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Należność za wykonane zlecenie będzie iloczynem ceny jednostkowej i ilości poszczególnych typów operatów szacunkowych. </w:t>
      </w:r>
    </w:p>
    <w:p w14:paraId="51545228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lastRenderedPageBreak/>
        <w:t>Zlecenia będą dokonywane sukcesywnie przez Wydział Gospodarki Nieruchomościami, stąd dopuszczenie wystawiania faktur cząstkowych za poszczególne etapy prac wykonanych w terminach wynikających ze zlecenia.</w:t>
      </w:r>
    </w:p>
    <w:p w14:paraId="2AE09975" w14:textId="77777777" w:rsidR="00C20D0F" w:rsidRPr="00C20D0F" w:rsidRDefault="00C20D0F" w:rsidP="00C20D0F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</w:p>
    <w:p w14:paraId="60D5F5A1" w14:textId="168E1469" w:rsidR="004518F3" w:rsidRPr="004518F3" w:rsidRDefault="00C20D0F" w:rsidP="00C20D0F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Szczegółowe informacje udzielane są w Wydziale Gospodarki Nieruchomościami pod nr tel. (18) 26-10-782,  tel. (18) 26-10-783. Pracownik prowadzący: Pani  Teresa Pilch-Wójcik.</w:t>
      </w:r>
    </w:p>
    <w:p w14:paraId="0B3D024D" w14:textId="77777777" w:rsidR="004518F3" w:rsidRPr="004518F3" w:rsidRDefault="004518F3" w:rsidP="004518F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E8DEB29" w14:textId="77777777" w:rsidR="004518F3" w:rsidRPr="004518F3" w:rsidRDefault="004518F3" w:rsidP="004518F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Uwaga!: Rozliczenie płatności wynikające z zawartej umowy nastąpi za pośrednictwem metody podzielnej płatności na podst. art. 108a ustawy z dnia 11 marca 2004 r. o podatku od towarów i usług (t. j. Dz. U. z 2023 r, poz. 1570 z </w:t>
      </w:r>
      <w:proofErr w:type="spellStart"/>
      <w:r w:rsidRPr="004518F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późn</w:t>
      </w:r>
      <w:proofErr w:type="spellEnd"/>
      <w:r w:rsidRPr="004518F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zm.).</w:t>
      </w:r>
    </w:p>
    <w:p w14:paraId="65835DA8" w14:textId="77777777" w:rsidR="004518F3" w:rsidRPr="004518F3" w:rsidRDefault="004518F3" w:rsidP="004518F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BACE718" w14:textId="77777777" w:rsidR="004518F3" w:rsidRPr="004518F3" w:rsidRDefault="004518F3" w:rsidP="004518F3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zgodnie z zawartą umową -  4 tygodnie od otrzymania zlecenia dla poszczególnego zlecenia.</w:t>
      </w:r>
    </w:p>
    <w:p w14:paraId="332A8798" w14:textId="77777777" w:rsidR="004518F3" w:rsidRPr="004518F3" w:rsidRDefault="004518F3" w:rsidP="004518F3">
      <w:pPr>
        <w:widowControl/>
        <w:autoSpaceDN/>
        <w:spacing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Termin oddania wszystkich opracowań nie może przekroczyć: 30 listopada 2024 r.</w:t>
      </w:r>
    </w:p>
    <w:p w14:paraId="01A0A013" w14:textId="77777777"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0A29A1D1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7A318925" w14:textId="77777777" w:rsidR="009638AB" w:rsidRPr="00915DA4" w:rsidRDefault="009638AB" w:rsidP="009638AB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Cena jednostkowa dotyczy operatu szacunkowego wyceny nieruchomości (jedna księga wieczysta lub jednolite władanie) obejmującej działki położone w jednym kompleksie, dla następujących przypadków:</w:t>
      </w:r>
    </w:p>
    <w:p w14:paraId="59673AF3" w14:textId="77777777"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1)</w:t>
      </w:r>
    </w:p>
    <w:p w14:paraId="684D7117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 bez ograniczonych praw rzeczowych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14:paraId="7DF86002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3C883911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51022342" w14:textId="77777777"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2)</w:t>
      </w:r>
    </w:p>
    <w:p w14:paraId="5A0F6BE6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z ograniczonymi prawami rzeczowymi: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   zł</w:t>
      </w:r>
    </w:p>
    <w:p w14:paraId="1CAB36FD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6F6958FB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3787838E" w14:textId="77777777"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3)</w:t>
      </w:r>
    </w:p>
    <w:p w14:paraId="64CEA77D" w14:textId="77777777"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bez ograniczonych praw rzeczowych: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  zł</w:t>
      </w:r>
    </w:p>
    <w:p w14:paraId="66FC5C7F" w14:textId="77777777"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7A75582A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02C42FE8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3B6E9972" w14:textId="77777777"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4)</w:t>
      </w:r>
    </w:p>
    <w:p w14:paraId="1D016CCE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z ograniczonymi prawami rzeczowymi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   zł</w:t>
      </w:r>
    </w:p>
    <w:p w14:paraId="5AB7E2C4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5B83616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5A3D85D6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05444A86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lang w:eastAsia="pl-PL"/>
        </w:rPr>
        <w:t xml:space="preserve">Suma poszczególnych cen </w:t>
      </w:r>
      <w:r>
        <w:rPr>
          <w:rFonts w:ascii="Calibri" w:hAnsi="Calibri" w:cs="Calibri"/>
          <w:b/>
          <w:lang w:eastAsia="pl-PL"/>
        </w:rPr>
        <w:t>jednostkowych</w:t>
      </w:r>
      <w:r>
        <w:rPr>
          <w:rFonts w:ascii="Calibri" w:hAnsi="Calibri" w:cs="Calibri"/>
          <w:b/>
          <w:iCs/>
          <w:spacing w:val="-1"/>
          <w:lang w:eastAsia="pl-PL"/>
        </w:rPr>
        <w:t xml:space="preserve"> brutto (1+2+3+4)</w:t>
      </w:r>
      <w:r>
        <w:rPr>
          <w:rFonts w:ascii="Calibri" w:hAnsi="Calibri" w:cs="Calibri"/>
          <w:b/>
          <w:lang w:eastAsia="pl-PL"/>
        </w:rPr>
        <w:t xml:space="preserve"> dotyczących każdego wymienionego typu operatu szacunkowego: ……………………………………………………</w:t>
      </w:r>
      <w:r>
        <w:rPr>
          <w:rFonts w:ascii="Calibri" w:hAnsi="Calibri" w:cs="Calibri"/>
          <w:b/>
          <w:iCs/>
          <w:lang w:eastAsia="pl-PL"/>
        </w:rPr>
        <w:t xml:space="preserve">   zł</w:t>
      </w:r>
    </w:p>
    <w:p w14:paraId="27EB99BF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/słownie/..............................................................................................................................</w:t>
      </w:r>
    </w:p>
    <w:p w14:paraId="14760E87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18183A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076631FB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7698138A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43329F87" w14:textId="5A76B9BB" w:rsidR="003B3DE9" w:rsidRPr="005F4148" w:rsidRDefault="007E578B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</w:t>
      </w:r>
      <w:r w:rsid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="003B3DE9"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="003B3DE9"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="003B3DE9"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7885BBE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45348E4C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C43C045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806A" w14:textId="77777777" w:rsidR="006D0D92" w:rsidRDefault="006D0D92">
      <w:r>
        <w:separator/>
      </w:r>
    </w:p>
  </w:endnote>
  <w:endnote w:type="continuationSeparator" w:id="0">
    <w:p w14:paraId="62CE397E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136C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00EF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0C56428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0AC8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39318673">
    <w:abstractNumId w:val="13"/>
  </w:num>
  <w:num w:numId="2" w16cid:durableId="2141610983">
    <w:abstractNumId w:val="2"/>
  </w:num>
  <w:num w:numId="3" w16cid:durableId="1606378808">
    <w:abstractNumId w:val="6"/>
  </w:num>
  <w:num w:numId="4" w16cid:durableId="451170233">
    <w:abstractNumId w:val="8"/>
  </w:num>
  <w:num w:numId="5" w16cid:durableId="1197348513">
    <w:abstractNumId w:val="14"/>
  </w:num>
  <w:num w:numId="6" w16cid:durableId="362479657">
    <w:abstractNumId w:val="3"/>
  </w:num>
  <w:num w:numId="7" w16cid:durableId="541136208">
    <w:abstractNumId w:val="11"/>
  </w:num>
  <w:num w:numId="8" w16cid:durableId="53282077">
    <w:abstractNumId w:val="1"/>
  </w:num>
  <w:num w:numId="9" w16cid:durableId="1841504053">
    <w:abstractNumId w:val="7"/>
  </w:num>
  <w:num w:numId="10" w16cid:durableId="1840387520">
    <w:abstractNumId w:val="1"/>
  </w:num>
  <w:num w:numId="11" w16cid:durableId="447160170">
    <w:abstractNumId w:val="13"/>
  </w:num>
  <w:num w:numId="12" w16cid:durableId="416754768">
    <w:abstractNumId w:val="12"/>
  </w:num>
  <w:num w:numId="13" w16cid:durableId="283972788">
    <w:abstractNumId w:val="10"/>
  </w:num>
  <w:num w:numId="14" w16cid:durableId="1147087901">
    <w:abstractNumId w:val="4"/>
  </w:num>
  <w:num w:numId="15" w16cid:durableId="1427729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335904">
    <w:abstractNumId w:val="5"/>
  </w:num>
  <w:num w:numId="17" w16cid:durableId="1879587295">
    <w:abstractNumId w:val="10"/>
  </w:num>
  <w:num w:numId="18" w16cid:durableId="1364332420">
    <w:abstractNumId w:val="0"/>
  </w:num>
  <w:num w:numId="19" w16cid:durableId="1219050312">
    <w:abstractNumId w:val="9"/>
  </w:num>
  <w:num w:numId="20" w16cid:durableId="855578798">
    <w:abstractNumId w:val="5"/>
  </w:num>
  <w:num w:numId="21" w16cid:durableId="1727558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123A1B"/>
    <w:rsid w:val="003B3DE9"/>
    <w:rsid w:val="004518F3"/>
    <w:rsid w:val="00521DD5"/>
    <w:rsid w:val="005B0DA0"/>
    <w:rsid w:val="00625920"/>
    <w:rsid w:val="0063366A"/>
    <w:rsid w:val="006D0D92"/>
    <w:rsid w:val="007E578B"/>
    <w:rsid w:val="009058D9"/>
    <w:rsid w:val="00912A2B"/>
    <w:rsid w:val="009638AB"/>
    <w:rsid w:val="00996D7C"/>
    <w:rsid w:val="00A213B6"/>
    <w:rsid w:val="00A56719"/>
    <w:rsid w:val="00A72475"/>
    <w:rsid w:val="00AC6747"/>
    <w:rsid w:val="00C20D0F"/>
    <w:rsid w:val="00C453A5"/>
    <w:rsid w:val="00C67582"/>
    <w:rsid w:val="00E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FA0943"/>
  <w15:docId w15:val="{48C23FBA-A06D-4604-B8AC-3A3102E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Ewa Rusnaczyk-Maciasz</cp:lastModifiedBy>
  <cp:revision>17</cp:revision>
  <cp:lastPrinted>2019-07-29T14:48:00Z</cp:lastPrinted>
  <dcterms:created xsi:type="dcterms:W3CDTF">2008-10-03T10:05:00Z</dcterms:created>
  <dcterms:modified xsi:type="dcterms:W3CDTF">2024-04-11T12:07:00Z</dcterms:modified>
</cp:coreProperties>
</file>