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597F0E" w14:textId="77777777" w:rsidR="00361A05" w:rsidRPr="00A85C07" w:rsidRDefault="001E38D5">
      <w:pPr>
        <w:jc w:val="right"/>
        <w:rPr>
          <w:rFonts w:ascii="Bahnschrift" w:hAnsi="Bahnschrift"/>
          <w:sz w:val="20"/>
        </w:rPr>
      </w:pPr>
      <w:r w:rsidRPr="00A85C07">
        <w:rPr>
          <w:rFonts w:ascii="Bahnschrift" w:hAnsi="Bahnschrift"/>
          <w:sz w:val="20"/>
        </w:rPr>
        <w:t>Załącznik nr 2 do SWZ DZP.382.1.52.2023</w:t>
      </w:r>
    </w:p>
    <w:p w14:paraId="3CC0A2BE" w14:textId="77777777" w:rsidR="00361A05" w:rsidRDefault="00361A05">
      <w:pPr>
        <w:rPr>
          <w:sz w:val="20"/>
        </w:rPr>
      </w:pPr>
    </w:p>
    <w:p w14:paraId="45301A21" w14:textId="77777777" w:rsidR="00361A05" w:rsidRPr="00A85C07" w:rsidRDefault="001E38D5">
      <w:pPr>
        <w:jc w:val="center"/>
        <w:rPr>
          <w:rFonts w:ascii="Bahnschrift" w:hAnsi="Bahnschrift"/>
          <w:b/>
          <w:szCs w:val="22"/>
        </w:rPr>
      </w:pPr>
      <w:r w:rsidRPr="00A85C07">
        <w:rPr>
          <w:rFonts w:ascii="Bahnschrift" w:hAnsi="Bahnschrift"/>
          <w:b/>
          <w:szCs w:val="22"/>
        </w:rPr>
        <w:t>OPIS PRZEDMIOTU ZAMÓWIENIA</w:t>
      </w:r>
    </w:p>
    <w:p w14:paraId="61674C49" w14:textId="77777777" w:rsidR="00361A05" w:rsidRDefault="00361A05">
      <w:pPr>
        <w:rPr>
          <w:sz w:val="20"/>
        </w:rPr>
      </w:pPr>
    </w:p>
    <w:p w14:paraId="52E686BA" w14:textId="77777777" w:rsidR="00361A05" w:rsidRDefault="001E38D5" w:rsidP="00A85C07">
      <w:pPr>
        <w:numPr>
          <w:ilvl w:val="0"/>
          <w:numId w:val="1"/>
        </w:numPr>
        <w:jc w:val="both"/>
      </w:pPr>
      <w:r>
        <w:t>Przedmiotem umowy jest:</w:t>
      </w:r>
    </w:p>
    <w:p w14:paraId="23828192" w14:textId="77777777" w:rsidR="00A85C07" w:rsidRPr="00A85C07" w:rsidRDefault="00A85C07" w:rsidP="00A85C07">
      <w:pPr>
        <w:numPr>
          <w:ilvl w:val="1"/>
          <w:numId w:val="1"/>
        </w:numPr>
        <w:ind w:left="1418" w:hanging="567"/>
        <w:jc w:val="both"/>
        <w:rPr>
          <w:rFonts w:cstheme="minorHAnsi"/>
          <w:b/>
        </w:rPr>
      </w:pPr>
      <w:r w:rsidRPr="00A85C07">
        <w:rPr>
          <w:rFonts w:cstheme="minorHAnsi"/>
          <w:b/>
        </w:rPr>
        <w:t>dostarczenie licencji bezterminowej na platformę, wsparcie instalacji oraz konfiguracji w środowisku Zamawiającego platformy umożliwiającej podpisywanie dokumentów zapisanych w formacie PDF w formie elektronicznej (równoważnej formie pisemnej) lub dokumentowej (zależnie od potrzeb danego obiegu),</w:t>
      </w:r>
    </w:p>
    <w:p w14:paraId="60B17E8D" w14:textId="77777777" w:rsidR="00A85C07" w:rsidRPr="00A85C07" w:rsidRDefault="00A85C07" w:rsidP="00A85C07">
      <w:pPr>
        <w:numPr>
          <w:ilvl w:val="1"/>
          <w:numId w:val="1"/>
        </w:numPr>
        <w:ind w:left="1418" w:hanging="567"/>
        <w:jc w:val="both"/>
        <w:rPr>
          <w:rFonts w:cstheme="minorHAnsi"/>
          <w:b/>
        </w:rPr>
      </w:pPr>
      <w:r w:rsidRPr="00A85C07">
        <w:rPr>
          <w:rFonts w:cstheme="minorHAnsi"/>
          <w:b/>
        </w:rPr>
        <w:t>dostarczenie pieczęci elektronicznej współpracującej z dostarczonym rozwiązaniem,</w:t>
      </w:r>
    </w:p>
    <w:p w14:paraId="1450D020" w14:textId="77777777" w:rsidR="00A85C07" w:rsidRPr="00A85C07" w:rsidRDefault="00A85C07" w:rsidP="00A85C07">
      <w:pPr>
        <w:numPr>
          <w:ilvl w:val="1"/>
          <w:numId w:val="1"/>
        </w:numPr>
        <w:ind w:left="1418" w:hanging="567"/>
        <w:jc w:val="both"/>
        <w:rPr>
          <w:rFonts w:cstheme="minorHAnsi"/>
          <w:b/>
        </w:rPr>
      </w:pPr>
      <w:r w:rsidRPr="00A85C07">
        <w:rPr>
          <w:rFonts w:cstheme="minorHAnsi"/>
          <w:b/>
        </w:rPr>
        <w:t>świadczenie usługi Zaufanej Trzeciej Strony – polegającej na zabezpieczeniu dostępu do danych biometrycznych na potrzeby postępowania sądowego,</w:t>
      </w:r>
    </w:p>
    <w:p w14:paraId="7B4D1A7D" w14:textId="77777777" w:rsidR="00A85C07" w:rsidRPr="00A85C07" w:rsidRDefault="00A85C07" w:rsidP="00A85C07">
      <w:pPr>
        <w:numPr>
          <w:ilvl w:val="1"/>
          <w:numId w:val="1"/>
        </w:numPr>
        <w:ind w:left="1418" w:hanging="567"/>
        <w:jc w:val="both"/>
        <w:rPr>
          <w:rFonts w:cstheme="minorHAnsi"/>
          <w:b/>
        </w:rPr>
      </w:pPr>
      <w:r w:rsidRPr="00A85C07">
        <w:rPr>
          <w:rFonts w:cstheme="minorHAnsi"/>
          <w:b/>
        </w:rPr>
        <w:t>wsparcie instalacji w środowisku Zamawiającego Bramki Usług Zaufania (TSG) umożliwiającej podpisywanie dokumentów pieczęcią elektroniczną lub mobilnym podpisem kwalifikowanym bez konieczności przesłania poza serwery Zamawiającego pełnego tekstu podpisywanych dokumentów,</w:t>
      </w:r>
    </w:p>
    <w:p w14:paraId="57FE1675" w14:textId="77777777" w:rsidR="00A85C07" w:rsidRPr="00A85C07" w:rsidRDefault="00A85C07" w:rsidP="00A85C07">
      <w:pPr>
        <w:numPr>
          <w:ilvl w:val="1"/>
          <w:numId w:val="1"/>
        </w:numPr>
        <w:ind w:left="1418" w:hanging="567"/>
        <w:jc w:val="both"/>
        <w:rPr>
          <w:rFonts w:cstheme="minorHAnsi"/>
          <w:b/>
        </w:rPr>
      </w:pPr>
      <w:r w:rsidRPr="00A85C07">
        <w:rPr>
          <w:rFonts w:cstheme="minorHAnsi"/>
          <w:b/>
        </w:rPr>
        <w:t>dostarczenie licencji umożliwiającej podpisanie dokumentów za pomocą podpisu biometrycznego dynamicznego (pismo odręczne z rejestracją parametrów sposobu składania podpisu) lub biometrycznego statycznego (pismo odręczne bez rejestracji parametrów składania podpisu) – paczka 5000 podpisów,</w:t>
      </w:r>
    </w:p>
    <w:p w14:paraId="49B079D1" w14:textId="77777777" w:rsidR="00A85C07" w:rsidRPr="00A85C07" w:rsidRDefault="00A85C07" w:rsidP="00A85C07">
      <w:pPr>
        <w:numPr>
          <w:ilvl w:val="1"/>
          <w:numId w:val="1"/>
        </w:numPr>
        <w:ind w:left="1418" w:hanging="567"/>
        <w:jc w:val="both"/>
        <w:rPr>
          <w:rFonts w:cstheme="minorHAnsi"/>
          <w:b/>
        </w:rPr>
      </w:pPr>
      <w:r w:rsidRPr="00A85C07">
        <w:rPr>
          <w:rFonts w:cstheme="minorHAnsi"/>
          <w:b/>
        </w:rPr>
        <w:t>dostarczenie licencji umożliwiającej podpisanie dokumentów z wykorzystaniem potwierdzenia tożsamości za pomocą SMS – paczka 1000 podpisów,</w:t>
      </w:r>
    </w:p>
    <w:p w14:paraId="123E35AC" w14:textId="77777777" w:rsidR="00A85C07" w:rsidRPr="00A85C07" w:rsidRDefault="00A85C07" w:rsidP="00A85C07">
      <w:pPr>
        <w:numPr>
          <w:ilvl w:val="1"/>
          <w:numId w:val="1"/>
        </w:numPr>
        <w:ind w:left="1418" w:hanging="567"/>
        <w:jc w:val="both"/>
        <w:rPr>
          <w:rFonts w:cstheme="minorHAnsi"/>
          <w:b/>
        </w:rPr>
      </w:pPr>
      <w:r w:rsidRPr="00A85C07">
        <w:rPr>
          <w:rFonts w:cstheme="minorHAnsi"/>
          <w:b/>
        </w:rPr>
        <w:t>dostarczenie 25 sztuk tabletów umożliwiających składanie podpisu biometrycznego.</w:t>
      </w:r>
    </w:p>
    <w:p w14:paraId="779DCCCA" w14:textId="77777777" w:rsidR="00A85C07" w:rsidRPr="00A85C07" w:rsidRDefault="00A85C07" w:rsidP="00A85C07">
      <w:pPr>
        <w:numPr>
          <w:ilvl w:val="1"/>
          <w:numId w:val="1"/>
        </w:numPr>
        <w:ind w:left="1418" w:hanging="567"/>
        <w:jc w:val="both"/>
        <w:rPr>
          <w:rFonts w:cstheme="minorHAnsi"/>
          <w:b/>
        </w:rPr>
      </w:pPr>
      <w:r w:rsidRPr="00A85C07">
        <w:rPr>
          <w:rFonts w:cstheme="minorHAnsi"/>
          <w:b/>
        </w:rPr>
        <w:t>udzielenie gwarancji jakości na dostarczony Sprzęt na warunkach określonych we wzorze umowy,</w:t>
      </w:r>
    </w:p>
    <w:p w14:paraId="7BC66242" w14:textId="77777777" w:rsidR="00A85C07" w:rsidRPr="00A85C07" w:rsidRDefault="00A85C07" w:rsidP="00A85C07">
      <w:pPr>
        <w:numPr>
          <w:ilvl w:val="1"/>
          <w:numId w:val="1"/>
        </w:numPr>
        <w:ind w:left="1418" w:hanging="567"/>
        <w:jc w:val="both"/>
        <w:rPr>
          <w:rFonts w:cstheme="minorHAnsi"/>
          <w:b/>
        </w:rPr>
      </w:pPr>
      <w:r w:rsidRPr="00A85C07">
        <w:rPr>
          <w:rFonts w:cstheme="minorHAnsi"/>
          <w:b/>
        </w:rPr>
        <w:t xml:space="preserve">świadczenie usługi wsparcia technicznego na warunkach określonych we wzorze umowy. </w:t>
      </w:r>
    </w:p>
    <w:p w14:paraId="2E025BA1" w14:textId="63F27C2E" w:rsidR="00361A05" w:rsidRDefault="001E38D5" w:rsidP="00A85C07">
      <w:pPr>
        <w:numPr>
          <w:ilvl w:val="0"/>
          <w:numId w:val="1"/>
        </w:numPr>
        <w:jc w:val="both"/>
      </w:pPr>
      <w:r>
        <w:t xml:space="preserve">Instalacja komponentów systemu odbędzie się w środowisku klastra </w:t>
      </w:r>
      <w:proofErr w:type="spellStart"/>
      <w:r>
        <w:t>VMWare</w:t>
      </w:r>
      <w:proofErr w:type="spellEnd"/>
      <w:r>
        <w:t xml:space="preserve"> Zamawiającego.</w:t>
      </w:r>
    </w:p>
    <w:p w14:paraId="6892EA51" w14:textId="68665102" w:rsidR="00DC1525" w:rsidRDefault="00DC1525" w:rsidP="00A85C07">
      <w:pPr>
        <w:numPr>
          <w:ilvl w:val="0"/>
          <w:numId w:val="1"/>
        </w:numPr>
        <w:jc w:val="both"/>
      </w:pPr>
      <w:r>
        <w:t>Opis techniczny przedmiotu zamówienia:</w:t>
      </w:r>
      <w:bookmarkStart w:id="0" w:name="_GoBack"/>
      <w:bookmarkEnd w:id="0"/>
    </w:p>
    <w:p w14:paraId="364D0411" w14:textId="43A1C7F5" w:rsidR="00294140" w:rsidRDefault="00294140" w:rsidP="00294140">
      <w:pPr>
        <w:jc w:val="both"/>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2"/>
        <w:gridCol w:w="4536"/>
      </w:tblGrid>
      <w:tr w:rsidR="00171B36" w:rsidRPr="00B425E7" w14:paraId="763C1DD5" w14:textId="77777777" w:rsidTr="00DC1525">
        <w:trPr>
          <w:trHeight w:val="863"/>
        </w:trPr>
        <w:tc>
          <w:tcPr>
            <w:tcW w:w="5382" w:type="dxa"/>
            <w:shd w:val="clear" w:color="auto" w:fill="FFFFFF"/>
          </w:tcPr>
          <w:p w14:paraId="109F441A" w14:textId="4B11093D" w:rsidR="00171B36" w:rsidRPr="00171B36" w:rsidRDefault="00171B36" w:rsidP="00171B36">
            <w:pPr>
              <w:autoSpaceDE w:val="0"/>
              <w:autoSpaceDN w:val="0"/>
              <w:adjustRightInd w:val="0"/>
              <w:jc w:val="center"/>
              <w:rPr>
                <w:rFonts w:ascii="Bahnschrift" w:hAnsi="Bahnschrift" w:cs="Arial"/>
                <w:b/>
                <w:color w:val="000000"/>
                <w:sz w:val="18"/>
                <w:szCs w:val="18"/>
              </w:rPr>
            </w:pPr>
            <w:r w:rsidRPr="00171B36">
              <w:rPr>
                <w:rFonts w:ascii="Bahnschrift" w:hAnsi="Bahnschrift" w:cs="Arial"/>
                <w:b/>
                <w:color w:val="000000"/>
                <w:sz w:val="18"/>
                <w:szCs w:val="18"/>
              </w:rPr>
              <w:t xml:space="preserve">OPIS </w:t>
            </w:r>
            <w:r w:rsidR="00DC1525">
              <w:rPr>
                <w:rFonts w:ascii="Bahnschrift" w:hAnsi="Bahnschrift" w:cs="Arial"/>
                <w:b/>
                <w:color w:val="000000"/>
                <w:sz w:val="18"/>
                <w:szCs w:val="18"/>
              </w:rPr>
              <w:t xml:space="preserve">TECHNICZNY </w:t>
            </w:r>
            <w:r w:rsidRPr="00171B36">
              <w:rPr>
                <w:rFonts w:ascii="Bahnschrift" w:hAnsi="Bahnschrift" w:cs="Arial"/>
                <w:b/>
                <w:color w:val="000000"/>
                <w:sz w:val="18"/>
                <w:szCs w:val="18"/>
              </w:rPr>
              <w:t>PRZEDMIOTU ZAMÓWIENIA</w:t>
            </w:r>
            <w:r w:rsidR="00DC1525">
              <w:rPr>
                <w:rFonts w:ascii="Bahnschrift" w:hAnsi="Bahnschrift" w:cs="Arial"/>
                <w:b/>
                <w:color w:val="000000"/>
                <w:sz w:val="18"/>
                <w:szCs w:val="18"/>
              </w:rPr>
              <w:t xml:space="preserve"> (oprogramowanie + tablety)</w:t>
            </w:r>
          </w:p>
        </w:tc>
        <w:tc>
          <w:tcPr>
            <w:tcW w:w="4536" w:type="dxa"/>
            <w:shd w:val="clear" w:color="auto" w:fill="FFFFFF"/>
          </w:tcPr>
          <w:p w14:paraId="58AFF794" w14:textId="77777777" w:rsidR="00BA41D5" w:rsidRDefault="00171B36" w:rsidP="00171B36">
            <w:pPr>
              <w:autoSpaceDE w:val="0"/>
              <w:autoSpaceDN w:val="0"/>
              <w:adjustRightInd w:val="0"/>
              <w:jc w:val="center"/>
              <w:rPr>
                <w:rFonts w:ascii="Bahnschrift" w:hAnsi="Bahnschrift" w:cs="Arial"/>
                <w:b/>
                <w:color w:val="000000"/>
                <w:sz w:val="18"/>
                <w:szCs w:val="18"/>
              </w:rPr>
            </w:pPr>
            <w:r w:rsidRPr="00B425E7">
              <w:rPr>
                <w:rFonts w:ascii="Bahnschrift" w:hAnsi="Bahnschrift" w:cs="Arial"/>
                <w:b/>
                <w:color w:val="000000"/>
                <w:sz w:val="18"/>
                <w:szCs w:val="18"/>
              </w:rPr>
              <w:t xml:space="preserve">OPIS TECHNICZNY </w:t>
            </w:r>
          </w:p>
          <w:p w14:paraId="49045ADC" w14:textId="026AD7F2" w:rsidR="00171B36" w:rsidRPr="00B425E7" w:rsidRDefault="00171B36" w:rsidP="00171B36">
            <w:pPr>
              <w:autoSpaceDE w:val="0"/>
              <w:autoSpaceDN w:val="0"/>
              <w:adjustRightInd w:val="0"/>
              <w:jc w:val="center"/>
              <w:rPr>
                <w:rFonts w:ascii="Bahnschrift" w:hAnsi="Bahnschrift" w:cs="Arial"/>
                <w:b/>
                <w:color w:val="000000"/>
                <w:sz w:val="18"/>
                <w:szCs w:val="18"/>
              </w:rPr>
            </w:pPr>
            <w:r w:rsidRPr="00B425E7">
              <w:rPr>
                <w:rFonts w:ascii="Bahnschrift" w:hAnsi="Bahnschrift" w:cs="Arial"/>
                <w:b/>
                <w:color w:val="000000"/>
                <w:sz w:val="18"/>
                <w:szCs w:val="18"/>
              </w:rPr>
              <w:t>OFEROWANE</w:t>
            </w:r>
            <w:r w:rsidR="00BA41D5">
              <w:rPr>
                <w:rFonts w:ascii="Bahnschrift" w:hAnsi="Bahnschrift" w:cs="Arial"/>
                <w:b/>
                <w:color w:val="000000"/>
                <w:sz w:val="18"/>
                <w:szCs w:val="18"/>
              </w:rPr>
              <w:t>J PLATFORMY /</w:t>
            </w:r>
            <w:r w:rsidRPr="00B425E7">
              <w:rPr>
                <w:rFonts w:ascii="Bahnschrift" w:hAnsi="Bahnschrift" w:cs="Arial"/>
                <w:b/>
                <w:color w:val="000000"/>
                <w:sz w:val="18"/>
                <w:szCs w:val="18"/>
              </w:rPr>
              <w:t xml:space="preserve"> SPRZĘTU</w:t>
            </w:r>
          </w:p>
          <w:p w14:paraId="471E735A" w14:textId="15FD6D54" w:rsidR="00171B36" w:rsidRPr="00171B36" w:rsidRDefault="00171B36" w:rsidP="00171B36">
            <w:pPr>
              <w:autoSpaceDE w:val="0"/>
              <w:autoSpaceDN w:val="0"/>
              <w:adjustRightInd w:val="0"/>
              <w:jc w:val="center"/>
              <w:rPr>
                <w:rFonts w:ascii="Bahnschrift" w:hAnsi="Bahnschrift" w:cs="Arial"/>
                <w:b/>
                <w:color w:val="000000"/>
                <w:sz w:val="18"/>
                <w:szCs w:val="18"/>
              </w:rPr>
            </w:pPr>
            <w:r>
              <w:rPr>
                <w:sz w:val="18"/>
                <w:szCs w:val="18"/>
              </w:rPr>
              <w:t>(n</w:t>
            </w:r>
            <w:r w:rsidRPr="00171B36">
              <w:rPr>
                <w:sz w:val="18"/>
                <w:szCs w:val="18"/>
              </w:rPr>
              <w:t xml:space="preserve">ależy wskazać </w:t>
            </w:r>
            <w:r w:rsidRPr="00432B95">
              <w:rPr>
                <w:sz w:val="18"/>
                <w:szCs w:val="18"/>
              </w:rPr>
              <w:t>wszystki</w:t>
            </w:r>
            <w:r>
              <w:rPr>
                <w:sz w:val="18"/>
                <w:szCs w:val="18"/>
              </w:rPr>
              <w:t>e</w:t>
            </w:r>
            <w:r w:rsidRPr="00432B95">
              <w:rPr>
                <w:sz w:val="18"/>
                <w:szCs w:val="18"/>
              </w:rPr>
              <w:t xml:space="preserve"> parametr</w:t>
            </w:r>
            <w:r>
              <w:rPr>
                <w:sz w:val="18"/>
                <w:szCs w:val="18"/>
              </w:rPr>
              <w:t>y</w:t>
            </w:r>
            <w:r w:rsidRPr="00432B95">
              <w:rPr>
                <w:sz w:val="18"/>
                <w:szCs w:val="18"/>
              </w:rPr>
              <w:t xml:space="preserve"> </w:t>
            </w:r>
            <w:r>
              <w:rPr>
                <w:sz w:val="18"/>
                <w:szCs w:val="18"/>
              </w:rPr>
              <w:t>/funkcjonalności</w:t>
            </w:r>
            <w:r w:rsidRPr="00432B95">
              <w:rPr>
                <w:sz w:val="18"/>
                <w:szCs w:val="18"/>
              </w:rPr>
              <w:t>, w</w:t>
            </w:r>
            <w:r>
              <w:rPr>
                <w:sz w:val="18"/>
                <w:szCs w:val="18"/>
              </w:rPr>
              <w:t> </w:t>
            </w:r>
            <w:r w:rsidRPr="00432B95">
              <w:rPr>
                <w:sz w:val="18"/>
                <w:szCs w:val="18"/>
              </w:rPr>
              <w:t>celu potwierdzenia zgodności oferowan</w:t>
            </w:r>
            <w:r>
              <w:rPr>
                <w:sz w:val="18"/>
                <w:szCs w:val="18"/>
              </w:rPr>
              <w:t>ej</w:t>
            </w:r>
            <w:r w:rsidRPr="00432B95">
              <w:rPr>
                <w:sz w:val="18"/>
                <w:szCs w:val="18"/>
              </w:rPr>
              <w:t xml:space="preserve"> </w:t>
            </w:r>
            <w:r>
              <w:rPr>
                <w:sz w:val="18"/>
                <w:szCs w:val="18"/>
              </w:rPr>
              <w:t xml:space="preserve">platformy / sprzętu </w:t>
            </w:r>
            <w:r w:rsidRPr="00432B95">
              <w:rPr>
                <w:sz w:val="18"/>
                <w:szCs w:val="18"/>
              </w:rPr>
              <w:t>z wymaganiami określonymi</w:t>
            </w:r>
            <w:r>
              <w:rPr>
                <w:sz w:val="18"/>
                <w:szCs w:val="18"/>
              </w:rPr>
              <w:t xml:space="preserve"> w opisie </w:t>
            </w:r>
            <w:r w:rsidR="00DC1525">
              <w:rPr>
                <w:sz w:val="18"/>
                <w:szCs w:val="18"/>
              </w:rPr>
              <w:t xml:space="preserve">technicznym </w:t>
            </w:r>
            <w:r>
              <w:rPr>
                <w:sz w:val="18"/>
                <w:szCs w:val="18"/>
              </w:rPr>
              <w:t>przedmiotu zamówienia)</w:t>
            </w:r>
          </w:p>
        </w:tc>
      </w:tr>
      <w:tr w:rsidR="00171B36" w:rsidRPr="00B425E7" w14:paraId="04BAABC4" w14:textId="77777777" w:rsidTr="00171B36">
        <w:trPr>
          <w:trHeight w:val="901"/>
        </w:trPr>
        <w:tc>
          <w:tcPr>
            <w:tcW w:w="5382" w:type="dxa"/>
            <w:shd w:val="clear" w:color="auto" w:fill="auto"/>
          </w:tcPr>
          <w:p w14:paraId="2A9DA63B" w14:textId="1262B0E7" w:rsidR="00171B36" w:rsidRDefault="00171B36" w:rsidP="00171B36">
            <w:pPr>
              <w:pStyle w:val="Akapitzlist"/>
              <w:numPr>
                <w:ilvl w:val="0"/>
                <w:numId w:val="3"/>
              </w:numPr>
              <w:tabs>
                <w:tab w:val="clear" w:pos="850"/>
              </w:tabs>
              <w:ind w:left="451" w:hanging="425"/>
              <w:jc w:val="both"/>
            </w:pPr>
            <w:r>
              <w:t>Dostarczone rozwiązanie musi umożliwić budowanie obiegów dokumentów.</w:t>
            </w:r>
          </w:p>
          <w:p w14:paraId="7CFEDDA0" w14:textId="77777777" w:rsidR="00171B36" w:rsidRDefault="00171B36" w:rsidP="00171B36">
            <w:pPr>
              <w:numPr>
                <w:ilvl w:val="0"/>
                <w:numId w:val="3"/>
              </w:numPr>
              <w:tabs>
                <w:tab w:val="clear" w:pos="850"/>
                <w:tab w:val="num" w:pos="593"/>
              </w:tabs>
              <w:ind w:left="409" w:hanging="383"/>
              <w:jc w:val="both"/>
            </w:pPr>
            <w:r>
              <w:t>Dostarczone rozwiązanie ma wspierać następujące formy podpisu:</w:t>
            </w:r>
          </w:p>
          <w:p w14:paraId="58894C2B" w14:textId="77777777" w:rsidR="00171B36" w:rsidRDefault="00171B36" w:rsidP="00171B36">
            <w:pPr>
              <w:numPr>
                <w:ilvl w:val="1"/>
                <w:numId w:val="3"/>
              </w:numPr>
              <w:ind w:left="694" w:hanging="425"/>
              <w:jc w:val="both"/>
            </w:pPr>
            <w:r>
              <w:t>podpis na karcie,</w:t>
            </w:r>
          </w:p>
          <w:p w14:paraId="263BF001" w14:textId="77777777" w:rsidR="00171B36" w:rsidRDefault="00171B36" w:rsidP="00171B36">
            <w:pPr>
              <w:numPr>
                <w:ilvl w:val="1"/>
                <w:numId w:val="3"/>
              </w:numPr>
              <w:ind w:left="694" w:hanging="425"/>
              <w:jc w:val="both"/>
            </w:pPr>
            <w:r>
              <w:t>mobilny (chmurowy) podpis kwalifikowany (</w:t>
            </w:r>
            <w:proofErr w:type="spellStart"/>
            <w:r>
              <w:t>SimplySign</w:t>
            </w:r>
            <w:proofErr w:type="spellEnd"/>
            <w:r>
              <w:t xml:space="preserve">, </w:t>
            </w:r>
            <w:proofErr w:type="spellStart"/>
            <w:r>
              <w:t>mSzafir</w:t>
            </w:r>
            <w:proofErr w:type="spellEnd"/>
            <w:r>
              <w:t>),</w:t>
            </w:r>
          </w:p>
          <w:p w14:paraId="64731CCB" w14:textId="77777777" w:rsidR="00171B36" w:rsidRDefault="00171B36" w:rsidP="00171B36">
            <w:pPr>
              <w:numPr>
                <w:ilvl w:val="1"/>
                <w:numId w:val="3"/>
              </w:numPr>
              <w:ind w:left="694" w:hanging="425"/>
              <w:jc w:val="both"/>
            </w:pPr>
            <w:r>
              <w:t>podpis biometryczny (dynamiczny i statyczny),</w:t>
            </w:r>
          </w:p>
          <w:p w14:paraId="2F248E0F" w14:textId="77777777" w:rsidR="00171B36" w:rsidRDefault="00171B36" w:rsidP="00171B36">
            <w:pPr>
              <w:numPr>
                <w:ilvl w:val="1"/>
                <w:numId w:val="3"/>
              </w:numPr>
              <w:ind w:left="694" w:hanging="425"/>
              <w:jc w:val="both"/>
            </w:pPr>
            <w:r>
              <w:lastRenderedPageBreak/>
              <w:t xml:space="preserve">akceptacja dokumentu online na platformie (sygnatariusze wewnętrzni), </w:t>
            </w:r>
          </w:p>
          <w:p w14:paraId="286AA806" w14:textId="77777777" w:rsidR="00171B36" w:rsidRDefault="00171B36" w:rsidP="00171B36">
            <w:pPr>
              <w:numPr>
                <w:ilvl w:val="1"/>
                <w:numId w:val="3"/>
              </w:numPr>
              <w:ind w:left="694" w:hanging="425"/>
              <w:jc w:val="both"/>
            </w:pPr>
            <w:r>
              <w:t xml:space="preserve">akceptacja dokumentu online na platformie z dodatkową weryfikacją użytkownika za pomocą kodu SMS. Rozwiązanie musi umożliwić konfigurację w której dodatkowy kod autoryzacyjny ma zostać wysłany za pomocą email zamiast </w:t>
            </w:r>
            <w:proofErr w:type="spellStart"/>
            <w:r>
              <w:t>zamiast</w:t>
            </w:r>
            <w:proofErr w:type="spellEnd"/>
            <w:r>
              <w:t xml:space="preserve"> SMS.</w:t>
            </w:r>
          </w:p>
          <w:p w14:paraId="1EBCA81A" w14:textId="77777777" w:rsidR="00171B36" w:rsidRPr="004C5165" w:rsidRDefault="00171B36" w:rsidP="00171B36">
            <w:pPr>
              <w:numPr>
                <w:ilvl w:val="0"/>
                <w:numId w:val="3"/>
              </w:numPr>
              <w:tabs>
                <w:tab w:val="clear" w:pos="850"/>
              </w:tabs>
              <w:ind w:left="409" w:hanging="426"/>
              <w:jc w:val="both"/>
            </w:pPr>
            <w:r>
              <w:t xml:space="preserve">Dostarczone rozwiązanie ma umożliwić bez dodatkowych kosztów dla Zamawiającego podpisanie/zatwierdzenie dowolnej liczby dokumentów za pomocą podpisów kwalifikowanych kartowych, podpisów kwalifikowanych chmurowych oraz akceptacji online na dostarczonej platformie dla sygnatariuszy wewnętrznych. </w:t>
            </w:r>
            <w:r w:rsidRPr="004C5165">
              <w:t xml:space="preserve">Zakup podpisów kwalifikowanych kartowych oraz chmurowych jest po stronie Zamawiającego </w:t>
            </w:r>
            <w:r>
              <w:t xml:space="preserve">i </w:t>
            </w:r>
            <w:r w:rsidRPr="004C5165">
              <w:t xml:space="preserve">nie wchodzi w zakres </w:t>
            </w:r>
            <w:r>
              <w:t xml:space="preserve">przedmiotowego </w:t>
            </w:r>
            <w:r w:rsidRPr="004C5165">
              <w:t>zamówienia.</w:t>
            </w:r>
          </w:p>
          <w:p w14:paraId="4689B095" w14:textId="77777777" w:rsidR="00171B36" w:rsidRDefault="00171B36" w:rsidP="00171B36">
            <w:pPr>
              <w:numPr>
                <w:ilvl w:val="0"/>
                <w:numId w:val="3"/>
              </w:numPr>
              <w:tabs>
                <w:tab w:val="clear" w:pos="850"/>
              </w:tabs>
              <w:ind w:left="409" w:hanging="426"/>
              <w:jc w:val="both"/>
            </w:pPr>
            <w:r>
              <w:t>Dostarczone rozwiązanie musi być wyposażone w interfejs programistyczny API umożliwiający:</w:t>
            </w:r>
          </w:p>
          <w:p w14:paraId="2B481461" w14:textId="77777777" w:rsidR="00171B36" w:rsidRDefault="00171B36" w:rsidP="00171B36">
            <w:pPr>
              <w:numPr>
                <w:ilvl w:val="1"/>
                <w:numId w:val="3"/>
              </w:numPr>
              <w:ind w:left="836" w:hanging="425"/>
              <w:jc w:val="both"/>
            </w:pPr>
            <w:r>
              <w:t>przesyłanie dokumentu z systemu dziedzinowego, definiowanie listy osób podpisujących dokument wraz z metodą podpisania dokumentu (akceptacja online, akceptacja online wraz z autoryzacją SMS, mobilny podpis kwalifikowany, podpis biometryczny),</w:t>
            </w:r>
          </w:p>
          <w:p w14:paraId="07429553" w14:textId="77777777" w:rsidR="00171B36" w:rsidRDefault="00171B36" w:rsidP="00171B36">
            <w:pPr>
              <w:numPr>
                <w:ilvl w:val="1"/>
                <w:numId w:val="3"/>
              </w:numPr>
              <w:ind w:left="836" w:hanging="425"/>
              <w:jc w:val="both"/>
            </w:pPr>
            <w:r>
              <w:t>definiowanie i uruchomienie obiegu podpisu dokumentu,</w:t>
            </w:r>
          </w:p>
          <w:p w14:paraId="20673A97" w14:textId="77777777" w:rsidR="00171B36" w:rsidRDefault="00171B36" w:rsidP="00171B36">
            <w:pPr>
              <w:numPr>
                <w:ilvl w:val="1"/>
                <w:numId w:val="3"/>
              </w:numPr>
              <w:ind w:left="836" w:hanging="425"/>
              <w:jc w:val="both"/>
            </w:pPr>
            <w:r>
              <w:t>odczytanie statusu podpisania dokumentu,</w:t>
            </w:r>
          </w:p>
          <w:p w14:paraId="333F777E" w14:textId="77777777" w:rsidR="00171B36" w:rsidRDefault="00171B36" w:rsidP="00171B36">
            <w:pPr>
              <w:numPr>
                <w:ilvl w:val="1"/>
                <w:numId w:val="3"/>
              </w:numPr>
              <w:ind w:left="836" w:hanging="425"/>
              <w:jc w:val="both"/>
            </w:pPr>
            <w:r>
              <w:t>pobranie podpisanego dokumentu do systemu dziedzinowego</w:t>
            </w:r>
          </w:p>
          <w:p w14:paraId="24D7DEF0" w14:textId="77777777" w:rsidR="00171B36" w:rsidRDefault="00171B36" w:rsidP="00171B36">
            <w:pPr>
              <w:numPr>
                <w:ilvl w:val="0"/>
                <w:numId w:val="3"/>
              </w:numPr>
              <w:tabs>
                <w:tab w:val="clear" w:pos="850"/>
              </w:tabs>
              <w:ind w:left="409" w:hanging="426"/>
              <w:jc w:val="both"/>
            </w:pPr>
            <w:r>
              <w:t>Dostarczone rozwiązanie ma umożliwić znakowanie dokumentów czasem.</w:t>
            </w:r>
          </w:p>
          <w:p w14:paraId="08905F94" w14:textId="77777777" w:rsidR="00171B36" w:rsidRDefault="00171B36" w:rsidP="00171B36">
            <w:pPr>
              <w:numPr>
                <w:ilvl w:val="0"/>
                <w:numId w:val="3"/>
              </w:numPr>
              <w:tabs>
                <w:tab w:val="clear" w:pos="850"/>
              </w:tabs>
              <w:ind w:left="409" w:hanging="426"/>
              <w:jc w:val="both"/>
            </w:pPr>
            <w:r>
              <w:t>Dostarczone rozwiązanie ma umożliwić współpracę z dostarczoną pieczęcią elektroniczną,</w:t>
            </w:r>
          </w:p>
          <w:p w14:paraId="5443B497" w14:textId="34082948" w:rsidR="00171B36" w:rsidRDefault="00171B36" w:rsidP="00171B36">
            <w:pPr>
              <w:numPr>
                <w:ilvl w:val="0"/>
                <w:numId w:val="3"/>
              </w:numPr>
              <w:tabs>
                <w:tab w:val="clear" w:pos="850"/>
              </w:tabs>
              <w:ind w:left="409" w:hanging="426"/>
              <w:jc w:val="both"/>
            </w:pPr>
            <w:r>
              <w:t xml:space="preserve">Dostarczone rozwiązanie ma umożliwić składanie na dostarczonych urządzeniach Certyfikowanego Podpisu Biometrycznego – prawnie skutecznego zaawansowanego podpisu elektronicznego zgodnie z rozporządzeniem Parlamentu Europejskiego i Rady (UE) nr 910/2014 – </w:t>
            </w:r>
            <w:proofErr w:type="spellStart"/>
            <w:r>
              <w:t>eIDAS</w:t>
            </w:r>
            <w:proofErr w:type="spellEnd"/>
            <w:r>
              <w:t>.</w:t>
            </w:r>
          </w:p>
          <w:p w14:paraId="4473F745" w14:textId="77777777" w:rsidR="00171B36" w:rsidRDefault="00171B36" w:rsidP="00171B36">
            <w:pPr>
              <w:numPr>
                <w:ilvl w:val="0"/>
                <w:numId w:val="3"/>
              </w:numPr>
              <w:tabs>
                <w:tab w:val="clear" w:pos="850"/>
              </w:tabs>
              <w:ind w:left="409" w:hanging="426"/>
              <w:jc w:val="both"/>
            </w:pPr>
            <w:r>
              <w:lastRenderedPageBreak/>
              <w:t xml:space="preserve">Dostarczone rozwiązanie musi umożliwić podpisującemu zapoznanie się pełną treścią dokumentu przed jego podpisaniem za pomocą przeglądarki internetowej. Podpisywanie dokumentów nie może wymagać instalacji dodatkowego oprogramowania po stronie klienta. Dostarczone rozwiązanie musi poprawnie współpracować z przeglądarkami Chrome, Edge, </w:t>
            </w:r>
            <w:proofErr w:type="spellStart"/>
            <w:r>
              <w:t>Firefox</w:t>
            </w:r>
            <w:proofErr w:type="spellEnd"/>
            <w:r>
              <w:t>, Opera, Safari w ich najnowszych wersjach.</w:t>
            </w:r>
          </w:p>
          <w:p w14:paraId="2FE1F9EB" w14:textId="77777777" w:rsidR="00171B36" w:rsidRDefault="00171B36" w:rsidP="00171B36">
            <w:pPr>
              <w:numPr>
                <w:ilvl w:val="0"/>
                <w:numId w:val="3"/>
              </w:numPr>
              <w:tabs>
                <w:tab w:val="clear" w:pos="850"/>
              </w:tabs>
              <w:ind w:left="409" w:hanging="426"/>
              <w:jc w:val="both"/>
            </w:pPr>
            <w:r>
              <w:t>Aplikacja służąca podpisywaniu dokumentów za pomocą przeglądarki musi spełniać wymagania dotyczące dostępności co najmniej na poziomie wymaganym przepisami prawa.</w:t>
            </w:r>
          </w:p>
          <w:p w14:paraId="0B3D7CC6" w14:textId="77777777" w:rsidR="00171B36" w:rsidRDefault="00171B36" w:rsidP="00171B36">
            <w:pPr>
              <w:numPr>
                <w:ilvl w:val="0"/>
                <w:numId w:val="3"/>
              </w:numPr>
              <w:tabs>
                <w:tab w:val="clear" w:pos="850"/>
              </w:tabs>
              <w:ind w:left="409" w:hanging="426"/>
              <w:jc w:val="both"/>
            </w:pPr>
            <w:r>
              <w:t>Dostarczone rozwiązanie ma umożliwić przesyłanie podpisanych dokumentów do interesariuszy procesu za pomocą email. Rozwiązanie ma umożliwić włączenie oraz wyłączenie tej funkcjonalności.</w:t>
            </w:r>
          </w:p>
          <w:p w14:paraId="1BFD9BC0" w14:textId="73B42A08" w:rsidR="00171B36" w:rsidRPr="00171B36" w:rsidRDefault="00171B36" w:rsidP="00171B36">
            <w:pPr>
              <w:spacing w:line="360" w:lineRule="auto"/>
              <w:ind w:left="409" w:hanging="426"/>
              <w:jc w:val="both"/>
              <w:rPr>
                <w:rFonts w:ascii="Bahnschrift" w:hAnsi="Bahnschrift" w:cs="Arial"/>
                <w:sz w:val="18"/>
                <w:szCs w:val="18"/>
                <w:lang w:eastAsia="en-US"/>
              </w:rPr>
            </w:pPr>
          </w:p>
        </w:tc>
        <w:tc>
          <w:tcPr>
            <w:tcW w:w="4536" w:type="dxa"/>
            <w:shd w:val="clear" w:color="auto" w:fill="auto"/>
          </w:tcPr>
          <w:p w14:paraId="6B4CDEB4" w14:textId="77777777" w:rsidR="00171B36" w:rsidRPr="00B425E7" w:rsidRDefault="00171B36" w:rsidP="00B13795">
            <w:pPr>
              <w:spacing w:line="360" w:lineRule="auto"/>
              <w:jc w:val="both"/>
              <w:rPr>
                <w:rFonts w:ascii="Bahnschrift" w:hAnsi="Bahnschrift" w:cs="Arial"/>
                <w:bCs/>
                <w:sz w:val="18"/>
                <w:szCs w:val="18"/>
                <w:lang w:eastAsia="en-US"/>
              </w:rPr>
            </w:pPr>
          </w:p>
          <w:p w14:paraId="7F0883F1" w14:textId="77777777" w:rsidR="00171B36" w:rsidRPr="00B425E7" w:rsidRDefault="00171B36" w:rsidP="00B13795">
            <w:pPr>
              <w:spacing w:line="360" w:lineRule="auto"/>
              <w:jc w:val="both"/>
              <w:rPr>
                <w:rFonts w:ascii="Bahnschrift" w:hAnsi="Bahnschrift" w:cs="Arial"/>
                <w:bCs/>
                <w:sz w:val="18"/>
                <w:szCs w:val="18"/>
                <w:lang w:eastAsia="en-US"/>
              </w:rPr>
            </w:pPr>
          </w:p>
        </w:tc>
      </w:tr>
      <w:tr w:rsidR="00171B36" w:rsidRPr="00B425E7" w14:paraId="7044419E" w14:textId="77777777" w:rsidTr="00171B36">
        <w:trPr>
          <w:trHeight w:val="142"/>
        </w:trPr>
        <w:tc>
          <w:tcPr>
            <w:tcW w:w="5382" w:type="dxa"/>
            <w:shd w:val="clear" w:color="auto" w:fill="FFFFFF"/>
          </w:tcPr>
          <w:p w14:paraId="55C1F05B" w14:textId="77777777" w:rsidR="00171B36" w:rsidRDefault="00171B36" w:rsidP="00171B36">
            <w:pPr>
              <w:numPr>
                <w:ilvl w:val="0"/>
                <w:numId w:val="3"/>
              </w:numPr>
              <w:tabs>
                <w:tab w:val="clear" w:pos="850"/>
              </w:tabs>
              <w:ind w:left="409" w:hanging="426"/>
              <w:jc w:val="both"/>
            </w:pPr>
            <w:r>
              <w:lastRenderedPageBreak/>
              <w:t>Wymagania dotyczące tabletów:</w:t>
            </w:r>
          </w:p>
          <w:p w14:paraId="0C2EB43E" w14:textId="679C3702" w:rsidR="00171B36" w:rsidRDefault="00171B36" w:rsidP="00171B36">
            <w:pPr>
              <w:ind w:left="735" w:hanging="425"/>
              <w:jc w:val="both"/>
            </w:pPr>
            <w:r>
              <w:t xml:space="preserve">11.1 urządzenia mają być wyposażone w rysik oraz mają umożliwić odnotowywanie </w:t>
            </w:r>
            <w:proofErr w:type="spellStart"/>
            <w:r>
              <w:t>biometryczno</w:t>
            </w:r>
            <w:proofErr w:type="spellEnd"/>
            <w:r>
              <w:t xml:space="preserve"> - grafologicznych cech pisma, takich jak: pozycja, prędkość i przyspieszenie ruchu rysika przy składaniu podpisu, nacisk używanego rysika na matrycę,</w:t>
            </w:r>
          </w:p>
          <w:p w14:paraId="76C5788D" w14:textId="0B67B512" w:rsidR="00171B36" w:rsidRDefault="00171B36" w:rsidP="00DC1525">
            <w:pPr>
              <w:pStyle w:val="Akapitzlist"/>
              <w:numPr>
                <w:ilvl w:val="1"/>
                <w:numId w:val="7"/>
              </w:numPr>
              <w:jc w:val="both"/>
            </w:pPr>
            <w:r>
              <w:t>stopień ochrony: IP 68,</w:t>
            </w:r>
          </w:p>
          <w:p w14:paraId="10AEA4BF" w14:textId="1128F1E1" w:rsidR="00171B36" w:rsidRPr="00294140" w:rsidRDefault="00DC1525" w:rsidP="00DC1525">
            <w:pPr>
              <w:ind w:left="735" w:hanging="425"/>
              <w:jc w:val="both"/>
            </w:pPr>
            <w:r>
              <w:t xml:space="preserve">11.3 </w:t>
            </w:r>
            <w:r w:rsidR="00171B36">
              <w:t>procesor: p</w:t>
            </w:r>
            <w:r w:rsidR="00171B36" w:rsidRPr="00294140">
              <w:t xml:space="preserve">rocesor powinien osiągać w teście wydajności </w:t>
            </w:r>
            <w:proofErr w:type="spellStart"/>
            <w:r w:rsidR="00171B36" w:rsidRPr="00294140">
              <w:t>PassMark</w:t>
            </w:r>
            <w:proofErr w:type="spellEnd"/>
            <w:r w:rsidR="00171B36" w:rsidRPr="00294140">
              <w:t xml:space="preserve"> Performance Test co najmniej wynik 5600 punktów </w:t>
            </w:r>
            <w:proofErr w:type="spellStart"/>
            <w:r w:rsidR="00171B36" w:rsidRPr="00294140">
              <w:t>PassMark</w:t>
            </w:r>
            <w:proofErr w:type="spellEnd"/>
            <w:r w:rsidR="00171B36" w:rsidRPr="00294140">
              <w:t xml:space="preserve"> CPU Mark</w:t>
            </w:r>
            <w:r w:rsidR="00171B36">
              <w:t xml:space="preserve"> </w:t>
            </w:r>
            <w:r w:rsidR="00171B36">
              <w:rPr>
                <w:rStyle w:val="Odwoanieprzypisudolnego"/>
              </w:rPr>
              <w:footnoteReference w:id="1"/>
            </w:r>
          </w:p>
          <w:p w14:paraId="16F3000B" w14:textId="710EDD50" w:rsidR="00171B36" w:rsidRDefault="00DC1525" w:rsidP="00DC1525">
            <w:pPr>
              <w:pStyle w:val="Akapitzlist"/>
              <w:numPr>
                <w:ilvl w:val="1"/>
                <w:numId w:val="8"/>
              </w:numPr>
              <w:ind w:hanging="65"/>
              <w:jc w:val="both"/>
            </w:pPr>
            <w:r>
              <w:t xml:space="preserve"> </w:t>
            </w:r>
            <w:r w:rsidR="00171B36">
              <w:t>wielkość ekranu (minimum): 10,1 cala,</w:t>
            </w:r>
          </w:p>
          <w:p w14:paraId="03555282" w14:textId="624D2BD0" w:rsidR="00171B36" w:rsidRDefault="00DC1525" w:rsidP="00DC1525">
            <w:pPr>
              <w:numPr>
                <w:ilvl w:val="1"/>
                <w:numId w:val="8"/>
              </w:numPr>
              <w:ind w:left="310" w:firstLine="1"/>
              <w:jc w:val="both"/>
            </w:pPr>
            <w:r>
              <w:t xml:space="preserve"> </w:t>
            </w:r>
            <w:r w:rsidR="00171B36">
              <w:t>pamięć RAM (minimum): 4 GB,</w:t>
            </w:r>
          </w:p>
          <w:p w14:paraId="7B4AF4A7" w14:textId="4596BE2D" w:rsidR="00171B36" w:rsidRDefault="00DC1525" w:rsidP="00DC1525">
            <w:pPr>
              <w:numPr>
                <w:ilvl w:val="1"/>
                <w:numId w:val="8"/>
              </w:numPr>
              <w:ind w:left="310" w:firstLine="1"/>
              <w:jc w:val="both"/>
            </w:pPr>
            <w:r>
              <w:t xml:space="preserve"> </w:t>
            </w:r>
            <w:r w:rsidR="00171B36">
              <w:t>pamięć urządzenia (minimum): 64 GB,</w:t>
            </w:r>
          </w:p>
          <w:p w14:paraId="0598AA0D" w14:textId="18F9B42E" w:rsidR="00171B36" w:rsidRDefault="00DC1525" w:rsidP="00DC1525">
            <w:pPr>
              <w:numPr>
                <w:ilvl w:val="1"/>
                <w:numId w:val="8"/>
              </w:numPr>
              <w:ind w:left="310" w:firstLine="1"/>
              <w:jc w:val="both"/>
            </w:pPr>
            <w:r>
              <w:t xml:space="preserve"> T</w:t>
            </w:r>
            <w:r w:rsidR="00171B36">
              <w:t>yp ekranu: TFT,</w:t>
            </w:r>
          </w:p>
          <w:p w14:paraId="4CC0772F" w14:textId="3E81FB70" w:rsidR="00171B36" w:rsidRDefault="00DC1525" w:rsidP="00DC1525">
            <w:pPr>
              <w:numPr>
                <w:ilvl w:val="1"/>
                <w:numId w:val="8"/>
              </w:numPr>
              <w:ind w:left="310" w:firstLine="1"/>
              <w:jc w:val="both"/>
            </w:pPr>
            <w:r>
              <w:t xml:space="preserve"> </w:t>
            </w:r>
            <w:r w:rsidR="00171B36">
              <w:t>rozdzielczość ekranu (minimum): 1920 x 1200,</w:t>
            </w:r>
          </w:p>
          <w:p w14:paraId="0EA92456" w14:textId="1B97D068" w:rsidR="00171B36" w:rsidRDefault="00DC1525" w:rsidP="00DC1525">
            <w:pPr>
              <w:numPr>
                <w:ilvl w:val="1"/>
                <w:numId w:val="8"/>
              </w:numPr>
              <w:ind w:left="310" w:firstLine="1"/>
              <w:jc w:val="both"/>
            </w:pPr>
            <w:r>
              <w:t xml:space="preserve"> </w:t>
            </w:r>
            <w:r w:rsidR="00171B36">
              <w:t>sieć: Wi-Fi 802.11 a/b/g/n/</w:t>
            </w:r>
            <w:proofErr w:type="spellStart"/>
            <w:r w:rsidR="00171B36">
              <w:t>ac</w:t>
            </w:r>
            <w:proofErr w:type="spellEnd"/>
            <w:r w:rsidR="00171B36">
              <w:t>/</w:t>
            </w:r>
            <w:proofErr w:type="spellStart"/>
            <w:r w:rsidR="00171B36">
              <w:t>ax</w:t>
            </w:r>
            <w:proofErr w:type="spellEnd"/>
            <w:r w:rsidR="00171B36">
              <w:t xml:space="preserve"> 2.4G+5GHz, HE80, MIMO, 1024-QAM, moduł Bluetooth 5.2</w:t>
            </w:r>
          </w:p>
          <w:p w14:paraId="09E3BE0E" w14:textId="73A4C480" w:rsidR="00171B36" w:rsidRDefault="00171B36" w:rsidP="00DC1525">
            <w:pPr>
              <w:pStyle w:val="Akapitzlist"/>
              <w:numPr>
                <w:ilvl w:val="1"/>
                <w:numId w:val="8"/>
              </w:numPr>
              <w:ind w:left="877" w:hanging="567"/>
              <w:jc w:val="both"/>
            </w:pPr>
            <w:r>
              <w:t xml:space="preserve">czujniki: akcelerometr, czujnik Halla, czujnik światła, czujnik żyroskopowy, czujnik koloru RGB, czujnik chwytu, czujnik zbliżeniowy, </w:t>
            </w:r>
          </w:p>
          <w:p w14:paraId="00FEC527" w14:textId="549983E7" w:rsidR="00171B36" w:rsidRDefault="00171B36" w:rsidP="00DC1525">
            <w:pPr>
              <w:pStyle w:val="Akapitzlist"/>
              <w:numPr>
                <w:ilvl w:val="1"/>
                <w:numId w:val="8"/>
              </w:numPr>
              <w:ind w:left="877" w:hanging="567"/>
              <w:jc w:val="both"/>
            </w:pPr>
            <w:r>
              <w:t>system operacyjny: Android 12 lub nowszy</w:t>
            </w:r>
          </w:p>
          <w:p w14:paraId="48DE2722" w14:textId="77777777" w:rsidR="00171B36" w:rsidRDefault="00171B36" w:rsidP="00DC1525">
            <w:pPr>
              <w:numPr>
                <w:ilvl w:val="1"/>
                <w:numId w:val="8"/>
              </w:numPr>
              <w:ind w:left="877" w:hanging="566"/>
              <w:jc w:val="both"/>
            </w:pPr>
            <w:r>
              <w:lastRenderedPageBreak/>
              <w:t xml:space="preserve">aparat fotograficzny (minimum): 8.0 </w:t>
            </w:r>
            <w:proofErr w:type="spellStart"/>
            <w:r>
              <w:t>Mpix</w:t>
            </w:r>
            <w:proofErr w:type="spellEnd"/>
            <w:r>
              <w:t xml:space="preserve"> – przód, 13.0 </w:t>
            </w:r>
            <w:proofErr w:type="spellStart"/>
            <w:r>
              <w:t>Mpix</w:t>
            </w:r>
            <w:proofErr w:type="spellEnd"/>
            <w:r>
              <w:t xml:space="preserve"> – tył,</w:t>
            </w:r>
          </w:p>
          <w:p w14:paraId="0D902583" w14:textId="77777777" w:rsidR="00171B36" w:rsidRDefault="00171B36" w:rsidP="00DC1525">
            <w:pPr>
              <w:numPr>
                <w:ilvl w:val="1"/>
                <w:numId w:val="8"/>
              </w:numPr>
              <w:ind w:left="877" w:hanging="566"/>
              <w:jc w:val="both"/>
            </w:pPr>
            <w:r>
              <w:t>dodatkowe cechy: wbudowane głośniki stereo, mikrofon,</w:t>
            </w:r>
          </w:p>
          <w:p w14:paraId="6DFBCF94" w14:textId="77777777" w:rsidR="00171B36" w:rsidRDefault="00171B36" w:rsidP="00DC1525">
            <w:pPr>
              <w:numPr>
                <w:ilvl w:val="1"/>
                <w:numId w:val="8"/>
              </w:numPr>
              <w:ind w:left="735" w:hanging="567"/>
              <w:jc w:val="both"/>
            </w:pPr>
            <w:r>
              <w:t>obudowa: metalowa w kolorze czarnym, srebrnym lub szarym (metalicznym),</w:t>
            </w:r>
          </w:p>
          <w:p w14:paraId="70575B6C" w14:textId="77777777" w:rsidR="00171B36" w:rsidRDefault="00171B36" w:rsidP="00DC1525">
            <w:pPr>
              <w:numPr>
                <w:ilvl w:val="1"/>
                <w:numId w:val="8"/>
              </w:numPr>
              <w:ind w:left="735" w:hanging="567"/>
              <w:jc w:val="both"/>
            </w:pPr>
            <w:r>
              <w:t>waga: nie więcej niż 700g,</w:t>
            </w:r>
          </w:p>
          <w:p w14:paraId="625B2569" w14:textId="77777777" w:rsidR="00171B36" w:rsidRDefault="00171B36" w:rsidP="00DC1525">
            <w:pPr>
              <w:numPr>
                <w:ilvl w:val="1"/>
                <w:numId w:val="8"/>
              </w:numPr>
              <w:ind w:left="735" w:hanging="567"/>
              <w:jc w:val="both"/>
            </w:pPr>
            <w:r>
              <w:t>bateria o pojemności co najmniej 7600mAg lub umożliwiającą pracę przez co najmniej 14 godzin (transmisja WI-FI, odtwarzanie video),</w:t>
            </w:r>
          </w:p>
          <w:p w14:paraId="5DB70BA1" w14:textId="77777777" w:rsidR="00171B36" w:rsidRDefault="00171B36" w:rsidP="00DC1525">
            <w:pPr>
              <w:numPr>
                <w:ilvl w:val="1"/>
                <w:numId w:val="8"/>
              </w:numPr>
              <w:ind w:left="735" w:hanging="567"/>
              <w:jc w:val="both"/>
            </w:pPr>
            <w:r>
              <w:t>tablet ma umożliwiać pracę wyłącznie w oparciu o zasilanie sieciowe,</w:t>
            </w:r>
          </w:p>
          <w:p w14:paraId="5245FB33" w14:textId="77777777" w:rsidR="00171B36" w:rsidRDefault="00171B36" w:rsidP="00DC1525">
            <w:pPr>
              <w:numPr>
                <w:ilvl w:val="1"/>
                <w:numId w:val="8"/>
              </w:numPr>
              <w:ind w:left="735" w:hanging="567"/>
              <w:jc w:val="both"/>
            </w:pPr>
            <w:r>
              <w:t>do tabletu ma być dołączony rysik oraz etui w kolorze czarnym lub szarym umożliwiające ochronę urządzenia oraz jego ekranu,</w:t>
            </w:r>
          </w:p>
          <w:p w14:paraId="61C2B9F4" w14:textId="77777777" w:rsidR="00171B36" w:rsidRDefault="00171B36" w:rsidP="00DC1525">
            <w:pPr>
              <w:numPr>
                <w:ilvl w:val="1"/>
                <w:numId w:val="8"/>
              </w:numPr>
              <w:ind w:left="735" w:hanging="567"/>
              <w:jc w:val="both"/>
            </w:pPr>
            <w:r>
              <w:t xml:space="preserve">złącza: USB 3.2, czytnik kart pamięci </w:t>
            </w:r>
            <w:proofErr w:type="spellStart"/>
            <w:r>
              <w:t>microSD</w:t>
            </w:r>
            <w:proofErr w:type="spellEnd"/>
            <w:r>
              <w:t>,</w:t>
            </w:r>
          </w:p>
          <w:p w14:paraId="349D5CEE" w14:textId="780F694A" w:rsidR="00171B36" w:rsidRPr="00DC1525" w:rsidRDefault="00171B36" w:rsidP="00DC1525">
            <w:pPr>
              <w:numPr>
                <w:ilvl w:val="1"/>
                <w:numId w:val="8"/>
              </w:numPr>
              <w:ind w:left="735" w:hanging="567"/>
              <w:jc w:val="both"/>
            </w:pPr>
            <w:r>
              <w:t>do tabletów ma być dołączony system umożliwiający zdalne zarządzanie urządzeniami, ich aktualizacją oraz uprawnieniami użytkowników. System ma umożliwić ograniczenie dostępu do danych oraz usunięcie z urządzenia w przypadku kradzieży urządzenia.</w:t>
            </w:r>
          </w:p>
        </w:tc>
        <w:tc>
          <w:tcPr>
            <w:tcW w:w="4536" w:type="dxa"/>
            <w:shd w:val="clear" w:color="auto" w:fill="auto"/>
          </w:tcPr>
          <w:p w14:paraId="2B1A8CD4" w14:textId="77777777" w:rsidR="00171B36" w:rsidRDefault="00171B36" w:rsidP="00B13795">
            <w:pPr>
              <w:spacing w:line="360" w:lineRule="auto"/>
              <w:rPr>
                <w:rFonts w:ascii="Bahnschrift" w:hAnsi="Bahnschrift"/>
                <w:sz w:val="18"/>
                <w:szCs w:val="18"/>
              </w:rPr>
            </w:pPr>
          </w:p>
          <w:p w14:paraId="7A50CBAC" w14:textId="77777777" w:rsidR="00171B36" w:rsidRDefault="00171B36" w:rsidP="00B13795">
            <w:pPr>
              <w:spacing w:line="360" w:lineRule="auto"/>
              <w:rPr>
                <w:rFonts w:ascii="Bahnschrift" w:hAnsi="Bahnschrift"/>
                <w:sz w:val="18"/>
                <w:szCs w:val="18"/>
              </w:rPr>
            </w:pPr>
          </w:p>
          <w:p w14:paraId="5F28D483" w14:textId="77777777" w:rsidR="00171B36" w:rsidRDefault="00171B36" w:rsidP="00B13795">
            <w:pPr>
              <w:spacing w:line="360" w:lineRule="auto"/>
              <w:rPr>
                <w:rFonts w:ascii="Bahnschrift" w:hAnsi="Bahnschrift"/>
                <w:sz w:val="18"/>
                <w:szCs w:val="18"/>
              </w:rPr>
            </w:pPr>
          </w:p>
          <w:p w14:paraId="51597E23" w14:textId="77777777" w:rsidR="00171B36" w:rsidRDefault="00171B36" w:rsidP="00B13795">
            <w:pPr>
              <w:spacing w:line="360" w:lineRule="auto"/>
              <w:rPr>
                <w:rFonts w:ascii="Bahnschrift" w:hAnsi="Bahnschrift"/>
                <w:sz w:val="18"/>
                <w:szCs w:val="18"/>
              </w:rPr>
            </w:pPr>
          </w:p>
          <w:p w14:paraId="172975BF" w14:textId="77777777" w:rsidR="00171B36" w:rsidRDefault="00171B36" w:rsidP="00B13795">
            <w:pPr>
              <w:spacing w:line="360" w:lineRule="auto"/>
              <w:rPr>
                <w:rFonts w:ascii="Bahnschrift" w:hAnsi="Bahnschrift"/>
                <w:sz w:val="18"/>
                <w:szCs w:val="18"/>
              </w:rPr>
            </w:pPr>
          </w:p>
          <w:p w14:paraId="3435F555" w14:textId="77777777" w:rsidR="00171B36" w:rsidRDefault="00171B36" w:rsidP="00B13795">
            <w:pPr>
              <w:spacing w:line="360" w:lineRule="auto"/>
              <w:rPr>
                <w:rFonts w:ascii="Bahnschrift" w:hAnsi="Bahnschrift"/>
                <w:sz w:val="18"/>
                <w:szCs w:val="18"/>
              </w:rPr>
            </w:pPr>
          </w:p>
          <w:p w14:paraId="5F4C7BA2" w14:textId="77777777" w:rsidR="00171B36" w:rsidRDefault="00171B36" w:rsidP="00B13795">
            <w:pPr>
              <w:spacing w:line="360" w:lineRule="auto"/>
              <w:rPr>
                <w:rFonts w:ascii="Bahnschrift" w:hAnsi="Bahnschrift"/>
                <w:sz w:val="18"/>
                <w:szCs w:val="18"/>
              </w:rPr>
            </w:pPr>
          </w:p>
          <w:p w14:paraId="1B6AB713" w14:textId="77777777" w:rsidR="00DC1525" w:rsidRDefault="00DC1525" w:rsidP="00B13795">
            <w:pPr>
              <w:spacing w:line="360" w:lineRule="auto"/>
              <w:rPr>
                <w:rFonts w:ascii="Bahnschrift" w:hAnsi="Bahnschrift"/>
                <w:sz w:val="18"/>
                <w:szCs w:val="18"/>
              </w:rPr>
            </w:pPr>
          </w:p>
          <w:p w14:paraId="1FDCAF78" w14:textId="41583BFE" w:rsidR="00171B36" w:rsidRPr="00B425E7" w:rsidRDefault="00171B36" w:rsidP="00EC4C4D">
            <w:pPr>
              <w:spacing w:line="360" w:lineRule="auto"/>
              <w:rPr>
                <w:rFonts w:ascii="Bahnschrift" w:hAnsi="Bahnschrift" w:cs="Arial"/>
                <w:bCs/>
                <w:sz w:val="18"/>
                <w:szCs w:val="18"/>
                <w:lang w:eastAsia="en-US"/>
              </w:rPr>
            </w:pPr>
          </w:p>
        </w:tc>
      </w:tr>
    </w:tbl>
    <w:p w14:paraId="3080DC4B" w14:textId="77777777" w:rsidR="00294140" w:rsidRDefault="00294140" w:rsidP="00294140">
      <w:pPr>
        <w:jc w:val="both"/>
      </w:pPr>
    </w:p>
    <w:p w14:paraId="1D8B1010" w14:textId="77777777" w:rsidR="00361A05" w:rsidRPr="00437B91" w:rsidRDefault="001E38D5" w:rsidP="00DC1525">
      <w:pPr>
        <w:numPr>
          <w:ilvl w:val="0"/>
          <w:numId w:val="9"/>
        </w:numPr>
        <w:jc w:val="both"/>
      </w:pPr>
      <w:r w:rsidRPr="00437B91">
        <w:t>Licencje</w:t>
      </w:r>
    </w:p>
    <w:p w14:paraId="7AF3F32D" w14:textId="77777777" w:rsidR="00361A05" w:rsidRPr="00437B91" w:rsidRDefault="001E38D5" w:rsidP="00DC1525">
      <w:pPr>
        <w:numPr>
          <w:ilvl w:val="1"/>
          <w:numId w:val="9"/>
        </w:numPr>
        <w:ind w:left="851" w:hanging="425"/>
        <w:jc w:val="both"/>
      </w:pPr>
      <w:bookmarkStart w:id="1" w:name="_Hlk143851235"/>
      <w:r w:rsidRPr="00437B91">
        <w:t>Wykonawca dostarczy wszystkie niezbędne do uruchomienia systemu licencje – wliczając w to również licencje systemu operacyjnego, bazy danych oraz pozostałych składników oprogramowania systemowego niezbędnych do prawidłowego funkcjonowania dostarczonego rozwiązania.</w:t>
      </w:r>
    </w:p>
    <w:p w14:paraId="7BC4FC7B" w14:textId="77777777" w:rsidR="00361A05" w:rsidRPr="00437B91" w:rsidRDefault="001E38D5" w:rsidP="00DC1525">
      <w:pPr>
        <w:numPr>
          <w:ilvl w:val="1"/>
          <w:numId w:val="9"/>
        </w:numPr>
        <w:ind w:left="851" w:hanging="425"/>
        <w:jc w:val="both"/>
      </w:pPr>
      <w:r w:rsidRPr="00437B91">
        <w:t>Wykonawca dostarczy wieczyste licencje rozwiązania z prawem do aktualizacji składników rozwiązania do najnowszych wersji oprogramowania w okresie trwania gwarancji.</w:t>
      </w:r>
    </w:p>
    <w:bookmarkEnd w:id="1"/>
    <w:p w14:paraId="4F16F3B1" w14:textId="77777777" w:rsidR="00361A05" w:rsidRDefault="001E38D5" w:rsidP="00DC1525">
      <w:pPr>
        <w:numPr>
          <w:ilvl w:val="0"/>
          <w:numId w:val="9"/>
        </w:numPr>
        <w:jc w:val="both"/>
      </w:pPr>
      <w:r>
        <w:t>Wdrożenie</w:t>
      </w:r>
    </w:p>
    <w:p w14:paraId="3E8FB4A1" w14:textId="77777777" w:rsidR="00361A05" w:rsidRDefault="001E38D5" w:rsidP="00DC1525">
      <w:pPr>
        <w:numPr>
          <w:ilvl w:val="1"/>
          <w:numId w:val="9"/>
        </w:numPr>
        <w:ind w:left="851" w:hanging="425"/>
        <w:jc w:val="both"/>
      </w:pPr>
      <w:bookmarkStart w:id="2" w:name="_Hlk143851505"/>
      <w:r>
        <w:t>W terminie do 3 dni roboczych od momentu podpisania umowy, Wykonawca wskaże kierownika projektu oraz zespół projektowy. Zamawiający w tym samym terminie wskaże kierownika projektu ze strony Zamawiającego oraz 3 osobowy zespół projektowy.</w:t>
      </w:r>
    </w:p>
    <w:p w14:paraId="2A114A79" w14:textId="77777777" w:rsidR="00361A05" w:rsidRDefault="001E38D5" w:rsidP="00DC1525">
      <w:pPr>
        <w:numPr>
          <w:ilvl w:val="1"/>
          <w:numId w:val="9"/>
        </w:numPr>
        <w:ind w:left="851" w:hanging="425"/>
        <w:jc w:val="both"/>
      </w:pPr>
      <w:r>
        <w:t>Rolę Komitetu Sterującego będzie pełnił Pełnomocnik Rektora ds. Cyfryzacji, Dyrektor ds. Informatyzacji, Kierownik projektu ze strony Zamawiającego, Kierownik projektu ze strony Wykonawcy oraz dwóch przedstawicieli wskazanych przez Wykonawcę.</w:t>
      </w:r>
    </w:p>
    <w:p w14:paraId="7462D075" w14:textId="77777777" w:rsidR="00361A05" w:rsidRDefault="001E38D5" w:rsidP="00DC1525">
      <w:pPr>
        <w:numPr>
          <w:ilvl w:val="1"/>
          <w:numId w:val="9"/>
        </w:numPr>
        <w:ind w:left="851" w:hanging="425"/>
        <w:jc w:val="both"/>
      </w:pPr>
      <w:r>
        <w:t>Wdrożenie rozwiązania nastąpi do 60 dni od momentu podpisania umowy.</w:t>
      </w:r>
    </w:p>
    <w:p w14:paraId="0DE403CE" w14:textId="343C9EB7" w:rsidR="00361A05" w:rsidRPr="00A85C07" w:rsidRDefault="00A85C07" w:rsidP="00DC1525">
      <w:pPr>
        <w:numPr>
          <w:ilvl w:val="1"/>
          <w:numId w:val="9"/>
        </w:numPr>
        <w:ind w:left="851" w:hanging="425"/>
        <w:jc w:val="both"/>
        <w:rPr>
          <w:b/>
        </w:rPr>
      </w:pPr>
      <w:bookmarkStart w:id="3" w:name="_Hlk146278363"/>
      <w:r w:rsidRPr="00A85C07">
        <w:rPr>
          <w:b/>
        </w:rPr>
        <w:t>Wykonawca przekaże w terminie do 40 dni od daty zawarcia Umowy paczki wdrożeniowe Rozwiązania. Zamawiający w ciągu 3 dni roboczych zgłosi uwagi lub zaakceptuje paczki wdrożeniowe. W przypadku uwag Wykonawca w ciągu 3 dni roboczych odniesie się do nich i naniesie korektę do koncepcji zgłaszając ją ponownie do odbioru</w:t>
      </w:r>
      <w:bookmarkEnd w:id="3"/>
      <w:r w:rsidR="001E38D5" w:rsidRPr="00A85C07">
        <w:rPr>
          <w:b/>
        </w:rPr>
        <w:t>.</w:t>
      </w:r>
    </w:p>
    <w:p w14:paraId="7F72AD81" w14:textId="77777777" w:rsidR="00361A05" w:rsidRDefault="001E38D5" w:rsidP="00DC1525">
      <w:pPr>
        <w:numPr>
          <w:ilvl w:val="1"/>
          <w:numId w:val="9"/>
        </w:numPr>
        <w:ind w:left="851" w:hanging="425"/>
        <w:jc w:val="both"/>
      </w:pPr>
      <w:r>
        <w:t xml:space="preserve">Wykonawca przeszkoli dwóch pracowników Zamawiającego w zakresie administrowania dostarczonym rozwiązaniem. Szkolenie ma dobyć się w wymiarze co najmniej 8 godzin w okresie wdrożenia. </w:t>
      </w:r>
    </w:p>
    <w:p w14:paraId="6D772C7D" w14:textId="77777777" w:rsidR="00361A05" w:rsidRDefault="001E38D5" w:rsidP="00DC1525">
      <w:pPr>
        <w:numPr>
          <w:ilvl w:val="1"/>
          <w:numId w:val="9"/>
        </w:numPr>
        <w:ind w:left="851" w:hanging="425"/>
        <w:jc w:val="both"/>
      </w:pPr>
      <w:r>
        <w:lastRenderedPageBreak/>
        <w:t>Wykonawca udostępni Zamawiającemu dokumentację do wdrażanego rozwiązania, dokumentację powdrożeniową oraz dokumentację do API rozwiązania umożliwiającego integrację z systemami dziedzinowymi Zamawiającego.</w:t>
      </w:r>
    </w:p>
    <w:p w14:paraId="0FF2B6B7" w14:textId="0D68B6FF" w:rsidR="00361A05" w:rsidRPr="00A85C07" w:rsidRDefault="00A85C07" w:rsidP="00A85C07">
      <w:pPr>
        <w:numPr>
          <w:ilvl w:val="1"/>
          <w:numId w:val="9"/>
        </w:numPr>
        <w:ind w:left="851" w:hanging="425"/>
        <w:jc w:val="both"/>
        <w:rPr>
          <w:b/>
        </w:rPr>
      </w:pPr>
      <w:bookmarkStart w:id="4" w:name="_Hlk146278625"/>
      <w:r w:rsidRPr="00A85C07">
        <w:rPr>
          <w:b/>
        </w:rPr>
        <w:t>Dokumentacja udostępniona przez Wykonawcę musi zawierać opisy procedur związanych z uruchomieniem usług systemu, diagnostyką poprawnego działania, aktualizacją platformy, integracją z systemami dziedzinowymi, usługami zewnętrznymi, diagnozowaniem błędów, rozwiązywaniem typowych problemów</w:t>
      </w:r>
      <w:bookmarkEnd w:id="4"/>
      <w:r w:rsidR="001E38D5" w:rsidRPr="00A85C07">
        <w:rPr>
          <w:b/>
        </w:rPr>
        <w:t>.</w:t>
      </w:r>
    </w:p>
    <w:bookmarkEnd w:id="2"/>
    <w:p w14:paraId="6D585555" w14:textId="786BC82A" w:rsidR="00361A05" w:rsidRPr="004D1ABB" w:rsidRDefault="001E38D5" w:rsidP="00DC1525">
      <w:pPr>
        <w:numPr>
          <w:ilvl w:val="0"/>
          <w:numId w:val="9"/>
        </w:numPr>
      </w:pPr>
      <w:r w:rsidRPr="004D1ABB">
        <w:t>Gwarancja</w:t>
      </w:r>
      <w:r w:rsidR="004C5165" w:rsidRPr="004D1ABB">
        <w:t xml:space="preserve"> (wsparcie techniczne)</w:t>
      </w:r>
    </w:p>
    <w:p w14:paraId="70CE8953" w14:textId="5FBE42EE" w:rsidR="00361A05" w:rsidRPr="00A85C07" w:rsidRDefault="00A85C07" w:rsidP="00A85C07">
      <w:pPr>
        <w:numPr>
          <w:ilvl w:val="1"/>
          <w:numId w:val="9"/>
        </w:numPr>
        <w:ind w:left="851" w:hanging="425"/>
        <w:jc w:val="both"/>
        <w:rPr>
          <w:b/>
        </w:rPr>
      </w:pPr>
      <w:bookmarkStart w:id="5" w:name="_Hlk143854962"/>
      <w:bookmarkStart w:id="6" w:name="_Hlk146278924"/>
      <w:r w:rsidRPr="00A85C07">
        <w:rPr>
          <w:b/>
        </w:rPr>
        <w:t>Wykonawca zapewni dostępność usług podpisu, pieczętowania oraz znakowania czasem na poziomie 95% w skali miesiąca kalendarzowego (Wskazane poziomy dostępności nie obejmują cyklicznych przerw technicznych realizowanych 20stego dnia każdego miesiąca w godzinach 23:30 - 00:30 oraz planowanych przerw, o których Wykonawca każdorazowo powiadomi Zamawiającego przed ich rozpoczęciem oraz nieplanowanych przerw wynikających z konieczności przeciwdziałaniu możliwości wystąpienia awarii o których Dostawca każdorazowi powiadomi Zamawiającego przed ich rozpoczęciem)</w:t>
      </w:r>
      <w:bookmarkEnd w:id="6"/>
    </w:p>
    <w:bookmarkEnd w:id="5"/>
    <w:p w14:paraId="3E772146" w14:textId="6429EC77" w:rsidR="00361A05" w:rsidRPr="00A85C07" w:rsidRDefault="00A85C07" w:rsidP="00A85C07">
      <w:pPr>
        <w:numPr>
          <w:ilvl w:val="1"/>
          <w:numId w:val="9"/>
        </w:numPr>
        <w:ind w:left="851" w:hanging="425"/>
        <w:jc w:val="both"/>
        <w:rPr>
          <w:b/>
        </w:rPr>
      </w:pPr>
      <w:r w:rsidRPr="00A85C07">
        <w:rPr>
          <w:b/>
        </w:rPr>
        <w:t>Czasy reakcji na błędy (Usługi podpisu, pieczętowania oraz znakowania czasem)</w:t>
      </w:r>
      <w:r w:rsidR="001E38D5" w:rsidRPr="00A85C07">
        <w:rPr>
          <w:b/>
        </w:rPr>
        <w:t>:</w:t>
      </w:r>
    </w:p>
    <w:p w14:paraId="360D9480" w14:textId="77777777" w:rsidR="00A85C07" w:rsidRPr="00A85C07" w:rsidRDefault="00A85C07" w:rsidP="00A85C07">
      <w:pPr>
        <w:pStyle w:val="Akapitzlist"/>
        <w:numPr>
          <w:ilvl w:val="2"/>
          <w:numId w:val="9"/>
        </w:numPr>
        <w:autoSpaceDE w:val="0"/>
        <w:autoSpaceDN w:val="0"/>
        <w:adjustRightInd w:val="0"/>
        <w:ind w:left="1418" w:hanging="567"/>
        <w:jc w:val="both"/>
        <w:rPr>
          <w:rFonts w:cstheme="minorHAnsi"/>
          <w:b/>
          <w:szCs w:val="22"/>
        </w:rPr>
      </w:pPr>
      <w:bookmarkStart w:id="7" w:name="_Hlk143855013"/>
      <w:r w:rsidRPr="00A85C07">
        <w:rPr>
          <w:rFonts w:cstheme="minorHAnsi"/>
          <w:b/>
          <w:szCs w:val="22"/>
        </w:rPr>
        <w:t>w przypadku awarii (</w:t>
      </w:r>
      <w:r w:rsidRPr="00A85C07">
        <w:rPr>
          <w:rFonts w:cstheme="minorHAnsi"/>
          <w:b/>
          <w:szCs w:val="22"/>
          <w:u w:val="single"/>
        </w:rPr>
        <w:t>usługa</w:t>
      </w:r>
      <w:r w:rsidRPr="00A85C07">
        <w:rPr>
          <w:rFonts w:cstheme="minorHAnsi"/>
          <w:b/>
          <w:szCs w:val="22"/>
        </w:rPr>
        <w:t xml:space="preserve"> nie </w:t>
      </w:r>
      <w:r w:rsidRPr="00A85C07">
        <w:rPr>
          <w:rFonts w:cstheme="minorHAnsi"/>
          <w:b/>
          <w:szCs w:val="22"/>
          <w:u w:val="single"/>
        </w:rPr>
        <w:t>działa</w:t>
      </w:r>
      <w:r w:rsidRPr="00A85C07">
        <w:rPr>
          <w:rFonts w:cstheme="minorHAnsi"/>
          <w:b/>
          <w:szCs w:val="22"/>
        </w:rPr>
        <w:t xml:space="preserve">): czas reakcji 1 godzina, czas dostarczenia rozwiązania zastępczego 4 godziny, czas pełnego rozwiązania problemu 16 godzin, </w:t>
      </w:r>
    </w:p>
    <w:p w14:paraId="4206CBF7" w14:textId="77777777" w:rsidR="00A85C07" w:rsidRPr="00A85C07" w:rsidRDefault="00A85C07" w:rsidP="00A85C07">
      <w:pPr>
        <w:pStyle w:val="Akapitzlist"/>
        <w:numPr>
          <w:ilvl w:val="2"/>
          <w:numId w:val="9"/>
        </w:numPr>
        <w:autoSpaceDE w:val="0"/>
        <w:autoSpaceDN w:val="0"/>
        <w:adjustRightInd w:val="0"/>
        <w:ind w:left="1418" w:hanging="567"/>
        <w:jc w:val="both"/>
        <w:rPr>
          <w:rFonts w:cstheme="minorHAnsi"/>
          <w:b/>
          <w:szCs w:val="22"/>
        </w:rPr>
      </w:pPr>
      <w:r w:rsidRPr="00A85C07">
        <w:rPr>
          <w:rFonts w:cstheme="minorHAnsi"/>
          <w:b/>
          <w:szCs w:val="22"/>
        </w:rPr>
        <w:t xml:space="preserve">w przypadku błędu krytycznego (usługa funkcjonuje lecz nie jest możliwe przesyłanie plików lub podpisywanie dokumentów którymkolwiek typem podpisu): czas reakcji 1 godzina, czas dostarczenia rozwiązania zastępczego 8 godzin, czas pełnego rozwiązania problemu 32 godziny, </w:t>
      </w:r>
    </w:p>
    <w:p w14:paraId="19CB97ED" w14:textId="77777777" w:rsidR="00A85C07" w:rsidRPr="00A85C07" w:rsidRDefault="00A85C07" w:rsidP="00A85C07">
      <w:pPr>
        <w:pStyle w:val="Akapitzlist"/>
        <w:numPr>
          <w:ilvl w:val="2"/>
          <w:numId w:val="9"/>
        </w:numPr>
        <w:autoSpaceDE w:val="0"/>
        <w:autoSpaceDN w:val="0"/>
        <w:adjustRightInd w:val="0"/>
        <w:ind w:left="1418" w:hanging="567"/>
        <w:jc w:val="both"/>
        <w:rPr>
          <w:rFonts w:cstheme="minorHAnsi"/>
          <w:b/>
          <w:szCs w:val="22"/>
        </w:rPr>
      </w:pPr>
      <w:r w:rsidRPr="00A85C07">
        <w:rPr>
          <w:rFonts w:cstheme="minorHAnsi"/>
          <w:b/>
          <w:szCs w:val="22"/>
        </w:rPr>
        <w:t xml:space="preserve">w przypadku błędu normalnego (błąd, który wpływa niekorzystnie na funkcjonalność usługi, a korzystanie z niego wymaga dodatkowego nakładu pracy ze strony użytkowników błędy nie uniemożliwiające realizację procesów Zamawiającego za pomocą dostarczonego Rozwiązania): czas reakcji 4 godziny, czas dostarczenia rozwiązania zastępczego 16 godzin, czas pełnego rozwiązania problemu 80 godzin, </w:t>
      </w:r>
    </w:p>
    <w:p w14:paraId="329026BB" w14:textId="77777777" w:rsidR="00A85C07" w:rsidRPr="00A85C07" w:rsidRDefault="00A85C07" w:rsidP="00A85C07">
      <w:pPr>
        <w:pStyle w:val="Akapitzlist"/>
        <w:numPr>
          <w:ilvl w:val="2"/>
          <w:numId w:val="9"/>
        </w:numPr>
        <w:autoSpaceDE w:val="0"/>
        <w:autoSpaceDN w:val="0"/>
        <w:adjustRightInd w:val="0"/>
        <w:ind w:left="1418" w:hanging="567"/>
        <w:jc w:val="both"/>
        <w:rPr>
          <w:rFonts w:cstheme="minorHAnsi"/>
          <w:b/>
          <w:szCs w:val="22"/>
        </w:rPr>
      </w:pPr>
      <w:r w:rsidRPr="00A85C07">
        <w:rPr>
          <w:rFonts w:cstheme="minorHAnsi"/>
          <w:b/>
          <w:szCs w:val="22"/>
        </w:rPr>
        <w:t xml:space="preserve">w przypadku błędu drobnego (pozostałe typy błędów): czas reakcji 4 godziny, czas pełnego rozwiązania problemu 160 godzin. Za czas reakcji uznaje się czas mierzony od zgłoszenia do momentu rozpoczęcia analizy problemu przez Wykonawcę. </w:t>
      </w:r>
    </w:p>
    <w:p w14:paraId="1B5FD17E" w14:textId="4C6CCAAE" w:rsidR="00A85C07" w:rsidRDefault="00A85C07" w:rsidP="00A85C07">
      <w:pPr>
        <w:numPr>
          <w:ilvl w:val="1"/>
          <w:numId w:val="9"/>
        </w:numPr>
        <w:ind w:left="851" w:hanging="425"/>
        <w:jc w:val="both"/>
        <w:rPr>
          <w:b/>
        </w:rPr>
      </w:pPr>
      <w:r w:rsidRPr="00A85C07">
        <w:rPr>
          <w:b/>
        </w:rPr>
        <w:t>Czasy reakcji na błędy (System)</w:t>
      </w:r>
      <w:r>
        <w:rPr>
          <w:b/>
        </w:rPr>
        <w:t>:</w:t>
      </w:r>
    </w:p>
    <w:p w14:paraId="793E1B19" w14:textId="77777777" w:rsidR="00A85C07" w:rsidRPr="00A85C07" w:rsidRDefault="00A85C07" w:rsidP="00A85C07">
      <w:pPr>
        <w:pStyle w:val="Akapitzlist"/>
        <w:numPr>
          <w:ilvl w:val="2"/>
          <w:numId w:val="9"/>
        </w:numPr>
        <w:autoSpaceDE w:val="0"/>
        <w:autoSpaceDN w:val="0"/>
        <w:adjustRightInd w:val="0"/>
        <w:ind w:left="1418" w:hanging="709"/>
        <w:jc w:val="both"/>
        <w:rPr>
          <w:rFonts w:cstheme="minorHAnsi"/>
          <w:b/>
          <w:szCs w:val="22"/>
        </w:rPr>
      </w:pPr>
      <w:r w:rsidRPr="00A85C07">
        <w:rPr>
          <w:rFonts w:cstheme="minorHAnsi"/>
          <w:b/>
          <w:szCs w:val="22"/>
        </w:rPr>
        <w:t xml:space="preserve">w przypadku awarii (rozwiązanie nie działa ): czas reakcji 1 godzina, czas dostarczenia rozwiązania zastępczego oraz czas pełnego rozwiązania problemu zostanie wprowadzone wraz z kolejnym wydaniem wersji Systemu nie później niż w ciągu 1 m-ca od daty identyfikacji błędu potwierdzonego diagnozą Zamawiającego i Wykonawcy, </w:t>
      </w:r>
    </w:p>
    <w:p w14:paraId="5EA28E82" w14:textId="77777777" w:rsidR="00A85C07" w:rsidRPr="00A85C07" w:rsidRDefault="00A85C07" w:rsidP="00A85C07">
      <w:pPr>
        <w:pStyle w:val="Akapitzlist"/>
        <w:numPr>
          <w:ilvl w:val="2"/>
          <w:numId w:val="9"/>
        </w:numPr>
        <w:autoSpaceDE w:val="0"/>
        <w:autoSpaceDN w:val="0"/>
        <w:adjustRightInd w:val="0"/>
        <w:ind w:left="1418" w:hanging="709"/>
        <w:jc w:val="both"/>
        <w:rPr>
          <w:rFonts w:cstheme="minorHAnsi"/>
          <w:b/>
          <w:szCs w:val="22"/>
        </w:rPr>
      </w:pPr>
      <w:r w:rsidRPr="00A85C07">
        <w:rPr>
          <w:rFonts w:cstheme="minorHAnsi"/>
          <w:b/>
          <w:szCs w:val="22"/>
        </w:rPr>
        <w:t xml:space="preserve">w przypadku błędu krytycznego (błąd, który nie powoduje przerwy w pracy Systemu, Błąd krytyczny z punktu widzenia działalności biznesowej Zamawiającego): czas reakcji 1 godzina, czas dostarczenia rozwiązania zastępczego oraz czas pełnego rozwiązania problemu zostanie wprowadzone wraz z kolejnym wydaniem wersji Systemu nie później niż w ciągu 1 m-ca od daty identyfikacji błędu potwierdzonego diagnozą Zamawiającego i Wykonawcy, </w:t>
      </w:r>
    </w:p>
    <w:p w14:paraId="1D41F7F5" w14:textId="77777777" w:rsidR="00A85C07" w:rsidRPr="00A85C07" w:rsidRDefault="00A85C07" w:rsidP="00A85C07">
      <w:pPr>
        <w:pStyle w:val="Akapitzlist"/>
        <w:numPr>
          <w:ilvl w:val="2"/>
          <w:numId w:val="9"/>
        </w:numPr>
        <w:autoSpaceDE w:val="0"/>
        <w:autoSpaceDN w:val="0"/>
        <w:adjustRightInd w:val="0"/>
        <w:ind w:left="1418" w:hanging="709"/>
        <w:jc w:val="both"/>
        <w:rPr>
          <w:rFonts w:cstheme="minorHAnsi"/>
          <w:b/>
          <w:szCs w:val="22"/>
        </w:rPr>
      </w:pPr>
      <w:r w:rsidRPr="00A85C07">
        <w:rPr>
          <w:rFonts w:cstheme="minorHAnsi"/>
          <w:b/>
          <w:szCs w:val="22"/>
        </w:rPr>
        <w:t xml:space="preserve">w przypadku błędu normalnego : czas reakcji 4 godziny, czas dostarczenia rozwiązania zastępczego oraz czas pełnego rozwiązania problemu zostanie wprowadzone wraz z kolejnym wydaniem wersji Systemu nie później niż w ciągu 1 m-ca od daty identyfikacji błędu potwierdzonego diagnozą Zamawiającego i Wykonawcy, </w:t>
      </w:r>
    </w:p>
    <w:p w14:paraId="06D2269B" w14:textId="77777777" w:rsidR="00A85C07" w:rsidRPr="00A85C07" w:rsidRDefault="00A85C07" w:rsidP="00A85C07">
      <w:pPr>
        <w:pStyle w:val="Akapitzlist"/>
        <w:numPr>
          <w:ilvl w:val="2"/>
          <w:numId w:val="9"/>
        </w:numPr>
        <w:autoSpaceDE w:val="0"/>
        <w:autoSpaceDN w:val="0"/>
        <w:adjustRightInd w:val="0"/>
        <w:ind w:left="1418" w:hanging="709"/>
        <w:jc w:val="both"/>
        <w:rPr>
          <w:rFonts w:cstheme="minorHAnsi"/>
          <w:b/>
          <w:szCs w:val="22"/>
        </w:rPr>
      </w:pPr>
      <w:r w:rsidRPr="00A85C07">
        <w:rPr>
          <w:rFonts w:cstheme="minorHAnsi"/>
          <w:b/>
          <w:szCs w:val="22"/>
        </w:rPr>
        <w:lastRenderedPageBreak/>
        <w:t xml:space="preserve"> w przypadku błędu drobnego (pozostałe typy błędów): czas reakcji 4 godziny, czas dostarczenia rozwiązania zastępczego oraz czas pełnego rozwiązania problemu zostanie wprowadzone wraz z kolejnym wydaniem wersji Systemu nie później niż w ciągu 1 m-ca od daty identyfikacji błędu potwierdzonego diagnozą Zamawiającego i Wykonawcy. Za czas reakcji uznaje się czas mierzony od zgłoszenia do momentu rozpoczęcia analizy problemu przez Wykonawcę. </w:t>
      </w:r>
    </w:p>
    <w:p w14:paraId="33E0CE7A" w14:textId="22225D3E" w:rsidR="00361A05" w:rsidRPr="00A85C07" w:rsidRDefault="00A85C07" w:rsidP="00A85C07">
      <w:pPr>
        <w:numPr>
          <w:ilvl w:val="1"/>
          <w:numId w:val="9"/>
        </w:numPr>
        <w:ind w:left="850" w:hanging="425"/>
        <w:jc w:val="both"/>
        <w:rPr>
          <w:b/>
        </w:rPr>
      </w:pPr>
      <w:r w:rsidRPr="00A85C07">
        <w:rPr>
          <w:b/>
        </w:rPr>
        <w:t>Czasy reakcji na błędy liczone są w godzinach roboczych, realizowanych od poniedziałku do piątku w dniach, które ustawowo nie są daniami wolnymi od pracy. Przyjmuje się, że każdego dnia czas pracy ustalony jest w przedziale czasu: 08:00 – 15:30</w:t>
      </w:r>
      <w:r w:rsidR="001E38D5" w:rsidRPr="00A85C07">
        <w:rPr>
          <w:b/>
        </w:rPr>
        <w:t>.</w:t>
      </w:r>
    </w:p>
    <w:p w14:paraId="525DE80D" w14:textId="77777777" w:rsidR="00361A05" w:rsidRDefault="001E38D5" w:rsidP="00DC1525">
      <w:pPr>
        <w:numPr>
          <w:ilvl w:val="1"/>
          <w:numId w:val="9"/>
        </w:numPr>
        <w:ind w:left="851" w:hanging="567"/>
      </w:pPr>
      <w:bookmarkStart w:id="8" w:name="_Hlk143855303"/>
      <w:bookmarkEnd w:id="7"/>
      <w:r>
        <w:t>Zgłoszenie błędów odbywa się za pomocą email lub za pomocą formularza online dostarczonego przez Wykonawcę.</w:t>
      </w:r>
    </w:p>
    <w:bookmarkEnd w:id="8"/>
    <w:p w14:paraId="779C0A5E" w14:textId="77777777" w:rsidR="00361A05" w:rsidRDefault="001E38D5" w:rsidP="00DC1525">
      <w:pPr>
        <w:numPr>
          <w:ilvl w:val="1"/>
          <w:numId w:val="9"/>
        </w:numPr>
        <w:ind w:left="851" w:hanging="567"/>
      </w:pPr>
      <w:r>
        <w:t>Wykonawca jest zobowiązany w okresie gwarancji do:</w:t>
      </w:r>
    </w:p>
    <w:p w14:paraId="0E754695" w14:textId="553E9213" w:rsidR="00361A05" w:rsidRDefault="001E38D5" w:rsidP="00DC1525">
      <w:pPr>
        <w:numPr>
          <w:ilvl w:val="2"/>
          <w:numId w:val="9"/>
        </w:numPr>
        <w:ind w:left="1418" w:hanging="567"/>
      </w:pPr>
      <w:bookmarkStart w:id="9" w:name="_Hlk143853913"/>
      <w:r>
        <w:t>analiz</w:t>
      </w:r>
      <w:r w:rsidR="00437B91">
        <w:t>y</w:t>
      </w:r>
      <w:r>
        <w:t xml:space="preserve"> incydentów bezpieczeństwa,</w:t>
      </w:r>
    </w:p>
    <w:p w14:paraId="060D3CDA" w14:textId="1DAE9C26" w:rsidR="004D1ABB" w:rsidRPr="006C331C" w:rsidRDefault="004D1ABB" w:rsidP="00DC1525">
      <w:pPr>
        <w:numPr>
          <w:ilvl w:val="2"/>
          <w:numId w:val="9"/>
        </w:numPr>
        <w:ind w:left="1418" w:hanging="567"/>
      </w:pPr>
      <w:bookmarkStart w:id="10" w:name="_Hlk144286167"/>
      <w:bookmarkEnd w:id="9"/>
      <w:r w:rsidRPr="006C331C">
        <w:t>realizacji podpisów biometrycznych oraz sms w ramach dostarczanych pakietów</w:t>
      </w:r>
    </w:p>
    <w:p w14:paraId="67A516CD" w14:textId="77777777" w:rsidR="004D1ABB" w:rsidRPr="006C331C" w:rsidRDefault="004D1ABB" w:rsidP="00DC1525">
      <w:pPr>
        <w:numPr>
          <w:ilvl w:val="2"/>
          <w:numId w:val="9"/>
        </w:numPr>
        <w:ind w:left="1418" w:hanging="567"/>
      </w:pPr>
      <w:r w:rsidRPr="006C331C">
        <w:t>świadczenia usługi zaufanej trzeciej strony</w:t>
      </w:r>
    </w:p>
    <w:bookmarkEnd w:id="10"/>
    <w:p w14:paraId="48AB1DDA" w14:textId="77777777" w:rsidR="004D1ABB" w:rsidRDefault="004D1ABB" w:rsidP="004D1ABB"/>
    <w:sectPr w:rsidR="004D1ABB">
      <w:headerReference w:type="default" r:id="rId8"/>
      <w:footerReference w:type="default" r:id="rId9"/>
      <w:pgSz w:w="11906" w:h="16838"/>
      <w:pgMar w:top="1004" w:right="1134" w:bottom="1418" w:left="680" w:header="142" w:footer="476"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43D998" w14:textId="77777777" w:rsidR="00E56581" w:rsidRDefault="001E38D5">
      <w:pPr>
        <w:spacing w:line="240" w:lineRule="auto"/>
      </w:pPr>
      <w:r>
        <w:separator/>
      </w:r>
    </w:p>
  </w:endnote>
  <w:endnote w:type="continuationSeparator" w:id="0">
    <w:p w14:paraId="213141E4" w14:textId="77777777" w:rsidR="00E56581" w:rsidRDefault="001E38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Liberation Sans">
    <w:altName w:val="Arial"/>
    <w:charset w:val="01"/>
    <w:family w:val="roman"/>
    <w:pitch w:val="variable"/>
  </w:font>
  <w:font w:name="PingFang SC">
    <w:panose1 w:val="00000000000000000000"/>
    <w:charset w:val="00"/>
    <w:family w:val="roman"/>
    <w:notTrueType/>
    <w:pitch w:val="default"/>
  </w:font>
  <w:font w:name="Arial Unicode MS">
    <w:altName w:val="Arial"/>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6582333"/>
      <w:docPartObj>
        <w:docPartGallery w:val="Page Numbers (Bottom of Page)"/>
        <w:docPartUnique/>
      </w:docPartObj>
    </w:sdtPr>
    <w:sdtEndPr/>
    <w:sdtContent>
      <w:p w14:paraId="4390BEB3" w14:textId="77777777" w:rsidR="00F62E5B" w:rsidRDefault="001E38D5">
        <w:pPr>
          <w:pStyle w:val="Stopka"/>
          <w:jc w:val="center"/>
          <w:rPr>
            <w:sz w:val="20"/>
            <w:szCs w:val="20"/>
          </w:rPr>
        </w:pPr>
        <w:r>
          <w:rPr>
            <w:noProof/>
          </w:rPr>
          <mc:AlternateContent>
            <mc:Choice Requires="wps">
              <w:drawing>
                <wp:inline distT="0" distB="0" distL="0" distR="0" wp14:anchorId="2A096E2B" wp14:editId="46D421C4">
                  <wp:extent cx="5761355" cy="14605"/>
                  <wp:effectExtent l="0" t="0" r="0" b="0"/>
                  <wp:docPr id="5" name=""/>
                  <wp:cNvGraphicFramePr/>
                  <a:graphic xmlns:a="http://schemas.openxmlformats.org/drawingml/2006/main">
                    <a:graphicData uri="http://schemas.microsoft.com/office/word/2010/wordprocessingShape">
                      <wps:wsp>
                        <wps:cNvSpPr/>
                        <wps:spPr>
                          <a:xfrm>
                            <a:off x="0" y="0"/>
                            <a:ext cx="5760720" cy="14040"/>
                          </a:xfrm>
                          <a:prstGeom prst="rect">
                            <a:avLst/>
                          </a:prstGeom>
                          <a:solidFill>
                            <a:srgbClr val="ACA899"/>
                          </a:solidFill>
                          <a:ln>
                            <a:noFill/>
                          </a:ln>
                        </wps:spPr>
                        <wps:style>
                          <a:lnRef idx="0">
                            <a:scrgbClr r="0" g="0" b="0"/>
                          </a:lnRef>
                          <a:fillRef idx="0">
                            <a:scrgbClr r="0" g="0" b="0"/>
                          </a:fillRef>
                          <a:effectRef idx="0">
                            <a:scrgbClr r="0" g="0" b="0"/>
                          </a:effectRef>
                          <a:fontRef idx="minor"/>
                        </wps:style>
                        <wps:bodyPr/>
                      </wps:wsp>
                    </a:graphicData>
                  </a:graphic>
                </wp:inline>
              </w:drawing>
            </mc:Choice>
            <mc:Fallback>
              <w:pict>
                <v:rect id="shape_0" fillcolor="#aca899" stroked="f" style="position:absolute;margin-left:0pt;margin-top:-1.15pt;width:453.55pt;height:1.05pt;mso-position-vertical:top" wp14:anchorId="729BBACE">
                  <w10:wrap type="none"/>
                  <v:fill o:detectmouseclick="t" type="solid" color2="#535766"/>
                  <v:stroke color="#3465a4" joinstyle="round" endcap="flat"/>
                </v:rect>
              </w:pict>
            </mc:Fallback>
          </mc:AlternateContent>
        </w:r>
        <w:r>
          <w:rPr>
            <w:sz w:val="20"/>
            <w:szCs w:val="20"/>
          </w:rPr>
          <w:t xml:space="preserve"> </w:t>
        </w:r>
      </w:p>
      <w:p w14:paraId="37492D40" w14:textId="5A13C59B" w:rsidR="00361A05" w:rsidRDefault="001E38D5">
        <w:pPr>
          <w:pStyle w:val="Stopka"/>
          <w:jc w:val="center"/>
        </w:pPr>
        <w:r>
          <w:rPr>
            <w:sz w:val="16"/>
            <w:szCs w:val="16"/>
          </w:rPr>
          <w:t>Projekt współfinansowany ze środków Unii Europejskiej w ramach Europejskiego Funduszu Społecznego</w:t>
        </w:r>
      </w:p>
      <w:p w14:paraId="0D59B1BE" w14:textId="77777777" w:rsidR="00361A05" w:rsidRDefault="001E38D5">
        <w:pPr>
          <w:pStyle w:val="Stopka"/>
          <w:jc w:val="center"/>
          <w:rPr>
            <w:sz w:val="20"/>
            <w:szCs w:val="20"/>
          </w:rPr>
        </w:pPr>
        <w:r>
          <w:rPr>
            <w:rFonts w:cs="Arial"/>
            <w:sz w:val="16"/>
            <w:szCs w:val="16"/>
          </w:rPr>
          <w:t>Uniwersytet Śląski w Katowicach, ul. Bankowa 12,  40-007  Katowice,  http://www.us.edu.pl</w:t>
        </w:r>
      </w:p>
    </w:sdtContent>
  </w:sdt>
  <w:p w14:paraId="4504700F" w14:textId="77777777" w:rsidR="00361A05" w:rsidRDefault="00361A05">
    <w:pPr>
      <w:pStyle w:val="Stopka"/>
      <w:jc w:val="cen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14982E" w14:textId="77777777" w:rsidR="00E56581" w:rsidRDefault="001E38D5">
      <w:pPr>
        <w:spacing w:line="240" w:lineRule="auto"/>
      </w:pPr>
      <w:r>
        <w:separator/>
      </w:r>
    </w:p>
  </w:footnote>
  <w:footnote w:type="continuationSeparator" w:id="0">
    <w:p w14:paraId="3B69E1F7" w14:textId="77777777" w:rsidR="00E56581" w:rsidRDefault="001E38D5">
      <w:pPr>
        <w:spacing w:line="240" w:lineRule="auto"/>
      </w:pPr>
      <w:r>
        <w:continuationSeparator/>
      </w:r>
    </w:p>
  </w:footnote>
  <w:footnote w:id="1">
    <w:p w14:paraId="5F048F4F" w14:textId="7CFAF8A2" w:rsidR="00171B36" w:rsidRPr="00A85C07" w:rsidRDefault="00171B36" w:rsidP="00171B36">
      <w:pPr>
        <w:pStyle w:val="Tekstprzypisudolnego"/>
        <w:rPr>
          <w:rFonts w:ascii="Bahnschrift" w:hAnsi="Bahnschrift"/>
          <w:sz w:val="22"/>
          <w:szCs w:val="22"/>
          <w:vertAlign w:val="superscript"/>
        </w:rPr>
      </w:pPr>
      <w:r w:rsidRPr="00A85C07">
        <w:rPr>
          <w:rStyle w:val="Odwoanieprzypisudolnego"/>
          <w:rFonts w:ascii="Bahnschrift" w:hAnsi="Bahnschrift"/>
          <w:sz w:val="22"/>
          <w:szCs w:val="22"/>
        </w:rPr>
        <w:footnoteRef/>
      </w:r>
      <w:r w:rsidRPr="00A85C07">
        <w:rPr>
          <w:rFonts w:ascii="Bahnschrift" w:hAnsi="Bahnschrift"/>
          <w:sz w:val="22"/>
          <w:szCs w:val="22"/>
          <w:vertAlign w:val="superscript"/>
        </w:rPr>
        <w:t xml:space="preserve"> W opisie technicznym należy podać </w:t>
      </w:r>
      <w:r w:rsidR="00EC4C4D" w:rsidRPr="00A85C07">
        <w:rPr>
          <w:rFonts w:ascii="Bahnschrift" w:hAnsi="Bahnschrift"/>
          <w:sz w:val="22"/>
          <w:szCs w:val="22"/>
          <w:vertAlign w:val="superscript"/>
        </w:rPr>
        <w:t xml:space="preserve">wynik testu oraz </w:t>
      </w:r>
      <w:r w:rsidRPr="00A85C07">
        <w:rPr>
          <w:rFonts w:ascii="Bahnschrift" w:hAnsi="Bahnschrift"/>
          <w:sz w:val="22"/>
          <w:szCs w:val="22"/>
          <w:vertAlign w:val="superscript"/>
        </w:rPr>
        <w:t xml:space="preserve">datę wykonania odczytu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FAC01F" w14:textId="77777777" w:rsidR="00361A05" w:rsidRDefault="001E38D5">
    <w:pPr>
      <w:pStyle w:val="Nagwek"/>
    </w:pPr>
    <w:r>
      <w:rPr>
        <w:noProof/>
      </w:rPr>
      <mc:AlternateContent>
        <mc:Choice Requires="wps">
          <w:drawing>
            <wp:anchor distT="0" distB="0" distL="114300" distR="114300" simplePos="0" relativeHeight="5" behindDoc="1" locked="0" layoutInCell="1" allowOverlap="1" wp14:anchorId="3320218D" wp14:editId="72B3FFB4">
              <wp:simplePos x="0" y="0"/>
              <wp:positionH relativeFrom="rightMargin">
                <wp:align>center</wp:align>
              </wp:positionH>
              <wp:positionV relativeFrom="margin">
                <wp:align>bottom</wp:align>
              </wp:positionV>
              <wp:extent cx="512445" cy="731520"/>
              <wp:effectExtent l="0" t="0" r="3810" b="0"/>
              <wp:wrapNone/>
              <wp:docPr id="1" name="Prostokąt 2"/>
              <wp:cNvGraphicFramePr/>
              <a:graphic xmlns:a="http://schemas.openxmlformats.org/drawingml/2006/main">
                <a:graphicData uri="http://schemas.microsoft.com/office/word/2010/wordprocessingShape">
                  <wps:wsp>
                    <wps:cNvSpPr/>
                    <wps:spPr>
                      <a:xfrm>
                        <a:off x="0" y="0"/>
                        <a:ext cx="511920" cy="730800"/>
                      </a:xfrm>
                      <a:prstGeom prst="rect">
                        <a:avLst/>
                      </a:prstGeom>
                      <a:noFill/>
                      <a:ln>
                        <a:noFill/>
                      </a:ln>
                    </wps:spPr>
                    <wps:style>
                      <a:lnRef idx="0">
                        <a:scrgbClr r="0" g="0" b="0"/>
                      </a:lnRef>
                      <a:fillRef idx="0">
                        <a:scrgbClr r="0" g="0" b="0"/>
                      </a:fillRef>
                      <a:effectRef idx="0">
                        <a:scrgbClr r="0" g="0" b="0"/>
                      </a:effectRef>
                      <a:fontRef idx="minor"/>
                    </wps:style>
                    <wps:txbx>
                      <w:txbxContent>
                        <w:sdt>
                          <w:sdtPr>
                            <w:id w:val="1907748272"/>
                            <w:docPartObj>
                              <w:docPartGallery w:val="Page Numbers (Margins)"/>
                              <w:docPartUnique/>
                            </w:docPartObj>
                          </w:sdtPr>
                          <w:sdtEndPr/>
                          <w:sdtContent>
                            <w:p w14:paraId="5320343E" w14:textId="77777777" w:rsidR="00361A05" w:rsidRDefault="001E38D5">
                              <w:pPr>
                                <w:pStyle w:val="Stopka"/>
                              </w:pPr>
                              <w:r>
                                <w:rPr>
                                  <w:rFonts w:asciiTheme="majorHAnsi" w:eastAsiaTheme="majorEastAsia" w:hAnsiTheme="majorHAnsi" w:cstheme="majorBidi"/>
                                  <w:color w:val="000000"/>
                                </w:rPr>
                                <w:t>Strona</w:t>
                              </w:r>
                              <w:r>
                                <w:rPr>
                                  <w:rFonts w:ascii="Cambria" w:hAnsi="Cambria"/>
                                  <w:sz w:val="44"/>
                                  <w:szCs w:val="44"/>
                                </w:rPr>
                                <w:fldChar w:fldCharType="begin"/>
                              </w:r>
                              <w:r>
                                <w:rPr>
                                  <w:rFonts w:ascii="Cambria" w:hAnsi="Cambria"/>
                                  <w:sz w:val="44"/>
                                  <w:szCs w:val="44"/>
                                </w:rPr>
                                <w:instrText>PAGE</w:instrText>
                              </w:r>
                              <w:r>
                                <w:rPr>
                                  <w:rFonts w:ascii="Cambria" w:hAnsi="Cambria"/>
                                  <w:sz w:val="44"/>
                                  <w:szCs w:val="44"/>
                                </w:rPr>
                                <w:fldChar w:fldCharType="separate"/>
                              </w:r>
                              <w:r>
                                <w:rPr>
                                  <w:rFonts w:ascii="Cambria" w:hAnsi="Cambria"/>
                                  <w:sz w:val="44"/>
                                  <w:szCs w:val="44"/>
                                </w:rPr>
                                <w:t>4</w:t>
                              </w:r>
                              <w:r>
                                <w:rPr>
                                  <w:rFonts w:ascii="Cambria" w:hAnsi="Cambria"/>
                                  <w:sz w:val="44"/>
                                  <w:szCs w:val="44"/>
                                </w:rPr>
                                <w:fldChar w:fldCharType="end"/>
                              </w:r>
                            </w:p>
                          </w:sdtContent>
                        </w:sdt>
                      </w:txbxContent>
                    </wps:txbx>
                    <wps:bodyPr rot="16200000" vert="vert270" anchor="ctr">
                      <a:spAutoFit/>
                    </wps:bodyPr>
                  </wps:wsp>
                </a:graphicData>
              </a:graphic>
            </wp:anchor>
          </w:drawing>
        </mc:Choice>
        <mc:Fallback>
          <w:pict>
            <v:rect w14:anchorId="3320218D" id="Prostokąt 2" o:spid="_x0000_s1026" style="position:absolute;margin-left:0;margin-top:0;width:40.35pt;height:57.6pt;z-index:-503316475;visibility:visible;mso-wrap-style:square;mso-wrap-distance-left:9pt;mso-wrap-distance-top:0;mso-wrap-distance-right:9pt;mso-wrap-distance-bottom:0;mso-position-horizontal:center;mso-position-horizontal-relative:right-margin-area;mso-position-vertical:bottom;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" filled="f" stroked="f">
              <v:textbox style="layout-flow:vertical;mso-layout-flow-alt:bottom-to-top;mso-rotate:270;mso-fit-shape-to-text:t">
                <w:txbxContent>
                  <w:sdt>
                    <w:sdtPr>
                      <w:id w:val="1907748272"/>
                      <w:docPartObj>
                        <w:docPartGallery w:val="Page Numbers (Margins)"/>
                        <w:docPartUnique/>
                      </w:docPartObj>
                    </w:sdtPr>
                    <w:sdtEndPr/>
                    <w:sdtContent>
                      <w:p w14:paraId="5320343E" w14:textId="77777777" w:rsidR="00361A05" w:rsidRDefault="001E38D5">
                        <w:pPr>
                          <w:pStyle w:val="Stopka"/>
                        </w:pPr>
                        <w:r>
                          <w:rPr>
                            <w:rFonts w:asciiTheme="majorHAnsi" w:eastAsiaTheme="majorEastAsia" w:hAnsiTheme="majorHAnsi" w:cstheme="majorBidi"/>
                            <w:color w:val="000000"/>
                          </w:rPr>
                          <w:t>Strona</w:t>
                        </w:r>
                        <w:r>
                          <w:rPr>
                            <w:rFonts w:ascii="Cambria" w:hAnsi="Cambria"/>
                            <w:sz w:val="44"/>
                            <w:szCs w:val="44"/>
                          </w:rPr>
                          <w:fldChar w:fldCharType="begin"/>
                        </w:r>
                        <w:r>
                          <w:rPr>
                            <w:rFonts w:ascii="Cambria" w:hAnsi="Cambria"/>
                            <w:sz w:val="44"/>
                            <w:szCs w:val="44"/>
                          </w:rPr>
                          <w:instrText>PAGE</w:instrText>
                        </w:r>
                        <w:r>
                          <w:rPr>
                            <w:rFonts w:ascii="Cambria" w:hAnsi="Cambria"/>
                            <w:sz w:val="44"/>
                            <w:szCs w:val="44"/>
                          </w:rPr>
                          <w:fldChar w:fldCharType="separate"/>
                        </w:r>
                        <w:r>
                          <w:rPr>
                            <w:rFonts w:ascii="Cambria" w:hAnsi="Cambria"/>
                            <w:sz w:val="44"/>
                            <w:szCs w:val="44"/>
                          </w:rPr>
                          <w:t>4</w:t>
                        </w:r>
                        <w:r>
                          <w:rPr>
                            <w:rFonts w:ascii="Cambria" w:hAnsi="Cambria"/>
                            <w:sz w:val="44"/>
                            <w:szCs w:val="44"/>
                          </w:rPr>
                          <w:fldChar w:fldCharType="end"/>
                        </w:r>
                      </w:p>
                    </w:sdtContent>
                  </w:sdt>
                </w:txbxContent>
              </v:textbox>
              <w10:wrap anchorx="margin" anchory="margin"/>
            </v:rect>
          </w:pict>
        </mc:Fallback>
      </mc:AlternateContent>
    </w:r>
  </w:p>
  <w:p w14:paraId="31A94DCA" w14:textId="77777777" w:rsidR="00361A05" w:rsidRDefault="001E38D5">
    <w:pPr>
      <w:pStyle w:val="Nagwek"/>
      <w:tabs>
        <w:tab w:val="clear" w:pos="4536"/>
        <w:tab w:val="clear" w:pos="9072"/>
        <w:tab w:val="left" w:pos="3300"/>
      </w:tabs>
      <w:jc w:val="center"/>
      <w:rPr>
        <w:rFonts w:ascii="PT Sans" w:hAnsi="PT Sans"/>
        <w:i/>
      </w:rPr>
    </w:pPr>
    <w:r>
      <w:rPr>
        <w:noProof/>
      </w:rPr>
      <w:drawing>
        <wp:inline distT="0" distB="0" distL="0" distR="0" wp14:anchorId="7E65824A" wp14:editId="17445249">
          <wp:extent cx="6696710" cy="53149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noChangeArrowheads="1"/>
                  </pic:cNvPicPr>
                </pic:nvPicPr>
                <pic:blipFill>
                  <a:blip r:embed="rId1"/>
                  <a:stretch>
                    <a:fillRect/>
                  </a:stretch>
                </pic:blipFill>
                <pic:spPr bwMode="auto">
                  <a:xfrm>
                    <a:off x="0" y="0"/>
                    <a:ext cx="6696710" cy="531495"/>
                  </a:xfrm>
                  <a:prstGeom prst="rect">
                    <a:avLst/>
                  </a:prstGeom>
                </pic:spPr>
              </pic:pic>
            </a:graphicData>
          </a:graphic>
        </wp:inline>
      </w:drawing>
    </w:r>
  </w:p>
  <w:p w14:paraId="471A00C5" w14:textId="77777777" w:rsidR="00361A05" w:rsidRDefault="001E38D5">
    <w:pPr>
      <w:pStyle w:val="Nagwek"/>
      <w:tabs>
        <w:tab w:val="clear" w:pos="4536"/>
        <w:tab w:val="clear" w:pos="9072"/>
        <w:tab w:val="left" w:pos="3300"/>
      </w:tabs>
      <w:jc w:val="center"/>
      <w:rPr>
        <w:rFonts w:ascii="PT Sans" w:hAnsi="PT Sans" w:cstheme="minorHAnsi"/>
      </w:rPr>
    </w:pPr>
    <w:r>
      <w:rPr>
        <w:rFonts w:ascii="PT Sans" w:hAnsi="PT Sans" w:cstheme="minorHAnsi"/>
        <w:i/>
      </w:rPr>
      <w:t xml:space="preserve">Projekt pt. </w:t>
    </w:r>
    <w:r>
      <w:rPr>
        <w:rFonts w:ascii="PT Sans" w:hAnsi="PT Sans" w:cstheme="minorHAnsi"/>
        <w:b/>
        <w:i/>
      </w:rPr>
      <w:t>„Jeden Uniwersytet – Wiele Możliwości. Program Zintegrowany”</w:t>
    </w:r>
  </w:p>
  <w:p w14:paraId="4B9C5CDC" w14:textId="77777777" w:rsidR="00361A05" w:rsidRDefault="001E38D5">
    <w:pPr>
      <w:jc w:val="center"/>
      <w:rPr>
        <w:i/>
      </w:rPr>
    </w:pPr>
    <w:r>
      <w:rPr>
        <w:noProof/>
      </w:rPr>
      <mc:AlternateContent>
        <mc:Choice Requires="wps">
          <w:drawing>
            <wp:inline distT="0" distB="0" distL="0" distR="0" wp14:anchorId="331588AC" wp14:editId="5C28F344">
              <wp:extent cx="5761355" cy="14605"/>
              <wp:effectExtent l="0" t="0" r="0" b="0"/>
              <wp:docPr id="4" name=""/>
              <wp:cNvGraphicFramePr/>
              <a:graphic xmlns:a="http://schemas.openxmlformats.org/drawingml/2006/main">
                <a:graphicData uri="http://schemas.microsoft.com/office/word/2010/wordprocessingShape">
                  <wps:wsp>
                    <wps:cNvSpPr/>
                    <wps:spPr>
                      <a:xfrm>
                        <a:off x="0" y="0"/>
                        <a:ext cx="5760720" cy="14040"/>
                      </a:xfrm>
                      <a:prstGeom prst="rect">
                        <a:avLst/>
                      </a:prstGeom>
                      <a:solidFill>
                        <a:srgbClr val="ACA899"/>
                      </a:solidFill>
                      <a:ln>
                        <a:noFill/>
                      </a:ln>
                    </wps:spPr>
                    <wps:style>
                      <a:lnRef idx="0">
                        <a:scrgbClr r="0" g="0" b="0"/>
                      </a:lnRef>
                      <a:fillRef idx="0">
                        <a:scrgbClr r="0" g="0" b="0"/>
                      </a:fillRef>
                      <a:effectRef idx="0">
                        <a:scrgbClr r="0" g="0" b="0"/>
                      </a:effectRef>
                      <a:fontRef idx="minor"/>
                    </wps:style>
                    <wps:bodyPr/>
                  </wps:wsp>
                </a:graphicData>
              </a:graphic>
            </wp:inline>
          </w:drawing>
        </mc:Choice>
        <mc:Fallback>
          <w:pict>
            <v:rect id="shape_0" fillcolor="#aca899" stroked="f" style="position:absolute;margin-left:0pt;margin-top:-1.15pt;width:453.55pt;height:1.05pt;mso-position-vertical:top" wp14:anchorId="45FB3D1E">
              <w10:wrap type="none"/>
              <v:fill o:detectmouseclick="t" type="solid" color2="#535766"/>
              <v:stroke color="#3465a4" joinstyle="round" endcap="flat"/>
            </v:rect>
          </w:pict>
        </mc:Fallback>
      </mc:AlternateConten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5A5E39"/>
    <w:multiLevelType w:val="multilevel"/>
    <w:tmpl w:val="DB282602"/>
    <w:lvl w:ilvl="0">
      <w:start w:val="11"/>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700A3B"/>
    <w:multiLevelType w:val="multilevel"/>
    <w:tmpl w:val="63FAFAD8"/>
    <w:lvl w:ilvl="0">
      <w:start w:val="1"/>
      <w:numFmt w:val="decimal"/>
      <w:lvlText w:val=" %1 "/>
      <w:lvlJc w:val="left"/>
      <w:pPr>
        <w:tabs>
          <w:tab w:val="num" w:pos="850"/>
        </w:tabs>
        <w:ind w:left="850" w:hanging="490"/>
      </w:pPr>
    </w:lvl>
    <w:lvl w:ilvl="1">
      <w:start w:val="1"/>
      <w:numFmt w:val="decimal"/>
      <w:lvlText w:val=" %1.%2 "/>
      <w:lvlJc w:val="left"/>
      <w:pPr>
        <w:tabs>
          <w:tab w:val="num" w:pos="1644"/>
        </w:tabs>
        <w:ind w:left="1644" w:hanging="850"/>
      </w:pPr>
    </w:lvl>
    <w:lvl w:ilvl="2">
      <w:start w:val="1"/>
      <w:numFmt w:val="decimal"/>
      <w:lvlText w:val=" %1.%2.%3 "/>
      <w:lvlJc w:val="left"/>
      <w:pPr>
        <w:tabs>
          <w:tab w:val="num" w:pos="2438"/>
        </w:tabs>
        <w:ind w:left="2438" w:hanging="851"/>
      </w:pPr>
    </w:lvl>
    <w:lvl w:ilvl="3">
      <w:start w:val="1"/>
      <w:numFmt w:val="decimal"/>
      <w:lvlText w:val=" %1.%2.%3.%4 "/>
      <w:lvlJc w:val="left"/>
      <w:pPr>
        <w:tabs>
          <w:tab w:val="num" w:pos="1800"/>
        </w:tabs>
        <w:ind w:left="1800" w:hanging="360"/>
      </w:pPr>
    </w:lvl>
    <w:lvl w:ilvl="4">
      <w:start w:val="1"/>
      <w:numFmt w:val="decimal"/>
      <w:lvlText w:val=" %1.%2.%3.%4.%5 "/>
      <w:lvlJc w:val="left"/>
      <w:pPr>
        <w:tabs>
          <w:tab w:val="num" w:pos="2160"/>
        </w:tabs>
        <w:ind w:left="2160" w:hanging="360"/>
      </w:pPr>
    </w:lvl>
    <w:lvl w:ilvl="5">
      <w:start w:val="1"/>
      <w:numFmt w:val="decimal"/>
      <w:lvlText w:val=" %1.%2.%3.%4.%5.%6 "/>
      <w:lvlJc w:val="left"/>
      <w:pPr>
        <w:tabs>
          <w:tab w:val="num" w:pos="2520"/>
        </w:tabs>
        <w:ind w:left="2520" w:hanging="360"/>
      </w:pPr>
    </w:lvl>
    <w:lvl w:ilvl="6">
      <w:start w:val="1"/>
      <w:numFmt w:val="decimal"/>
      <w:lvlText w:val=" %1.%2.%3.%4.%5.%6.%7 "/>
      <w:lvlJc w:val="left"/>
      <w:pPr>
        <w:tabs>
          <w:tab w:val="num" w:pos="2880"/>
        </w:tabs>
        <w:ind w:left="2880" w:hanging="360"/>
      </w:pPr>
    </w:lvl>
    <w:lvl w:ilvl="7">
      <w:start w:val="1"/>
      <w:numFmt w:val="decimal"/>
      <w:lvlText w:val=" %1.%2.%3.%4.%5.%6.%7.%8 "/>
      <w:lvlJc w:val="left"/>
      <w:pPr>
        <w:tabs>
          <w:tab w:val="num" w:pos="3240"/>
        </w:tabs>
        <w:ind w:left="3240" w:hanging="360"/>
      </w:pPr>
    </w:lvl>
    <w:lvl w:ilvl="8">
      <w:start w:val="1"/>
      <w:numFmt w:val="decimal"/>
      <w:lvlText w:val=" %1.%2.%3.%4.%5.%6.%7.%8.%9 "/>
      <w:lvlJc w:val="left"/>
      <w:pPr>
        <w:tabs>
          <w:tab w:val="num" w:pos="3600"/>
        </w:tabs>
        <w:ind w:left="3600" w:hanging="360"/>
      </w:pPr>
    </w:lvl>
  </w:abstractNum>
  <w:abstractNum w:abstractNumId="2" w15:restartNumberingAfterBreak="0">
    <w:nsid w:val="1A236F07"/>
    <w:multiLevelType w:val="multilevel"/>
    <w:tmpl w:val="50D0B42A"/>
    <w:lvl w:ilvl="0">
      <w:start w:val="11"/>
      <w:numFmt w:val="decimal"/>
      <w:lvlText w:val="%1."/>
      <w:lvlJc w:val="left"/>
      <w:pPr>
        <w:ind w:left="450" w:hanging="450"/>
      </w:pPr>
      <w:rPr>
        <w:rFonts w:hint="default"/>
      </w:rPr>
    </w:lvl>
    <w:lvl w:ilvl="1">
      <w:start w:val="2"/>
      <w:numFmt w:val="decimal"/>
      <w:lvlText w:val="%1.%2)"/>
      <w:lvlJc w:val="left"/>
      <w:pPr>
        <w:ind w:left="1185" w:hanging="450"/>
      </w:pPr>
      <w:rPr>
        <w:rFonts w:hint="default"/>
      </w:rPr>
    </w:lvl>
    <w:lvl w:ilvl="2">
      <w:start w:val="1"/>
      <w:numFmt w:val="decimal"/>
      <w:lvlText w:val="%1.%2)%3."/>
      <w:lvlJc w:val="left"/>
      <w:pPr>
        <w:ind w:left="2190" w:hanging="720"/>
      </w:pPr>
      <w:rPr>
        <w:rFonts w:hint="default"/>
      </w:rPr>
    </w:lvl>
    <w:lvl w:ilvl="3">
      <w:start w:val="1"/>
      <w:numFmt w:val="decimal"/>
      <w:lvlText w:val="%1.%2)%3.%4."/>
      <w:lvlJc w:val="left"/>
      <w:pPr>
        <w:ind w:left="2925" w:hanging="720"/>
      </w:pPr>
      <w:rPr>
        <w:rFonts w:hint="default"/>
      </w:rPr>
    </w:lvl>
    <w:lvl w:ilvl="4">
      <w:start w:val="1"/>
      <w:numFmt w:val="decimal"/>
      <w:lvlText w:val="%1.%2)%3.%4.%5."/>
      <w:lvlJc w:val="left"/>
      <w:pPr>
        <w:ind w:left="4020" w:hanging="1080"/>
      </w:pPr>
      <w:rPr>
        <w:rFonts w:hint="default"/>
      </w:rPr>
    </w:lvl>
    <w:lvl w:ilvl="5">
      <w:start w:val="1"/>
      <w:numFmt w:val="decimal"/>
      <w:lvlText w:val="%1.%2)%3.%4.%5.%6."/>
      <w:lvlJc w:val="left"/>
      <w:pPr>
        <w:ind w:left="4755" w:hanging="1080"/>
      </w:pPr>
      <w:rPr>
        <w:rFonts w:hint="default"/>
      </w:rPr>
    </w:lvl>
    <w:lvl w:ilvl="6">
      <w:start w:val="1"/>
      <w:numFmt w:val="decimal"/>
      <w:lvlText w:val="%1.%2)%3.%4.%5.%6.%7."/>
      <w:lvlJc w:val="left"/>
      <w:pPr>
        <w:ind w:left="5850" w:hanging="1440"/>
      </w:pPr>
      <w:rPr>
        <w:rFonts w:hint="default"/>
      </w:rPr>
    </w:lvl>
    <w:lvl w:ilvl="7">
      <w:start w:val="1"/>
      <w:numFmt w:val="decimal"/>
      <w:lvlText w:val="%1.%2)%3.%4.%5.%6.%7.%8."/>
      <w:lvlJc w:val="left"/>
      <w:pPr>
        <w:ind w:left="6585" w:hanging="1440"/>
      </w:pPr>
      <w:rPr>
        <w:rFonts w:hint="default"/>
      </w:rPr>
    </w:lvl>
    <w:lvl w:ilvl="8">
      <w:start w:val="1"/>
      <w:numFmt w:val="decimal"/>
      <w:lvlText w:val="%1.%2)%3.%4.%5.%6.%7.%8.%9."/>
      <w:lvlJc w:val="left"/>
      <w:pPr>
        <w:ind w:left="7680" w:hanging="1800"/>
      </w:pPr>
      <w:rPr>
        <w:rFonts w:hint="default"/>
      </w:rPr>
    </w:lvl>
  </w:abstractNum>
  <w:abstractNum w:abstractNumId="3" w15:restartNumberingAfterBreak="0">
    <w:nsid w:val="1D5E567D"/>
    <w:multiLevelType w:val="multilevel"/>
    <w:tmpl w:val="90FA5BF8"/>
    <w:lvl w:ilvl="0">
      <w:start w:val="6"/>
      <w:numFmt w:val="decimal"/>
      <w:lvlText w:val="%1"/>
      <w:lvlJc w:val="left"/>
      <w:pPr>
        <w:ind w:left="360" w:hanging="360"/>
      </w:pPr>
      <w:rPr>
        <w:rFonts w:hint="default"/>
      </w:rPr>
    </w:lvl>
    <w:lvl w:ilvl="1">
      <w:start w:val="6"/>
      <w:numFmt w:val="decimal"/>
      <w:lvlText w:val="%1.%2"/>
      <w:lvlJc w:val="left"/>
      <w:pPr>
        <w:ind w:left="547" w:hanging="360"/>
      </w:pPr>
      <w:rPr>
        <w:rFonts w:hint="default"/>
      </w:rPr>
    </w:lvl>
    <w:lvl w:ilvl="2">
      <w:start w:val="1"/>
      <w:numFmt w:val="decimal"/>
      <w:lvlText w:val="%1.%2.%3"/>
      <w:lvlJc w:val="left"/>
      <w:pPr>
        <w:ind w:left="1094" w:hanging="720"/>
      </w:pPr>
      <w:rPr>
        <w:rFonts w:hint="default"/>
      </w:rPr>
    </w:lvl>
    <w:lvl w:ilvl="3">
      <w:start w:val="1"/>
      <w:numFmt w:val="decimal"/>
      <w:lvlText w:val="%1.%2.%3.%4"/>
      <w:lvlJc w:val="left"/>
      <w:pPr>
        <w:ind w:left="1281" w:hanging="720"/>
      </w:pPr>
      <w:rPr>
        <w:rFonts w:hint="default"/>
      </w:rPr>
    </w:lvl>
    <w:lvl w:ilvl="4">
      <w:start w:val="1"/>
      <w:numFmt w:val="decimal"/>
      <w:lvlText w:val="%1.%2.%3.%4.%5"/>
      <w:lvlJc w:val="left"/>
      <w:pPr>
        <w:ind w:left="1828" w:hanging="1080"/>
      </w:pPr>
      <w:rPr>
        <w:rFonts w:hint="default"/>
      </w:rPr>
    </w:lvl>
    <w:lvl w:ilvl="5">
      <w:start w:val="1"/>
      <w:numFmt w:val="decimal"/>
      <w:lvlText w:val="%1.%2.%3.%4.%5.%6"/>
      <w:lvlJc w:val="left"/>
      <w:pPr>
        <w:ind w:left="2015" w:hanging="1080"/>
      </w:pPr>
      <w:rPr>
        <w:rFonts w:hint="default"/>
      </w:rPr>
    </w:lvl>
    <w:lvl w:ilvl="6">
      <w:start w:val="1"/>
      <w:numFmt w:val="decimal"/>
      <w:lvlText w:val="%1.%2.%3.%4.%5.%6.%7"/>
      <w:lvlJc w:val="left"/>
      <w:pPr>
        <w:ind w:left="2562" w:hanging="1440"/>
      </w:pPr>
      <w:rPr>
        <w:rFonts w:hint="default"/>
      </w:rPr>
    </w:lvl>
    <w:lvl w:ilvl="7">
      <w:start w:val="1"/>
      <w:numFmt w:val="decimal"/>
      <w:lvlText w:val="%1.%2.%3.%4.%5.%6.%7.%8"/>
      <w:lvlJc w:val="left"/>
      <w:pPr>
        <w:ind w:left="2749" w:hanging="1440"/>
      </w:pPr>
      <w:rPr>
        <w:rFonts w:hint="default"/>
      </w:rPr>
    </w:lvl>
    <w:lvl w:ilvl="8">
      <w:start w:val="1"/>
      <w:numFmt w:val="decimal"/>
      <w:lvlText w:val="%1.%2.%3.%4.%5.%6.%7.%8.%9"/>
      <w:lvlJc w:val="left"/>
      <w:pPr>
        <w:ind w:left="3296" w:hanging="1800"/>
      </w:pPr>
      <w:rPr>
        <w:rFonts w:hint="default"/>
      </w:rPr>
    </w:lvl>
  </w:abstractNum>
  <w:abstractNum w:abstractNumId="4" w15:restartNumberingAfterBreak="0">
    <w:nsid w:val="1F425D00"/>
    <w:multiLevelType w:val="multilevel"/>
    <w:tmpl w:val="2BEC7C20"/>
    <w:lvl w:ilvl="0">
      <w:start w:val="4"/>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4994816"/>
    <w:multiLevelType w:val="multilevel"/>
    <w:tmpl w:val="6A72EDFA"/>
    <w:lvl w:ilvl="0">
      <w:start w:val="11"/>
      <w:numFmt w:val="decimal"/>
      <w:lvlText w:val="%1"/>
      <w:lvlJc w:val="left"/>
      <w:pPr>
        <w:ind w:left="375" w:hanging="375"/>
      </w:pPr>
      <w:rPr>
        <w:rFonts w:hint="default"/>
      </w:rPr>
    </w:lvl>
    <w:lvl w:ilvl="1">
      <w:start w:val="2"/>
      <w:numFmt w:val="decimal"/>
      <w:lvlText w:val="%1.%2"/>
      <w:lvlJc w:val="left"/>
      <w:pPr>
        <w:ind w:left="685" w:hanging="375"/>
      </w:pPr>
      <w:rPr>
        <w:rFonts w:hint="default"/>
      </w:rPr>
    </w:lvl>
    <w:lvl w:ilvl="2">
      <w:start w:val="1"/>
      <w:numFmt w:val="decimal"/>
      <w:lvlText w:val="%1.%2.%3"/>
      <w:lvlJc w:val="left"/>
      <w:pPr>
        <w:ind w:left="1340" w:hanging="720"/>
      </w:pPr>
      <w:rPr>
        <w:rFonts w:hint="default"/>
      </w:rPr>
    </w:lvl>
    <w:lvl w:ilvl="3">
      <w:start w:val="1"/>
      <w:numFmt w:val="decimal"/>
      <w:lvlText w:val="%1.%2.%3.%4"/>
      <w:lvlJc w:val="left"/>
      <w:pPr>
        <w:ind w:left="1650" w:hanging="720"/>
      </w:pPr>
      <w:rPr>
        <w:rFonts w:hint="default"/>
      </w:rPr>
    </w:lvl>
    <w:lvl w:ilvl="4">
      <w:start w:val="1"/>
      <w:numFmt w:val="decimal"/>
      <w:lvlText w:val="%1.%2.%3.%4.%5"/>
      <w:lvlJc w:val="left"/>
      <w:pPr>
        <w:ind w:left="2320" w:hanging="1080"/>
      </w:pPr>
      <w:rPr>
        <w:rFonts w:hint="default"/>
      </w:rPr>
    </w:lvl>
    <w:lvl w:ilvl="5">
      <w:start w:val="1"/>
      <w:numFmt w:val="decimal"/>
      <w:lvlText w:val="%1.%2.%3.%4.%5.%6"/>
      <w:lvlJc w:val="left"/>
      <w:pPr>
        <w:ind w:left="2630" w:hanging="1080"/>
      </w:pPr>
      <w:rPr>
        <w:rFonts w:hint="default"/>
      </w:rPr>
    </w:lvl>
    <w:lvl w:ilvl="6">
      <w:start w:val="1"/>
      <w:numFmt w:val="decimal"/>
      <w:lvlText w:val="%1.%2.%3.%4.%5.%6.%7"/>
      <w:lvlJc w:val="left"/>
      <w:pPr>
        <w:ind w:left="3300" w:hanging="1440"/>
      </w:pPr>
      <w:rPr>
        <w:rFonts w:hint="default"/>
      </w:rPr>
    </w:lvl>
    <w:lvl w:ilvl="7">
      <w:start w:val="1"/>
      <w:numFmt w:val="decimal"/>
      <w:lvlText w:val="%1.%2.%3.%4.%5.%6.%7.%8"/>
      <w:lvlJc w:val="left"/>
      <w:pPr>
        <w:ind w:left="3610" w:hanging="1440"/>
      </w:pPr>
      <w:rPr>
        <w:rFonts w:hint="default"/>
      </w:rPr>
    </w:lvl>
    <w:lvl w:ilvl="8">
      <w:start w:val="1"/>
      <w:numFmt w:val="decimal"/>
      <w:lvlText w:val="%1.%2.%3.%4.%5.%6.%7.%8.%9"/>
      <w:lvlJc w:val="left"/>
      <w:pPr>
        <w:ind w:left="3920" w:hanging="1440"/>
      </w:pPr>
      <w:rPr>
        <w:rFonts w:hint="default"/>
      </w:rPr>
    </w:lvl>
  </w:abstractNum>
  <w:abstractNum w:abstractNumId="6" w15:restartNumberingAfterBreak="0">
    <w:nsid w:val="262D3D24"/>
    <w:multiLevelType w:val="multilevel"/>
    <w:tmpl w:val="DE50406C"/>
    <w:lvl w:ilvl="0">
      <w:start w:val="1"/>
      <w:numFmt w:val="decimal"/>
      <w:lvlText w:val="%1)"/>
      <w:lvlJc w:val="left"/>
      <w:pPr>
        <w:tabs>
          <w:tab w:val="num" w:pos="850"/>
        </w:tabs>
        <w:ind w:left="850" w:hanging="490"/>
      </w:pPr>
      <w:rPr>
        <w:rFonts w:asciiTheme="minorHAnsi" w:eastAsia="Times New Roman" w:hAnsiTheme="minorHAnsi" w:cs="Times New Roman"/>
      </w:rPr>
    </w:lvl>
    <w:lvl w:ilvl="1">
      <w:start w:val="1"/>
      <w:numFmt w:val="decimal"/>
      <w:lvlText w:val=" %1.%2 "/>
      <w:lvlJc w:val="left"/>
      <w:pPr>
        <w:tabs>
          <w:tab w:val="num" w:pos="1644"/>
        </w:tabs>
        <w:ind w:left="1644" w:hanging="850"/>
      </w:pPr>
    </w:lvl>
    <w:lvl w:ilvl="2">
      <w:start w:val="1"/>
      <w:numFmt w:val="decimal"/>
      <w:lvlText w:val=" %1.%2.%3 "/>
      <w:lvlJc w:val="left"/>
      <w:pPr>
        <w:tabs>
          <w:tab w:val="num" w:pos="2438"/>
        </w:tabs>
        <w:ind w:left="2438" w:hanging="851"/>
      </w:pPr>
    </w:lvl>
    <w:lvl w:ilvl="3">
      <w:start w:val="1"/>
      <w:numFmt w:val="decimal"/>
      <w:lvlText w:val=" %1.%2.%3.%4 "/>
      <w:lvlJc w:val="left"/>
      <w:pPr>
        <w:tabs>
          <w:tab w:val="num" w:pos="1800"/>
        </w:tabs>
        <w:ind w:left="1800" w:hanging="360"/>
      </w:pPr>
    </w:lvl>
    <w:lvl w:ilvl="4">
      <w:start w:val="1"/>
      <w:numFmt w:val="decimal"/>
      <w:lvlText w:val=" %1.%2.%3.%4.%5 "/>
      <w:lvlJc w:val="left"/>
      <w:pPr>
        <w:tabs>
          <w:tab w:val="num" w:pos="2160"/>
        </w:tabs>
        <w:ind w:left="2160" w:hanging="360"/>
      </w:pPr>
    </w:lvl>
    <w:lvl w:ilvl="5">
      <w:start w:val="1"/>
      <w:numFmt w:val="decimal"/>
      <w:lvlText w:val=" %1.%2.%3.%4.%5.%6 "/>
      <w:lvlJc w:val="left"/>
      <w:pPr>
        <w:tabs>
          <w:tab w:val="num" w:pos="2520"/>
        </w:tabs>
        <w:ind w:left="2520" w:hanging="360"/>
      </w:pPr>
    </w:lvl>
    <w:lvl w:ilvl="6">
      <w:start w:val="1"/>
      <w:numFmt w:val="decimal"/>
      <w:lvlText w:val=" %1.%2.%3.%4.%5.%6.%7 "/>
      <w:lvlJc w:val="left"/>
      <w:pPr>
        <w:tabs>
          <w:tab w:val="num" w:pos="2880"/>
        </w:tabs>
        <w:ind w:left="2880" w:hanging="360"/>
      </w:pPr>
    </w:lvl>
    <w:lvl w:ilvl="7">
      <w:start w:val="1"/>
      <w:numFmt w:val="decimal"/>
      <w:lvlText w:val=" %1.%2.%3.%4.%5.%6.%7.%8 "/>
      <w:lvlJc w:val="left"/>
      <w:pPr>
        <w:tabs>
          <w:tab w:val="num" w:pos="3240"/>
        </w:tabs>
        <w:ind w:left="3240" w:hanging="360"/>
      </w:pPr>
    </w:lvl>
    <w:lvl w:ilvl="8">
      <w:start w:val="1"/>
      <w:numFmt w:val="decimal"/>
      <w:lvlText w:val=" %1.%2.%3.%4.%5.%6.%7.%8.%9 "/>
      <w:lvlJc w:val="left"/>
      <w:pPr>
        <w:tabs>
          <w:tab w:val="num" w:pos="3600"/>
        </w:tabs>
        <w:ind w:left="3600" w:hanging="360"/>
      </w:pPr>
    </w:lvl>
  </w:abstractNum>
  <w:abstractNum w:abstractNumId="7" w15:restartNumberingAfterBreak="0">
    <w:nsid w:val="43E30CD5"/>
    <w:multiLevelType w:val="multilevel"/>
    <w:tmpl w:val="0456CC86"/>
    <w:lvl w:ilvl="0">
      <w:start w:val="11"/>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4B3E5B18"/>
    <w:multiLevelType w:val="multilevel"/>
    <w:tmpl w:val="E7E25A06"/>
    <w:lvl w:ilvl="0">
      <w:start w:val="6"/>
      <w:numFmt w:val="decimal"/>
      <w:lvlText w:val="%1"/>
      <w:lvlJc w:val="left"/>
      <w:pPr>
        <w:ind w:left="360" w:hanging="360"/>
      </w:pPr>
      <w:rPr>
        <w:rFonts w:hint="default"/>
      </w:rPr>
    </w:lvl>
    <w:lvl w:ilvl="1">
      <w:start w:val="5"/>
      <w:numFmt w:val="decimal"/>
      <w:lvlText w:val="%1.%2"/>
      <w:lvlJc w:val="left"/>
      <w:pPr>
        <w:ind w:left="547" w:hanging="360"/>
      </w:pPr>
      <w:rPr>
        <w:rFonts w:hint="default"/>
      </w:rPr>
    </w:lvl>
    <w:lvl w:ilvl="2">
      <w:start w:val="1"/>
      <w:numFmt w:val="decimal"/>
      <w:lvlText w:val="%1.%2.%3"/>
      <w:lvlJc w:val="left"/>
      <w:pPr>
        <w:ind w:left="1094" w:hanging="720"/>
      </w:pPr>
      <w:rPr>
        <w:rFonts w:hint="default"/>
      </w:rPr>
    </w:lvl>
    <w:lvl w:ilvl="3">
      <w:start w:val="1"/>
      <w:numFmt w:val="decimal"/>
      <w:lvlText w:val="%1.%2.%3.%4"/>
      <w:lvlJc w:val="left"/>
      <w:pPr>
        <w:ind w:left="1281" w:hanging="720"/>
      </w:pPr>
      <w:rPr>
        <w:rFonts w:hint="default"/>
      </w:rPr>
    </w:lvl>
    <w:lvl w:ilvl="4">
      <w:start w:val="1"/>
      <w:numFmt w:val="decimal"/>
      <w:lvlText w:val="%1.%2.%3.%4.%5"/>
      <w:lvlJc w:val="left"/>
      <w:pPr>
        <w:ind w:left="1828" w:hanging="1080"/>
      </w:pPr>
      <w:rPr>
        <w:rFonts w:hint="default"/>
      </w:rPr>
    </w:lvl>
    <w:lvl w:ilvl="5">
      <w:start w:val="1"/>
      <w:numFmt w:val="decimal"/>
      <w:lvlText w:val="%1.%2.%3.%4.%5.%6"/>
      <w:lvlJc w:val="left"/>
      <w:pPr>
        <w:ind w:left="2015" w:hanging="1080"/>
      </w:pPr>
      <w:rPr>
        <w:rFonts w:hint="default"/>
      </w:rPr>
    </w:lvl>
    <w:lvl w:ilvl="6">
      <w:start w:val="1"/>
      <w:numFmt w:val="decimal"/>
      <w:lvlText w:val="%1.%2.%3.%4.%5.%6.%7"/>
      <w:lvlJc w:val="left"/>
      <w:pPr>
        <w:ind w:left="2562" w:hanging="1440"/>
      </w:pPr>
      <w:rPr>
        <w:rFonts w:hint="default"/>
      </w:rPr>
    </w:lvl>
    <w:lvl w:ilvl="7">
      <w:start w:val="1"/>
      <w:numFmt w:val="decimal"/>
      <w:lvlText w:val="%1.%2.%3.%4.%5.%6.%7.%8"/>
      <w:lvlJc w:val="left"/>
      <w:pPr>
        <w:ind w:left="2749" w:hanging="1440"/>
      </w:pPr>
      <w:rPr>
        <w:rFonts w:hint="default"/>
      </w:rPr>
    </w:lvl>
    <w:lvl w:ilvl="8">
      <w:start w:val="1"/>
      <w:numFmt w:val="decimal"/>
      <w:lvlText w:val="%1.%2.%3.%4.%5.%6.%7.%8.%9"/>
      <w:lvlJc w:val="left"/>
      <w:pPr>
        <w:ind w:left="3296" w:hanging="1800"/>
      </w:pPr>
      <w:rPr>
        <w:rFonts w:hint="default"/>
      </w:rPr>
    </w:lvl>
  </w:abstractNum>
  <w:abstractNum w:abstractNumId="9" w15:restartNumberingAfterBreak="0">
    <w:nsid w:val="4CFA4851"/>
    <w:multiLevelType w:val="multilevel"/>
    <w:tmpl w:val="63FAFAD8"/>
    <w:lvl w:ilvl="0">
      <w:start w:val="1"/>
      <w:numFmt w:val="decimal"/>
      <w:lvlText w:val=" %1 "/>
      <w:lvlJc w:val="left"/>
      <w:pPr>
        <w:tabs>
          <w:tab w:val="num" w:pos="850"/>
        </w:tabs>
        <w:ind w:left="850" w:hanging="490"/>
      </w:pPr>
    </w:lvl>
    <w:lvl w:ilvl="1">
      <w:start w:val="1"/>
      <w:numFmt w:val="decimal"/>
      <w:lvlText w:val=" %1.%2 "/>
      <w:lvlJc w:val="left"/>
      <w:pPr>
        <w:tabs>
          <w:tab w:val="num" w:pos="1644"/>
        </w:tabs>
        <w:ind w:left="1644" w:hanging="850"/>
      </w:pPr>
    </w:lvl>
    <w:lvl w:ilvl="2">
      <w:start w:val="1"/>
      <w:numFmt w:val="decimal"/>
      <w:lvlText w:val=" %1.%2.%3 "/>
      <w:lvlJc w:val="left"/>
      <w:pPr>
        <w:tabs>
          <w:tab w:val="num" w:pos="2438"/>
        </w:tabs>
        <w:ind w:left="2438" w:hanging="851"/>
      </w:pPr>
    </w:lvl>
    <w:lvl w:ilvl="3">
      <w:start w:val="1"/>
      <w:numFmt w:val="decimal"/>
      <w:lvlText w:val=" %1.%2.%3.%4 "/>
      <w:lvlJc w:val="left"/>
      <w:pPr>
        <w:tabs>
          <w:tab w:val="num" w:pos="1800"/>
        </w:tabs>
        <w:ind w:left="1800" w:hanging="360"/>
      </w:pPr>
    </w:lvl>
    <w:lvl w:ilvl="4">
      <w:start w:val="1"/>
      <w:numFmt w:val="decimal"/>
      <w:lvlText w:val=" %1.%2.%3.%4.%5 "/>
      <w:lvlJc w:val="left"/>
      <w:pPr>
        <w:tabs>
          <w:tab w:val="num" w:pos="2160"/>
        </w:tabs>
        <w:ind w:left="2160" w:hanging="360"/>
      </w:pPr>
    </w:lvl>
    <w:lvl w:ilvl="5">
      <w:start w:val="1"/>
      <w:numFmt w:val="decimal"/>
      <w:lvlText w:val=" %1.%2.%3.%4.%5.%6 "/>
      <w:lvlJc w:val="left"/>
      <w:pPr>
        <w:tabs>
          <w:tab w:val="num" w:pos="2520"/>
        </w:tabs>
        <w:ind w:left="2520" w:hanging="360"/>
      </w:pPr>
    </w:lvl>
    <w:lvl w:ilvl="6">
      <w:start w:val="1"/>
      <w:numFmt w:val="decimal"/>
      <w:lvlText w:val=" %1.%2.%3.%4.%5.%6.%7 "/>
      <w:lvlJc w:val="left"/>
      <w:pPr>
        <w:tabs>
          <w:tab w:val="num" w:pos="2880"/>
        </w:tabs>
        <w:ind w:left="2880" w:hanging="360"/>
      </w:pPr>
    </w:lvl>
    <w:lvl w:ilvl="7">
      <w:start w:val="1"/>
      <w:numFmt w:val="decimal"/>
      <w:lvlText w:val=" %1.%2.%3.%4.%5.%6.%7.%8 "/>
      <w:lvlJc w:val="left"/>
      <w:pPr>
        <w:tabs>
          <w:tab w:val="num" w:pos="3240"/>
        </w:tabs>
        <w:ind w:left="3240" w:hanging="360"/>
      </w:pPr>
    </w:lvl>
    <w:lvl w:ilvl="8">
      <w:start w:val="1"/>
      <w:numFmt w:val="decimal"/>
      <w:lvlText w:val=" %1.%2.%3.%4.%5.%6.%7.%8.%9 "/>
      <w:lvlJc w:val="left"/>
      <w:pPr>
        <w:tabs>
          <w:tab w:val="num" w:pos="3600"/>
        </w:tabs>
        <w:ind w:left="3600" w:hanging="360"/>
      </w:pPr>
    </w:lvl>
  </w:abstractNum>
  <w:abstractNum w:abstractNumId="10" w15:restartNumberingAfterBreak="0">
    <w:nsid w:val="79DA7EE8"/>
    <w:multiLevelType w:val="multilevel"/>
    <w:tmpl w:val="D7B0FBE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10"/>
  </w:num>
  <w:num w:numId="3">
    <w:abstractNumId w:val="6"/>
  </w:num>
  <w:num w:numId="4">
    <w:abstractNumId w:val="9"/>
  </w:num>
  <w:num w:numId="5">
    <w:abstractNumId w:val="2"/>
  </w:num>
  <w:num w:numId="6">
    <w:abstractNumId w:val="0"/>
  </w:num>
  <w:num w:numId="7">
    <w:abstractNumId w:val="5"/>
  </w:num>
  <w:num w:numId="8">
    <w:abstractNumId w:val="7"/>
  </w:num>
  <w:num w:numId="9">
    <w:abstractNumId w:val="4"/>
  </w:num>
  <w:num w:numId="10">
    <w:abstractNumId w:val="8"/>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A05"/>
    <w:rsid w:val="00171B36"/>
    <w:rsid w:val="001E38D5"/>
    <w:rsid w:val="00294140"/>
    <w:rsid w:val="0035620E"/>
    <w:rsid w:val="00361A05"/>
    <w:rsid w:val="00437B91"/>
    <w:rsid w:val="004C5165"/>
    <w:rsid w:val="004D1ABB"/>
    <w:rsid w:val="005F56AD"/>
    <w:rsid w:val="006C331C"/>
    <w:rsid w:val="00A85C07"/>
    <w:rsid w:val="00BA41D5"/>
    <w:rsid w:val="00C100FF"/>
    <w:rsid w:val="00C307AE"/>
    <w:rsid w:val="00C522E5"/>
    <w:rsid w:val="00C672AC"/>
    <w:rsid w:val="00D255B3"/>
    <w:rsid w:val="00DC1525"/>
    <w:rsid w:val="00DD6EF1"/>
    <w:rsid w:val="00E56581"/>
    <w:rsid w:val="00EC4C4D"/>
    <w:rsid w:val="00F5669F"/>
    <w:rsid w:val="00F62E5B"/>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2AA9D3"/>
  <w15:docId w15:val="{773D1AE1-6AB4-4F0A-BE07-53C8B1DB4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126EC"/>
    <w:pPr>
      <w:spacing w:line="276" w:lineRule="auto"/>
    </w:pPr>
    <w:rPr>
      <w:rFonts w:eastAsia="Times New Roman" w:cs="Times New Roman"/>
      <w:sz w:val="22"/>
      <w:szCs w:val="20"/>
      <w:lang w:eastAsia="pl-PL"/>
    </w:rPr>
  </w:style>
  <w:style w:type="paragraph" w:styleId="Nagwek1">
    <w:name w:val="heading 1"/>
    <w:basedOn w:val="Normalny"/>
    <w:next w:val="Normalny"/>
    <w:link w:val="Nagwek1Znak"/>
    <w:qFormat/>
    <w:rsid w:val="007503E6"/>
    <w:pPr>
      <w:keepNext/>
      <w:outlineLvl w:val="0"/>
    </w:pPr>
    <w:rPr>
      <w:color w:val="000000"/>
      <w:sz w:val="26"/>
    </w:rPr>
  </w:style>
  <w:style w:type="paragraph" w:styleId="Nagwek2">
    <w:name w:val="heading 2"/>
    <w:basedOn w:val="Normalny"/>
    <w:next w:val="Normalny"/>
    <w:link w:val="Nagwek2Znak"/>
    <w:uiPriority w:val="9"/>
    <w:unhideWhenUsed/>
    <w:qFormat/>
    <w:rsid w:val="0045229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4">
    <w:name w:val="heading 4"/>
    <w:basedOn w:val="Normalny"/>
    <w:next w:val="Normalny"/>
    <w:link w:val="Nagwek4Znak"/>
    <w:uiPriority w:val="9"/>
    <w:semiHidden/>
    <w:unhideWhenUsed/>
    <w:qFormat/>
    <w:rsid w:val="008F423B"/>
    <w:pPr>
      <w:keepNext/>
      <w:keepLines/>
      <w:spacing w:before="20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basedOn w:val="Domylnaczcionkaakapitu"/>
    <w:link w:val="Tekstdymka"/>
    <w:uiPriority w:val="99"/>
    <w:semiHidden/>
    <w:qFormat/>
    <w:rsid w:val="00B463A1"/>
    <w:rPr>
      <w:rFonts w:ascii="Tahoma" w:hAnsi="Tahoma" w:cs="Tahoma"/>
      <w:sz w:val="16"/>
      <w:szCs w:val="16"/>
    </w:rPr>
  </w:style>
  <w:style w:type="character" w:customStyle="1" w:styleId="NagwekZnak">
    <w:name w:val="Nagłówek Znak"/>
    <w:basedOn w:val="Domylnaczcionkaakapitu"/>
    <w:link w:val="Nagwek"/>
    <w:uiPriority w:val="99"/>
    <w:qFormat/>
    <w:rsid w:val="00B26BB1"/>
  </w:style>
  <w:style w:type="character" w:customStyle="1" w:styleId="StopkaZnak">
    <w:name w:val="Stopka Znak"/>
    <w:basedOn w:val="Domylnaczcionkaakapitu"/>
    <w:link w:val="Stopka"/>
    <w:uiPriority w:val="99"/>
    <w:qFormat/>
    <w:rsid w:val="00B26BB1"/>
  </w:style>
  <w:style w:type="character" w:customStyle="1" w:styleId="TekstpodstawowyZnak">
    <w:name w:val="Tekst podstawowy Znak"/>
    <w:basedOn w:val="Domylnaczcionkaakapitu"/>
    <w:link w:val="Tekstpodstawowy"/>
    <w:qFormat/>
    <w:rsid w:val="00CE6A92"/>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qFormat/>
    <w:rsid w:val="007503E6"/>
    <w:rPr>
      <w:rFonts w:ascii="Times New Roman" w:eastAsia="Times New Roman" w:hAnsi="Times New Roman" w:cs="Times New Roman"/>
      <w:color w:val="000000"/>
      <w:sz w:val="26"/>
      <w:szCs w:val="20"/>
      <w:lang w:eastAsia="pl-PL"/>
    </w:rPr>
  </w:style>
  <w:style w:type="character" w:styleId="Odwoaniedokomentarza">
    <w:name w:val="annotation reference"/>
    <w:basedOn w:val="Domylnaczcionkaakapitu"/>
    <w:uiPriority w:val="99"/>
    <w:semiHidden/>
    <w:unhideWhenUsed/>
    <w:qFormat/>
    <w:rsid w:val="00802A4D"/>
    <w:rPr>
      <w:sz w:val="16"/>
      <w:szCs w:val="16"/>
    </w:rPr>
  </w:style>
  <w:style w:type="character" w:customStyle="1" w:styleId="TekstkomentarzaZnak">
    <w:name w:val="Tekst komentarza Znak"/>
    <w:basedOn w:val="Domylnaczcionkaakapitu"/>
    <w:link w:val="Tekstkomentarza"/>
    <w:uiPriority w:val="99"/>
    <w:qFormat/>
    <w:rsid w:val="00802A4D"/>
    <w:rPr>
      <w:rFonts w:ascii="Times New Roman" w:eastAsia="Times New Roman" w:hAnsi="Times New Roman" w:cs="Times New Roman"/>
      <w:sz w:val="20"/>
      <w:szCs w:val="20"/>
      <w:lang w:val="en-US" w:eastAsia="pl-PL"/>
    </w:rPr>
  </w:style>
  <w:style w:type="character" w:customStyle="1" w:styleId="TematkomentarzaZnak">
    <w:name w:val="Temat komentarza Znak"/>
    <w:basedOn w:val="TekstkomentarzaZnak"/>
    <w:link w:val="Tematkomentarza"/>
    <w:uiPriority w:val="99"/>
    <w:semiHidden/>
    <w:qFormat/>
    <w:rsid w:val="00802A4D"/>
    <w:rPr>
      <w:rFonts w:ascii="Times New Roman" w:eastAsia="Times New Roman" w:hAnsi="Times New Roman" w:cs="Times New Roman"/>
      <w:b/>
      <w:bCs/>
      <w:sz w:val="20"/>
      <w:szCs w:val="20"/>
      <w:lang w:val="en-US" w:eastAsia="pl-PL"/>
    </w:rPr>
  </w:style>
  <w:style w:type="character" w:customStyle="1" w:styleId="InternetLink">
    <w:name w:val="Internet Link"/>
    <w:basedOn w:val="Domylnaczcionkaakapitu"/>
    <w:uiPriority w:val="99"/>
    <w:unhideWhenUsed/>
    <w:rsid w:val="009C51C8"/>
    <w:rPr>
      <w:color w:val="0000FF" w:themeColor="hyperlink"/>
      <w:u w:val="single"/>
    </w:rPr>
  </w:style>
  <w:style w:type="character" w:customStyle="1" w:styleId="TekstprzypisukocowegoZnak">
    <w:name w:val="Tekst przypisu końcowego Znak"/>
    <w:basedOn w:val="Domylnaczcionkaakapitu"/>
    <w:link w:val="Tekstprzypisukocowego"/>
    <w:uiPriority w:val="99"/>
    <w:semiHidden/>
    <w:qFormat/>
    <w:rsid w:val="00DE76F2"/>
    <w:rPr>
      <w:rFonts w:ascii="Calibri" w:eastAsia="Times New Roman" w:hAnsi="Calibri" w:cs="Times New Roman"/>
      <w:sz w:val="20"/>
      <w:szCs w:val="20"/>
      <w:lang w:val="en-US" w:eastAsia="pl-PL"/>
    </w:rPr>
  </w:style>
  <w:style w:type="character" w:customStyle="1" w:styleId="EndnoteCharacters">
    <w:name w:val="Endnote Characters"/>
    <w:basedOn w:val="Domylnaczcionkaakapitu"/>
    <w:uiPriority w:val="99"/>
    <w:semiHidden/>
    <w:unhideWhenUsed/>
    <w:qFormat/>
    <w:rsid w:val="00DE76F2"/>
    <w:rPr>
      <w:vertAlign w:val="superscript"/>
    </w:rPr>
  </w:style>
  <w:style w:type="character" w:customStyle="1" w:styleId="EndnoteAnchor">
    <w:name w:val="Endnote Anchor"/>
    <w:rPr>
      <w:vertAlign w:val="superscript"/>
    </w:rPr>
  </w:style>
  <w:style w:type="character" w:customStyle="1" w:styleId="ZwykytekstZnak">
    <w:name w:val="Zwykły tekst Znak"/>
    <w:basedOn w:val="Domylnaczcionkaakapitu"/>
    <w:link w:val="Zwykytekst"/>
    <w:uiPriority w:val="99"/>
    <w:semiHidden/>
    <w:qFormat/>
    <w:rsid w:val="00B90497"/>
    <w:rPr>
      <w:rFonts w:ascii="Calibri" w:hAnsi="Calibri"/>
      <w:szCs w:val="21"/>
    </w:rPr>
  </w:style>
  <w:style w:type="character" w:styleId="Pogrubienie">
    <w:name w:val="Strong"/>
    <w:basedOn w:val="Domylnaczcionkaakapitu"/>
    <w:uiPriority w:val="22"/>
    <w:qFormat/>
    <w:rsid w:val="00E02475"/>
    <w:rPr>
      <w:b/>
      <w:bCs/>
    </w:rPr>
  </w:style>
  <w:style w:type="character" w:customStyle="1" w:styleId="Nagwek4Znak">
    <w:name w:val="Nagłówek 4 Znak"/>
    <w:basedOn w:val="Domylnaczcionkaakapitu"/>
    <w:link w:val="Nagwek4"/>
    <w:uiPriority w:val="9"/>
    <w:semiHidden/>
    <w:qFormat/>
    <w:rsid w:val="008F423B"/>
    <w:rPr>
      <w:rFonts w:asciiTheme="majorHAnsi" w:eastAsiaTheme="majorEastAsia" w:hAnsiTheme="majorHAnsi" w:cstheme="majorBidi"/>
      <w:b/>
      <w:bCs/>
      <w:i/>
      <w:iCs/>
      <w:color w:val="4F81BD" w:themeColor="accent1"/>
      <w:szCs w:val="20"/>
      <w:lang w:eastAsia="pl-PL"/>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rsid w:val="0097046B"/>
    <w:rPr>
      <w:rFonts w:ascii="Calibri" w:eastAsia="Times New Roman" w:hAnsi="Calibri" w:cs="Times New Roman"/>
      <w:szCs w:val="20"/>
      <w:lang w:eastAsia="pl-PL"/>
    </w:rPr>
  </w:style>
  <w:style w:type="character" w:customStyle="1" w:styleId="Nagwek2Znak">
    <w:name w:val="Nagłówek 2 Znak"/>
    <w:basedOn w:val="Domylnaczcionkaakapitu"/>
    <w:link w:val="Nagwek2"/>
    <w:uiPriority w:val="9"/>
    <w:qFormat/>
    <w:rsid w:val="0045229B"/>
    <w:rPr>
      <w:rFonts w:asciiTheme="majorHAnsi" w:eastAsiaTheme="majorEastAsia" w:hAnsiTheme="majorHAnsi" w:cstheme="majorBidi"/>
      <w:b/>
      <w:bCs/>
      <w:color w:val="4F81BD" w:themeColor="accent1"/>
      <w:sz w:val="26"/>
      <w:szCs w:val="26"/>
      <w:lang w:eastAsia="pl-PL"/>
    </w:rPr>
  </w:style>
  <w:style w:type="character" w:customStyle="1" w:styleId="ListLabel1">
    <w:name w:val="ListLabel 1"/>
    <w:qFormat/>
    <w:rPr>
      <w:sz w:val="24"/>
    </w:rPr>
  </w:style>
  <w:style w:type="character" w:customStyle="1" w:styleId="ListLabel2">
    <w:name w:val="ListLabel 2"/>
    <w:qFormat/>
    <w:rPr>
      <w:b w:val="0"/>
    </w:rPr>
  </w:style>
  <w:style w:type="character" w:customStyle="1" w:styleId="ListLabel3">
    <w:name w:val="ListLabel 3"/>
    <w:qFormat/>
    <w:rPr>
      <w:b w:val="0"/>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paragraph" w:customStyle="1" w:styleId="Heading">
    <w:name w:val="Heading"/>
    <w:basedOn w:val="Normalny"/>
    <w:next w:val="Tekstpodstawowy"/>
    <w:qFormat/>
    <w:pPr>
      <w:keepNext/>
      <w:spacing w:before="240" w:after="120"/>
    </w:pPr>
    <w:rPr>
      <w:rFonts w:ascii="Liberation Sans" w:eastAsia="PingFang SC" w:hAnsi="Liberation Sans" w:cs="Arial Unicode MS"/>
      <w:sz w:val="28"/>
      <w:szCs w:val="28"/>
    </w:rPr>
  </w:style>
  <w:style w:type="paragraph" w:styleId="Tekstpodstawowy">
    <w:name w:val="Body Text"/>
    <w:basedOn w:val="Normalny"/>
    <w:link w:val="TekstpodstawowyZnak"/>
    <w:rsid w:val="00CE6A92"/>
    <w:pPr>
      <w:spacing w:line="360" w:lineRule="auto"/>
      <w:jc w:val="center"/>
    </w:pPr>
    <w:rPr>
      <w:sz w:val="24"/>
      <w:szCs w:val="24"/>
    </w:rPr>
  </w:style>
  <w:style w:type="paragraph" w:styleId="Lista">
    <w:name w:val="List"/>
    <w:basedOn w:val="Tekstpodstawowy"/>
    <w:rPr>
      <w:rFonts w:cs="Arial Unicode MS"/>
    </w:rPr>
  </w:style>
  <w:style w:type="paragraph" w:styleId="Legenda">
    <w:name w:val="caption"/>
    <w:basedOn w:val="Normalny"/>
    <w:qFormat/>
    <w:pPr>
      <w:suppressLineNumbers/>
      <w:spacing w:before="120" w:after="120"/>
    </w:pPr>
    <w:rPr>
      <w:rFonts w:cs="Arial Unicode MS"/>
      <w:i/>
      <w:iCs/>
      <w:sz w:val="24"/>
      <w:szCs w:val="24"/>
    </w:rPr>
  </w:style>
  <w:style w:type="paragraph" w:customStyle="1" w:styleId="Index">
    <w:name w:val="Index"/>
    <w:basedOn w:val="Normalny"/>
    <w:qFormat/>
    <w:pPr>
      <w:suppressLineNumbers/>
    </w:pPr>
    <w:rPr>
      <w:rFonts w:cs="Arial Unicode MS"/>
    </w:rPr>
  </w:style>
  <w:style w:type="paragraph" w:styleId="Tekstdymka">
    <w:name w:val="Balloon Text"/>
    <w:basedOn w:val="Normalny"/>
    <w:link w:val="TekstdymkaZnak"/>
    <w:uiPriority w:val="99"/>
    <w:semiHidden/>
    <w:unhideWhenUsed/>
    <w:qFormat/>
    <w:rsid w:val="00B463A1"/>
    <w:rPr>
      <w:rFonts w:ascii="Tahoma" w:eastAsiaTheme="minorHAnsi" w:hAnsi="Tahoma" w:cs="Tahoma"/>
      <w:sz w:val="16"/>
      <w:szCs w:val="16"/>
      <w:lang w:eastAsia="en-US"/>
    </w:rPr>
  </w:style>
  <w:style w:type="paragraph" w:styleId="Nagwek">
    <w:name w:val="header"/>
    <w:basedOn w:val="Normalny"/>
    <w:link w:val="NagwekZnak"/>
    <w:uiPriority w:val="99"/>
    <w:unhideWhenUsed/>
    <w:rsid w:val="00B26BB1"/>
    <w:pPr>
      <w:tabs>
        <w:tab w:val="center" w:pos="4536"/>
        <w:tab w:val="right" w:pos="9072"/>
      </w:tabs>
    </w:pPr>
    <w:rPr>
      <w:rFonts w:eastAsiaTheme="minorHAnsi" w:cstheme="minorBidi"/>
      <w:szCs w:val="22"/>
      <w:lang w:eastAsia="en-US"/>
    </w:rPr>
  </w:style>
  <w:style w:type="paragraph" w:styleId="Stopka">
    <w:name w:val="footer"/>
    <w:basedOn w:val="Normalny"/>
    <w:link w:val="StopkaZnak"/>
    <w:uiPriority w:val="99"/>
    <w:unhideWhenUsed/>
    <w:rsid w:val="00B26BB1"/>
    <w:pPr>
      <w:tabs>
        <w:tab w:val="center" w:pos="4536"/>
        <w:tab w:val="right" w:pos="9072"/>
      </w:tabs>
    </w:pPr>
    <w:rPr>
      <w:rFonts w:eastAsiaTheme="minorHAnsi" w:cstheme="minorBidi"/>
      <w:szCs w:val="22"/>
      <w:lang w:eastAsia="en-US"/>
    </w:rPr>
  </w:style>
  <w:style w:type="paragraph" w:customStyle="1" w:styleId="Domylnie">
    <w:name w:val="Domyślnie"/>
    <w:qFormat/>
    <w:rsid w:val="00AC25DC"/>
    <w:pPr>
      <w:suppressAutoHyphens/>
    </w:pPr>
    <w:rPr>
      <w:rFonts w:ascii="Calibri" w:eastAsia="Times New Roman" w:hAnsi="Calibri" w:cs="Times New Roman"/>
      <w:color w:val="00000A"/>
      <w:sz w:val="22"/>
    </w:rPr>
  </w:style>
  <w:style w:type="paragraph" w:styleId="Akapitzlist">
    <w:name w:val="List Paragraph"/>
    <w:aliases w:val="Normal,Akapit z listą3,Akapit z listą31,Wypunktowanie,L1,Numerowanie,Akapit z listą5,CW_Lista"/>
    <w:basedOn w:val="Normalny"/>
    <w:link w:val="AkapitzlistZnak"/>
    <w:uiPriority w:val="34"/>
    <w:qFormat/>
    <w:rsid w:val="00635A09"/>
    <w:pPr>
      <w:ind w:left="720"/>
      <w:contextualSpacing/>
    </w:pPr>
  </w:style>
  <w:style w:type="paragraph" w:customStyle="1" w:styleId="Default">
    <w:name w:val="Default"/>
    <w:qFormat/>
    <w:rsid w:val="004A1541"/>
    <w:rPr>
      <w:rFonts w:ascii="Times New Roman" w:eastAsia="Times New Roman" w:hAnsi="Times New Roman" w:cs="Times New Roman"/>
      <w:color w:val="000000"/>
      <w:sz w:val="24"/>
      <w:szCs w:val="24"/>
      <w:lang w:eastAsia="pl-PL"/>
    </w:rPr>
  </w:style>
  <w:style w:type="paragraph" w:styleId="Tekstkomentarza">
    <w:name w:val="annotation text"/>
    <w:basedOn w:val="Normalny"/>
    <w:link w:val="TekstkomentarzaZnak"/>
    <w:uiPriority w:val="99"/>
    <w:unhideWhenUsed/>
    <w:qFormat/>
    <w:rsid w:val="00802A4D"/>
  </w:style>
  <w:style w:type="paragraph" w:styleId="Tematkomentarza">
    <w:name w:val="annotation subject"/>
    <w:basedOn w:val="Tekstkomentarza"/>
    <w:next w:val="Tekstkomentarza"/>
    <w:link w:val="TematkomentarzaZnak"/>
    <w:uiPriority w:val="99"/>
    <w:semiHidden/>
    <w:unhideWhenUsed/>
    <w:qFormat/>
    <w:rsid w:val="00802A4D"/>
    <w:rPr>
      <w:b/>
      <w:bCs/>
    </w:rPr>
  </w:style>
  <w:style w:type="paragraph" w:styleId="Tekstprzypisukocowego">
    <w:name w:val="endnote text"/>
    <w:basedOn w:val="Normalny"/>
    <w:link w:val="TekstprzypisukocowegoZnak"/>
    <w:uiPriority w:val="99"/>
    <w:semiHidden/>
    <w:unhideWhenUsed/>
    <w:rsid w:val="00DE76F2"/>
    <w:pPr>
      <w:spacing w:line="240" w:lineRule="auto"/>
    </w:pPr>
    <w:rPr>
      <w:sz w:val="20"/>
    </w:rPr>
  </w:style>
  <w:style w:type="paragraph" w:styleId="Zwykytekst">
    <w:name w:val="Plain Text"/>
    <w:basedOn w:val="Normalny"/>
    <w:link w:val="ZwykytekstZnak"/>
    <w:uiPriority w:val="99"/>
    <w:semiHidden/>
    <w:unhideWhenUsed/>
    <w:qFormat/>
    <w:rsid w:val="00B90497"/>
    <w:pPr>
      <w:spacing w:line="240" w:lineRule="auto"/>
    </w:pPr>
    <w:rPr>
      <w:rFonts w:eastAsiaTheme="minorHAnsi" w:cstheme="minorBidi"/>
      <w:szCs w:val="21"/>
      <w:lang w:eastAsia="en-US"/>
    </w:rPr>
  </w:style>
  <w:style w:type="paragraph" w:customStyle="1" w:styleId="Normalny1">
    <w:name w:val="Normalny1"/>
    <w:qFormat/>
    <w:rsid w:val="00AA29F3"/>
    <w:pPr>
      <w:contextualSpacing/>
    </w:pPr>
    <w:rPr>
      <w:rFonts w:ascii="Arial" w:eastAsia="Arial" w:hAnsi="Arial" w:cs="Arial"/>
      <w:sz w:val="22"/>
      <w:lang w:eastAsia="pl-PL"/>
    </w:rPr>
  </w:style>
  <w:style w:type="paragraph" w:styleId="NormalnyWeb">
    <w:name w:val="Normal (Web)"/>
    <w:basedOn w:val="Normalny"/>
    <w:uiPriority w:val="99"/>
    <w:semiHidden/>
    <w:unhideWhenUsed/>
    <w:qFormat/>
    <w:rsid w:val="00E02475"/>
    <w:pPr>
      <w:spacing w:beforeAutospacing="1" w:afterAutospacing="1" w:line="240" w:lineRule="auto"/>
    </w:pPr>
    <w:rPr>
      <w:rFonts w:ascii="Times New Roman" w:hAnsi="Times New Roman"/>
      <w:sz w:val="24"/>
      <w:szCs w:val="24"/>
    </w:rPr>
  </w:style>
  <w:style w:type="paragraph" w:customStyle="1" w:styleId="FrameContents">
    <w:name w:val="Frame Contents"/>
    <w:basedOn w:val="Normalny"/>
    <w:qFormat/>
  </w:style>
  <w:style w:type="table" w:styleId="Tabela-Siatka">
    <w:name w:val="Table Grid"/>
    <w:basedOn w:val="Standardowy"/>
    <w:uiPriority w:val="59"/>
    <w:rsid w:val="00AA29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294140"/>
    <w:pPr>
      <w:spacing w:line="240" w:lineRule="auto"/>
    </w:pPr>
    <w:rPr>
      <w:sz w:val="20"/>
    </w:rPr>
  </w:style>
  <w:style w:type="character" w:customStyle="1" w:styleId="TekstprzypisudolnegoZnak">
    <w:name w:val="Tekst przypisu dolnego Znak"/>
    <w:basedOn w:val="Domylnaczcionkaakapitu"/>
    <w:link w:val="Tekstprzypisudolnego"/>
    <w:uiPriority w:val="99"/>
    <w:semiHidden/>
    <w:rsid w:val="00294140"/>
    <w:rPr>
      <w:rFonts w:eastAsia="Times New Roman" w:cs="Times New Roman"/>
      <w:szCs w:val="20"/>
      <w:lang w:eastAsia="pl-PL"/>
    </w:rPr>
  </w:style>
  <w:style w:type="character" w:styleId="Odwoanieprzypisudolnego">
    <w:name w:val="footnote reference"/>
    <w:basedOn w:val="Domylnaczcionkaakapitu"/>
    <w:uiPriority w:val="99"/>
    <w:semiHidden/>
    <w:unhideWhenUsed/>
    <w:rsid w:val="00294140"/>
    <w:rPr>
      <w:vertAlign w:val="superscript"/>
    </w:rPr>
  </w:style>
  <w:style w:type="character" w:styleId="Hipercze">
    <w:name w:val="Hyperlink"/>
    <w:uiPriority w:val="99"/>
    <w:rsid w:val="00171B3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7824D9-5184-4C10-9BEF-F8C028B20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1739</Words>
  <Characters>10435</Characters>
  <Application>Microsoft Office Word</Application>
  <DocSecurity>0</DocSecurity>
  <Lines>86</Lines>
  <Paragraphs>24</Paragraphs>
  <ScaleCrop>false</ScaleCrop>
  <HeadingPairs>
    <vt:vector size="2" baseType="variant">
      <vt:variant>
        <vt:lpstr>Tytuł</vt:lpstr>
      </vt:variant>
      <vt:variant>
        <vt:i4>1</vt:i4>
      </vt:variant>
    </vt:vector>
  </HeadingPairs>
  <TitlesOfParts>
    <vt:vector size="1" baseType="lpstr">
      <vt:lpstr/>
    </vt:vector>
  </TitlesOfParts>
  <Company>Uniwerstytet Śląski</Company>
  <LinksUpToDate>false</LinksUpToDate>
  <CharactersWithSpaces>12150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glab</dc:creator>
  <dc:description/>
  <cp:lastModifiedBy>Ewa Słowik</cp:lastModifiedBy>
  <cp:revision>3</cp:revision>
  <cp:lastPrinted>2023-09-07T06:29:00Z</cp:lastPrinted>
  <dcterms:created xsi:type="dcterms:W3CDTF">2023-09-20T11:31:00Z</dcterms:created>
  <dcterms:modified xsi:type="dcterms:W3CDTF">2023-09-23T16:27:00Z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Uniwerstytet Śląski</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