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772ADC32"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RI.271</w:t>
      </w:r>
      <w:r w:rsidR="00F63E61">
        <w:rPr>
          <w:rFonts w:asciiTheme="minorHAnsi" w:hAnsiTheme="minorHAnsi" w:cstheme="minorHAnsi"/>
          <w:sz w:val="24"/>
          <w:szCs w:val="24"/>
        </w:rPr>
        <w:t>.</w:t>
      </w:r>
      <w:r w:rsidR="00630802">
        <w:rPr>
          <w:rFonts w:asciiTheme="minorHAnsi" w:hAnsiTheme="minorHAnsi" w:cstheme="minorHAnsi"/>
          <w:sz w:val="24"/>
          <w:szCs w:val="24"/>
        </w:rPr>
        <w:t>6</w:t>
      </w:r>
      <w:r w:rsidRPr="001B382B">
        <w:rPr>
          <w:rFonts w:asciiTheme="minorHAnsi" w:hAnsiTheme="minorHAnsi" w:cstheme="minorHAnsi"/>
          <w:sz w:val="24"/>
          <w:szCs w:val="24"/>
        </w:rPr>
        <w:t>.20</w:t>
      </w:r>
      <w:bookmarkEnd w:id="0"/>
      <w:bookmarkEnd w:id="1"/>
      <w:r w:rsidRPr="001B382B">
        <w:rPr>
          <w:rFonts w:asciiTheme="minorHAnsi" w:hAnsiTheme="minorHAnsi" w:cstheme="minorHAnsi"/>
          <w:sz w:val="24"/>
          <w:szCs w:val="24"/>
        </w:rPr>
        <w:t>2</w:t>
      </w:r>
      <w:r w:rsidR="00DE0B33">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6C3CC4A1"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 xml:space="preserve">z dnia 11 września 2019 r. – Prawo zamówień publicznych (Dz. U. z 2019 r. poz. 2019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77E20BD6"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35ECFA78" w14:textId="77777777" w:rsidR="001B382B" w:rsidRPr="001B382B" w:rsidRDefault="001B382B" w:rsidP="001B382B">
      <w:pPr>
        <w:pStyle w:val="Bodytext20"/>
        <w:shd w:val="clear" w:color="auto" w:fill="auto"/>
        <w:rPr>
          <w:rFonts w:asciiTheme="minorHAnsi" w:hAnsiTheme="minorHAnsi" w:cstheme="minorHAnsi"/>
          <w:b/>
          <w:sz w:val="24"/>
          <w:szCs w:val="24"/>
        </w:rPr>
      </w:pPr>
    </w:p>
    <w:p w14:paraId="6D8A7CAB" w14:textId="058D55E1"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630802" w:rsidRPr="00630802">
        <w:rPr>
          <w:rFonts w:asciiTheme="minorHAnsi" w:hAnsiTheme="minorHAnsi" w:cstheme="minorHAnsi"/>
          <w:b/>
          <w:bCs/>
        </w:rPr>
        <w:t>Budowa drogi gminnej - ulicy Słonecznej wraz ze zjazdami i odwodnieniem w formie kanalizacji deszczowej w miejscowości Bucz</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3210F90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AC151F">
        <w:rPr>
          <w:rFonts w:asciiTheme="minorHAnsi" w:hAnsiTheme="minorHAnsi" w:cstheme="minorHAnsi"/>
        </w:rPr>
        <w:t>e</w:t>
      </w:r>
      <w:r w:rsidRPr="001B382B">
        <w:rPr>
          <w:rFonts w:asciiTheme="minorHAnsi" w:hAnsiTheme="minorHAnsi" w:cstheme="minorHAnsi"/>
        </w:rPr>
        <w:t xml:space="preserve"> techniczn</w:t>
      </w:r>
      <w:r w:rsidR="00AC151F">
        <w:rPr>
          <w:rFonts w:asciiTheme="minorHAnsi" w:hAnsiTheme="minorHAnsi" w:cstheme="minorHAnsi"/>
        </w:rPr>
        <w:t>e</w:t>
      </w:r>
      <w:r w:rsidRPr="001B382B">
        <w:rPr>
          <w:rFonts w:asciiTheme="minorHAnsi" w:hAnsiTheme="minorHAnsi" w:cstheme="minorHAnsi"/>
        </w:rPr>
        <w:t xml:space="preserve"> wykonania i odbioru robót,</w:t>
      </w:r>
    </w:p>
    <w:p w14:paraId="3F8D6473"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przedmiary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43C7C404"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88E98CE" w:rsidR="00423C8C" w:rsidRPr="001B382B"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D43516">
        <w:rPr>
          <w:rFonts w:asciiTheme="minorHAnsi" w:hAnsiTheme="minorHAnsi" w:cstheme="minorHAnsi"/>
          <w:u w:val="single"/>
        </w:rPr>
        <w:t>Wykonawca zobowiązuje się do przedłożenia w terminie 7 dni od daty podpisania umowy kosztorys</w:t>
      </w:r>
      <w:r w:rsidR="0044095C" w:rsidRPr="00D43516">
        <w:rPr>
          <w:rFonts w:asciiTheme="minorHAnsi" w:hAnsiTheme="minorHAnsi" w:cstheme="minorHAnsi"/>
          <w:u w:val="single"/>
        </w:rPr>
        <w:t>u</w:t>
      </w:r>
      <w:r w:rsidRPr="00D43516">
        <w:rPr>
          <w:rFonts w:asciiTheme="minorHAnsi" w:hAnsiTheme="minorHAnsi" w:cstheme="minorHAnsi"/>
          <w:u w:val="single"/>
        </w:rPr>
        <w:t xml:space="preserve"> ofertow</w:t>
      </w:r>
      <w:r w:rsidR="0044095C" w:rsidRPr="00D43516">
        <w:rPr>
          <w:rFonts w:asciiTheme="minorHAnsi" w:hAnsiTheme="minorHAnsi" w:cstheme="minorHAnsi"/>
          <w:u w:val="single"/>
        </w:rPr>
        <w:t>ego</w:t>
      </w:r>
      <w:r w:rsidRPr="00D43516">
        <w:rPr>
          <w:rFonts w:asciiTheme="minorHAnsi" w:hAnsiTheme="minorHAnsi" w:cstheme="minorHAnsi"/>
          <w:u w:val="single"/>
        </w:rPr>
        <w:t xml:space="preserve"> </w:t>
      </w:r>
      <w:r w:rsidR="00373813" w:rsidRPr="00D43516">
        <w:rPr>
          <w:rFonts w:asciiTheme="minorHAnsi" w:hAnsiTheme="minorHAnsi" w:cstheme="minorHAnsi"/>
          <w:u w:val="single"/>
        </w:rPr>
        <w:t>w oparciu</w:t>
      </w:r>
      <w:r w:rsidR="00D57B08">
        <w:rPr>
          <w:rFonts w:asciiTheme="minorHAnsi" w:hAnsiTheme="minorHAnsi" w:cstheme="minorHAnsi"/>
          <w:u w:val="single"/>
        </w:rPr>
        <w:t>,</w:t>
      </w:r>
      <w:r w:rsidR="00373813" w:rsidRPr="00D43516">
        <w:rPr>
          <w:rFonts w:asciiTheme="minorHAnsi" w:hAnsiTheme="minorHAnsi" w:cstheme="minorHAnsi"/>
          <w:u w:val="single"/>
        </w:rPr>
        <w:t xml:space="preserve"> o który złożył ofertę</w:t>
      </w:r>
      <w:r w:rsidR="00373813">
        <w:rPr>
          <w:rFonts w:asciiTheme="minorHAnsi" w:hAnsiTheme="minorHAnsi" w:cstheme="minorHAnsi"/>
        </w:rPr>
        <w:t>.</w:t>
      </w:r>
    </w:p>
    <w:p w14:paraId="435472BA" w14:textId="77777777" w:rsidR="001B382B" w:rsidRPr="001B382B" w:rsidRDefault="001B382B" w:rsidP="001B382B">
      <w:pPr>
        <w:pStyle w:val="Tekstpodstawowy"/>
        <w:shd w:val="clear" w:color="auto" w:fill="auto"/>
        <w:tabs>
          <w:tab w:val="left" w:pos="284"/>
        </w:tabs>
        <w:spacing w:after="120"/>
        <w:jc w:val="center"/>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48D7F92D"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207F197A"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p>
    <w:p w14:paraId="470126E6" w14:textId="77777777" w:rsidR="001B382B" w:rsidRPr="001B382B"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Termin rozpoczęcia realizacji przedmiotu umowy od dnia podpisania umowy po protokolarnym przekazaniu terenu  budowy.</w:t>
      </w:r>
    </w:p>
    <w:p w14:paraId="7E3EDF31" w14:textId="6CF12AC0" w:rsidR="00AC151F"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rPr>
        <w:lastRenderedPageBreak/>
        <w:t xml:space="preserve">Termin realizacji przedmiotu umowy: </w:t>
      </w:r>
      <w:r w:rsidR="00AC151F">
        <w:rPr>
          <w:rFonts w:asciiTheme="minorHAnsi" w:hAnsiTheme="minorHAnsi" w:cstheme="minorHAnsi"/>
          <w:b/>
          <w:bCs/>
        </w:rPr>
        <w:t>4 miesiące (cztery miesiące) od dnia podpisania umowy.</w:t>
      </w:r>
      <w:r w:rsidR="0077373A" w:rsidRPr="00BC0522">
        <w:rPr>
          <w:rFonts w:asciiTheme="minorHAnsi" w:hAnsiTheme="minorHAnsi" w:cstheme="minorHAnsi"/>
          <w:b/>
          <w:bCs/>
        </w:rPr>
        <w:t xml:space="preserve"> </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b/>
          <w:bCs/>
        </w:rPr>
        <w:t xml:space="preserve">Za termin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540F8B7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73652379"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 specjalności </w:t>
      </w:r>
      <w:r w:rsidR="00AC151F">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7BC5639" w14:textId="584F3176" w:rsidR="001B382B" w:rsidRDefault="001B382B" w:rsidP="001B382B">
      <w:pPr>
        <w:pStyle w:val="Tekstpodstawowy"/>
        <w:shd w:val="clear" w:color="auto" w:fill="auto"/>
        <w:spacing w:before="120"/>
        <w:ind w:left="720"/>
        <w:jc w:val="both"/>
        <w:rPr>
          <w:rFonts w:asciiTheme="minorHAnsi" w:hAnsiTheme="minorHAnsi" w:cstheme="minorHAnsi"/>
          <w:sz w:val="24"/>
          <w:szCs w:val="24"/>
        </w:rPr>
      </w:pP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50A9ADA5" w14:textId="77777777" w:rsidR="00F9417E" w:rsidRPr="001B382B" w:rsidRDefault="00F9417E" w:rsidP="00DC2263">
      <w:pPr>
        <w:pStyle w:val="Tekstpodstawowy"/>
        <w:shd w:val="clear" w:color="auto" w:fill="auto"/>
        <w:tabs>
          <w:tab w:val="left" w:pos="359"/>
        </w:tabs>
        <w:ind w:left="380"/>
        <w:jc w:val="both"/>
        <w:rPr>
          <w:rFonts w:asciiTheme="minorHAnsi" w:hAnsiTheme="minorHAnsi" w:cstheme="minorHAnsi"/>
          <w:sz w:val="24"/>
          <w:szCs w:val="24"/>
        </w:rPr>
      </w:pP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odpowiada za wszelkie szkody powstałe w związku z realizacją prac będących przedmiotem umowy. Odpowiedzialność ta wiąże się z usunięciem wszelkich szkód objętych </w:t>
      </w:r>
      <w:r w:rsidRPr="001B382B">
        <w:rPr>
          <w:rFonts w:asciiTheme="minorHAnsi" w:hAnsiTheme="minorHAnsi" w:cstheme="minorHAnsi"/>
          <w:sz w:val="24"/>
          <w:szCs w:val="24"/>
        </w:rPr>
        <w:lastRenderedPageBreak/>
        <w:t>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26CBFFB5"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przestrzeganiu ustawy z dnia 14 grudnia 2012 r. o odpadach (Dz. U. z 2020 r., poz. 797</w:t>
      </w:r>
      <w:r w:rsidR="00E42B9A">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1B86169B" w14:textId="77777777" w:rsidR="001B382B" w:rsidRPr="001B382B" w:rsidRDefault="001B382B" w:rsidP="001B382B">
      <w:pPr>
        <w:pStyle w:val="Tekstpodstawowy"/>
        <w:shd w:val="clear" w:color="auto" w:fill="auto"/>
        <w:tabs>
          <w:tab w:val="left" w:pos="359"/>
        </w:tabs>
        <w:spacing w:line="266" w:lineRule="auto"/>
        <w:jc w:val="both"/>
        <w:rPr>
          <w:rFonts w:asciiTheme="minorHAnsi" w:hAnsiTheme="minorHAnsi" w:cstheme="minorHAnsi"/>
          <w:sz w:val="24"/>
          <w:szCs w:val="24"/>
        </w:rPr>
      </w:pP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7777777"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AC151F">
        <w:rPr>
          <w:rFonts w:asciiTheme="minorHAnsi" w:hAnsiTheme="minorHAnsi" w:cstheme="minorHAnsi"/>
          <w:sz w:val="24"/>
          <w:szCs w:val="24"/>
        </w:rPr>
        <w:t xml:space="preserve">, </w:t>
      </w:r>
      <w:r w:rsidR="003E7948" w:rsidRPr="003E7948">
        <w:rPr>
          <w:rFonts w:asciiTheme="minorHAnsi" w:hAnsiTheme="minorHAnsi" w:cstheme="minorHAnsi"/>
          <w:sz w:val="24"/>
          <w:szCs w:val="24"/>
        </w:rPr>
        <w:t>z wyjątkiem</w:t>
      </w:r>
      <w:r w:rsidR="003E7948">
        <w:rPr>
          <w:rFonts w:asciiTheme="minorHAnsi" w:hAnsiTheme="minorHAnsi" w:cstheme="minorHAnsi"/>
          <w:sz w:val="24"/>
          <w:szCs w:val="24"/>
        </w:rPr>
        <w:t xml:space="preserve"> </w:t>
      </w:r>
      <w:r w:rsidR="003E7948" w:rsidRPr="003E7948">
        <w:rPr>
          <w:rFonts w:asciiTheme="minorHAnsi" w:hAnsiTheme="minorHAnsi" w:cstheme="minorHAnsi"/>
          <w:sz w:val="24"/>
          <w:szCs w:val="24"/>
        </w:rPr>
        <w:t>następującego materiału: kostka brukowa w ilości 1 572,07 m</w:t>
      </w:r>
      <w:r w:rsidR="003E7948" w:rsidRPr="003E7948">
        <w:rPr>
          <w:rFonts w:asciiTheme="minorHAnsi" w:hAnsiTheme="minorHAnsi" w:cstheme="minorHAnsi"/>
          <w:sz w:val="24"/>
          <w:szCs w:val="24"/>
          <w:vertAlign w:val="superscript"/>
        </w:rPr>
        <w:t>2</w:t>
      </w:r>
      <w:r w:rsidR="003E7948" w:rsidRPr="003E7948">
        <w:rPr>
          <w:rFonts w:asciiTheme="minorHAnsi" w:hAnsiTheme="minorHAnsi" w:cstheme="minorHAnsi"/>
          <w:sz w:val="24"/>
          <w:szCs w:val="24"/>
        </w:rPr>
        <w:t xml:space="preserve"> grub. 8 cm.</w:t>
      </w:r>
      <w:r w:rsidR="003E7948">
        <w:rPr>
          <w:rFonts w:asciiTheme="minorHAnsi" w:hAnsiTheme="minorHAnsi" w:cstheme="minorHAnsi"/>
          <w:sz w:val="24"/>
          <w:szCs w:val="24"/>
        </w:rPr>
        <w:t xml:space="preserve"> </w:t>
      </w:r>
    </w:p>
    <w:p w14:paraId="7411BEE2" w14:textId="38488D66" w:rsidR="001B382B" w:rsidRPr="003E7948" w:rsidRDefault="003E7948" w:rsidP="003E7948">
      <w:pPr>
        <w:pStyle w:val="Tekstpodstawowy"/>
        <w:numPr>
          <w:ilvl w:val="0"/>
          <w:numId w:val="4"/>
        </w:numPr>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dostarczyć </w:t>
      </w:r>
      <w:r w:rsidR="00F70E33">
        <w:rPr>
          <w:rFonts w:asciiTheme="minorHAnsi" w:hAnsiTheme="minorHAnsi" w:cstheme="minorHAnsi"/>
          <w:sz w:val="24"/>
          <w:szCs w:val="24"/>
        </w:rPr>
        <w:t xml:space="preserve">na plac budowy </w:t>
      </w:r>
      <w:r>
        <w:rPr>
          <w:rFonts w:asciiTheme="minorHAnsi" w:hAnsiTheme="minorHAnsi" w:cstheme="minorHAnsi"/>
          <w:sz w:val="24"/>
          <w:szCs w:val="24"/>
        </w:rPr>
        <w:t>m</w:t>
      </w:r>
      <w:r w:rsidRPr="003E7948">
        <w:rPr>
          <w:rFonts w:asciiTheme="minorHAnsi" w:hAnsiTheme="minorHAnsi" w:cstheme="minorHAnsi"/>
          <w:sz w:val="24"/>
          <w:szCs w:val="24"/>
        </w:rPr>
        <w:t>ateriał budowlany Zamawiającego w postaci kostki brukowej</w:t>
      </w:r>
      <w:r w:rsidR="00F70E33">
        <w:rPr>
          <w:rFonts w:asciiTheme="minorHAnsi" w:hAnsiTheme="minorHAnsi" w:cstheme="minorHAnsi"/>
          <w:sz w:val="24"/>
          <w:szCs w:val="24"/>
        </w:rPr>
        <w:t xml:space="preserve"> z miejsca oddalonego o około 500 m od placu budowy, w którym został zgromadzony.</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1A6EC6C4"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(Dz. U. z 2020 r., poz. 215</w:t>
      </w:r>
      <w:r w:rsidR="00076CF7">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590ABA92" w14:textId="17B6F469" w:rsidR="001B382B" w:rsidRPr="001B382B"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w:t>
      </w:r>
      <w:r w:rsidRPr="001B382B">
        <w:rPr>
          <w:rFonts w:asciiTheme="minorHAnsi" w:hAnsiTheme="minorHAnsi" w:cstheme="minorHAnsi"/>
          <w:sz w:val="24"/>
          <w:szCs w:val="24"/>
        </w:rPr>
        <w:lastRenderedPageBreak/>
        <w:t>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t>
      </w:r>
      <w:r w:rsidRPr="006826F0">
        <w:rPr>
          <w:rFonts w:asciiTheme="minorHAnsi" w:eastAsia="Arial Narrow" w:hAnsiTheme="minorHAnsi" w:cstheme="minorHAnsi"/>
          <w:lang w:eastAsia="en-US"/>
        </w:rPr>
        <w:lastRenderedPageBreak/>
        <w:t xml:space="preserve">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dotyczy wyłącznie należności powstałych po </w:t>
      </w:r>
      <w:r w:rsidRPr="001B382B">
        <w:rPr>
          <w:rFonts w:asciiTheme="minorHAnsi" w:hAnsiTheme="minorHAnsi" w:cstheme="minorHAnsi"/>
          <w:sz w:val="24"/>
          <w:szCs w:val="24"/>
        </w:rPr>
        <w:lastRenderedPageBreak/>
        <w:t>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27617CCE"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Pr="001B382B">
        <w:rPr>
          <w:rFonts w:asciiTheme="minorHAnsi" w:hAnsiTheme="minorHAnsi" w:cstheme="minorHAnsi"/>
          <w:sz w:val="24"/>
          <w:szCs w:val="24"/>
        </w:rPr>
        <w:t xml:space="preserve"> </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09376231" w:rsidR="00523AFE" w:rsidRPr="00AC151F"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lastRenderedPageBreak/>
        <w:t>Należność za wykonany przedmiot umowy zostanie uregulowana</w:t>
      </w:r>
      <w:r w:rsidR="00FD78B7">
        <w:rPr>
          <w:rFonts w:asciiTheme="minorHAnsi" w:hAnsiTheme="minorHAnsi" w:cstheme="minorHAnsi"/>
          <w:sz w:val="24"/>
          <w:szCs w:val="24"/>
        </w:rPr>
        <w:t xml:space="preserve"> </w:t>
      </w:r>
      <w:r w:rsidR="00FD78B7" w:rsidRPr="0018281F">
        <w:rPr>
          <w:rFonts w:asciiTheme="minorHAnsi" w:hAnsiTheme="minorHAnsi" w:cstheme="minorHAnsi"/>
          <w:sz w:val="24"/>
          <w:szCs w:val="24"/>
        </w:rPr>
        <w:t>jedną fakturą</w:t>
      </w:r>
      <w:r w:rsidRPr="00D81093">
        <w:rPr>
          <w:rFonts w:asciiTheme="minorHAnsi" w:hAnsiTheme="minorHAnsi" w:cstheme="minorHAnsi"/>
          <w:sz w:val="24"/>
          <w:szCs w:val="24"/>
        </w:rPr>
        <w:t xml:space="preserve"> po </w:t>
      </w:r>
      <w:r w:rsidR="00FD78B7">
        <w:rPr>
          <w:rFonts w:asciiTheme="minorHAnsi" w:hAnsiTheme="minorHAnsi" w:cstheme="minorHAnsi"/>
          <w:sz w:val="24"/>
          <w:szCs w:val="24"/>
        </w:rPr>
        <w:t xml:space="preserve">końcowym </w:t>
      </w:r>
      <w:r w:rsidRPr="00D81093">
        <w:rPr>
          <w:rFonts w:asciiTheme="minorHAnsi" w:hAnsiTheme="minorHAnsi" w:cstheme="minorHAnsi"/>
          <w:sz w:val="24"/>
          <w:szCs w:val="24"/>
        </w:rPr>
        <w:t xml:space="preserve">odbiorze robót w terminie </w:t>
      </w:r>
      <w:r w:rsidR="00777A2E">
        <w:rPr>
          <w:rFonts w:asciiTheme="minorHAnsi" w:hAnsiTheme="minorHAnsi" w:cstheme="minorHAnsi"/>
          <w:sz w:val="24"/>
          <w:szCs w:val="24"/>
        </w:rPr>
        <w:t>14</w:t>
      </w:r>
      <w:r w:rsidRPr="00D81093">
        <w:rPr>
          <w:rFonts w:asciiTheme="minorHAnsi" w:hAnsiTheme="minorHAnsi" w:cstheme="minorHAnsi"/>
          <w:sz w:val="24"/>
          <w:szCs w:val="24"/>
        </w:rPr>
        <w:t xml:space="preserve"> dni od daty wpływu faktury do Zamawiającego.</w:t>
      </w:r>
      <w:r w:rsidRPr="00D81093">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1B382B">
        <w:rPr>
          <w:rFonts w:asciiTheme="minorHAnsi" w:hAnsiTheme="minorHAnsi" w:cstheme="minorHAnsi"/>
          <w:bCs/>
          <w:sz w:val="24"/>
          <w:szCs w:val="24"/>
        </w:rPr>
        <w:t>Rozliczenie płatności VAT  nastąpi za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1E1150CA" w:rsidR="001B382B" w:rsidRPr="001B382B" w:rsidRDefault="001B382B" w:rsidP="00044E7B">
      <w:pPr>
        <w:pStyle w:val="Tekstpodstawowy"/>
        <w:numPr>
          <w:ilvl w:val="0"/>
          <w:numId w:val="11"/>
        </w:numPr>
        <w:shd w:val="clear" w:color="auto" w:fill="auto"/>
        <w:tabs>
          <w:tab w:val="left" w:pos="284"/>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stanowić będ</w:t>
      </w:r>
      <w:r w:rsidR="00A51A9E">
        <w:rPr>
          <w:rFonts w:asciiTheme="minorHAnsi" w:hAnsiTheme="minorHAnsi" w:cstheme="minorHAnsi"/>
          <w:sz w:val="24"/>
          <w:szCs w:val="24"/>
        </w:rPr>
        <w:t>zie</w:t>
      </w:r>
      <w:r w:rsidRPr="001B382B">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00EA1F35">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244CE2A7" w:rsidR="001B382B" w:rsidRPr="001B382B" w:rsidRDefault="004A4090" w:rsidP="004A4090">
      <w:pPr>
        <w:pStyle w:val="Tekstpodstawowy"/>
        <w:shd w:val="clear" w:color="auto" w:fill="auto"/>
        <w:spacing w:after="240"/>
        <w:ind w:left="-284" w:firstLine="284"/>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nie wyraża zgody na cesję wierzytelności z tytułu wynagrodzenia wynikającego </w:t>
      </w:r>
      <w:r>
        <w:rPr>
          <w:rFonts w:asciiTheme="minorHAnsi" w:hAnsiTheme="minorHAnsi" w:cstheme="minorHAnsi"/>
          <w:sz w:val="24"/>
          <w:szCs w:val="24"/>
        </w:rPr>
        <w:br/>
        <w:t xml:space="preserve">      </w:t>
      </w:r>
      <w:r w:rsidRPr="001B382B">
        <w:rPr>
          <w:rFonts w:asciiTheme="minorHAnsi" w:hAnsiTheme="minorHAnsi" w:cstheme="minorHAnsi"/>
          <w:sz w:val="24"/>
          <w:szCs w:val="24"/>
        </w:rPr>
        <w:t>z</w:t>
      </w:r>
      <w:r>
        <w:rPr>
          <w:rFonts w:asciiTheme="minorHAnsi" w:hAnsiTheme="minorHAnsi" w:cstheme="minorHAnsi"/>
          <w:sz w:val="24"/>
          <w:szCs w:val="24"/>
        </w:rPr>
        <w:t xml:space="preserve"> </w:t>
      </w:r>
      <w:r w:rsidRPr="001B382B">
        <w:rPr>
          <w:rFonts w:asciiTheme="minorHAnsi" w:hAnsiTheme="minorHAnsi" w:cstheme="minorHAnsi"/>
          <w:sz w:val="24"/>
          <w:szCs w:val="24"/>
        </w:rPr>
        <w:t>niniejszej umowy</w:t>
      </w:r>
      <w:r>
        <w:rPr>
          <w:rFonts w:asciiTheme="minorHAnsi" w:hAnsiTheme="minorHAnsi" w:cstheme="minorHAnsi"/>
          <w:sz w:val="24"/>
          <w:szCs w:val="24"/>
        </w:rPr>
        <w:t>.</w:t>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lastRenderedPageBreak/>
        <w:t>geodezyjną inwentaryzację powykonawczą lub szkice geodezyjne wraz z zestawieniem podpisane przez geodetę i potwierdzeniem złożenia dokumentów w Powiatowym Ośrodku Dokumentacji Geodezyjnej i Kartograficznej w Wolsztynie,</w:t>
      </w:r>
    </w:p>
    <w:p w14:paraId="12B4AF02" w14:textId="1B629F62"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648E85FD"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kosztorysy powykonawcze obejmujące zakres robót będących przedmiotem odbioru, przygotowany w oparciu o dane wyjściowe przyjęte w kosztorysach ofertowych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kosztorysach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677D2636"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AC151F">
        <w:rPr>
          <w:rFonts w:asciiTheme="minorHAnsi" w:hAnsiTheme="minorHAnsi" w:cstheme="minorHAnsi"/>
          <w:sz w:val="24"/>
          <w:szCs w:val="24"/>
        </w:rPr>
        <w:t>roboty drogowe (roboty przygotowawcze, roboty ziemne, wykonanie kanalizacji deszczowej, wykonanie podbudowy i nawierzchni)</w:t>
      </w:r>
      <w:r>
        <w:rPr>
          <w:rFonts w:asciiTheme="minorHAnsi" w:hAnsiTheme="minorHAnsi" w:cstheme="minorHAnsi"/>
          <w:sz w:val="24"/>
          <w:szCs w:val="24"/>
        </w:rPr>
        <w:t xml:space="preserve"> </w:t>
      </w:r>
      <w:r w:rsidR="004B0594" w:rsidRPr="004B0594">
        <w:rPr>
          <w:rFonts w:asciiTheme="minorHAnsi" w:hAnsiTheme="minorHAnsi" w:cstheme="minorHAnsi"/>
          <w:sz w:val="24"/>
          <w:szCs w:val="24"/>
        </w:rPr>
        <w:t>b</w:t>
      </w:r>
      <w:r w:rsidR="001B382B" w:rsidRPr="004B0594">
        <w:rPr>
          <w:rFonts w:asciiTheme="minorHAnsi" w:hAnsiTheme="minorHAnsi" w:cstheme="minorHAnsi"/>
          <w:sz w:val="24"/>
          <w:szCs w:val="24"/>
        </w:rPr>
        <w:t xml:space="preserve">ędą zatrudnione przez wykonawcę lub podwykonawcę na podstawie umowy o pracę w rozumieniu przepisów art. 22 ust. 1 ustawy z dnia 26 czerwca </w:t>
      </w:r>
      <w:r w:rsidR="001B382B" w:rsidRPr="004B0594">
        <w:rPr>
          <w:rFonts w:asciiTheme="minorHAnsi" w:hAnsiTheme="minorHAnsi" w:cstheme="minorHAnsi"/>
          <w:sz w:val="24"/>
          <w:szCs w:val="24"/>
        </w:rPr>
        <w:lastRenderedPageBreak/>
        <w:t>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3325F2C9"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0,02%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lastRenderedPageBreak/>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0C347D8C" w14:textId="52711373" w:rsidR="006009FD" w:rsidRPr="009A2932" w:rsidRDefault="006009FD" w:rsidP="002C4572">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5F3C29BA" w14:textId="77777777" w:rsidR="00797CC6" w:rsidRPr="003248FC" w:rsidRDefault="00797CC6" w:rsidP="000F3A43">
      <w:pPr>
        <w:pStyle w:val="Tekstpodstawowy"/>
        <w:shd w:val="clear" w:color="auto" w:fill="auto"/>
        <w:spacing w:line="266" w:lineRule="auto"/>
        <w:rPr>
          <w:rFonts w:asciiTheme="minorHAnsi" w:hAnsiTheme="minorHAnsi" w:cstheme="minorHAnsi"/>
          <w:b/>
          <w:sz w:val="24"/>
          <w:szCs w:val="24"/>
          <w:highlight w:val="yellow"/>
        </w:rPr>
      </w:pP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sidRPr="00736B38">
        <w:rPr>
          <w:rFonts w:asciiTheme="minorHAnsi" w:hAnsiTheme="minorHAnsi" w:cstheme="minorHAnsi"/>
          <w:sz w:val="24"/>
          <w:szCs w:val="24"/>
        </w:rPr>
        <w:t>Gwarancja/rękojmia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1921CA">
        <w:rPr>
          <w:rFonts w:asciiTheme="minorHAnsi" w:hAnsiTheme="minorHAnsi" w:cstheme="minorHAnsi"/>
          <w:sz w:val="24"/>
          <w:szCs w:val="24"/>
        </w:rPr>
        <w:t>Termin realizacji zamówienia może ulec zmianie w sytuacji:</w:t>
      </w:r>
      <w:bookmarkEnd w:id="38"/>
      <w:bookmarkEnd w:id="39"/>
    </w:p>
    <w:p w14:paraId="271F2F3D" w14:textId="77777777" w:rsidR="001B382B" w:rsidRPr="001921CA" w:rsidRDefault="001B382B" w:rsidP="001B382B">
      <w:pPr>
        <w:pStyle w:val="Tekstpodstawowy"/>
        <w:numPr>
          <w:ilvl w:val="0"/>
          <w:numId w:val="26"/>
        </w:numPr>
        <w:shd w:val="clear" w:color="auto" w:fill="auto"/>
        <w:tabs>
          <w:tab w:val="left" w:pos="763"/>
        </w:tabs>
        <w:ind w:left="142" w:firstLine="284"/>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p>
    <w:p w14:paraId="7263FE1D" w14:textId="2DB293F8"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A1A77">
        <w:rPr>
          <w:rFonts w:asciiTheme="minorHAnsi" w:hAnsiTheme="minorHAnsi" w:cstheme="minorHAnsi"/>
          <w:sz w:val="24"/>
          <w:szCs w:val="24"/>
        </w:rPr>
        <w:t>, deszczu</w:t>
      </w:r>
      <w:r w:rsidRPr="001921CA">
        <w:rPr>
          <w:rFonts w:asciiTheme="minorHAnsi" w:hAnsiTheme="minorHAnsi" w:cstheme="minorHAnsi"/>
          <w:sz w:val="24"/>
          <w:szCs w:val="24"/>
        </w:rPr>
        <w:t xml:space="preserve"> i mrozów uniemożliwiających prawidłową realizację przedmiotu umowy - o ilość dni </w:t>
      </w:r>
      <w:r w:rsidRPr="001921CA">
        <w:rPr>
          <w:rFonts w:asciiTheme="minorHAnsi" w:hAnsiTheme="minorHAnsi" w:cstheme="minorHAnsi"/>
          <w:sz w:val="24"/>
          <w:szCs w:val="24"/>
        </w:rPr>
        <w:lastRenderedPageBreak/>
        <w:t>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28A2A994" w14:textId="417E04E7"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w:t>
      </w:r>
      <w:r w:rsidR="001B382B" w:rsidRPr="002B4890">
        <w:rPr>
          <w:rFonts w:asciiTheme="minorHAnsi" w:hAnsiTheme="minorHAnsi" w:cstheme="minorHAnsi"/>
          <w:sz w:val="24"/>
          <w:szCs w:val="24"/>
        </w:rPr>
        <w:lastRenderedPageBreak/>
        <w:t>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w:t>
      </w:r>
      <w:r w:rsidR="00EC50BD" w:rsidRPr="00DA66BB">
        <w:rPr>
          <w:rFonts w:asciiTheme="minorHAnsi" w:hAnsiTheme="minorHAnsi" w:cstheme="minorHAnsi"/>
          <w:sz w:val="24"/>
          <w:szCs w:val="24"/>
        </w:rPr>
        <w:lastRenderedPageBreak/>
        <w:t xml:space="preserve">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6" w:name="bookmark44"/>
      <w:bookmarkStart w:id="47"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33D7" w14:textId="77777777" w:rsidR="007F360D" w:rsidRDefault="007F360D">
      <w:r>
        <w:separator/>
      </w:r>
    </w:p>
  </w:endnote>
  <w:endnote w:type="continuationSeparator" w:id="0">
    <w:p w14:paraId="4CED2C4F" w14:textId="77777777" w:rsidR="007F360D" w:rsidRDefault="007F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7F360D">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EE1734">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2D6F" w14:textId="77777777" w:rsidR="007F360D" w:rsidRDefault="007F360D">
      <w:r>
        <w:separator/>
      </w:r>
    </w:p>
  </w:footnote>
  <w:footnote w:type="continuationSeparator" w:id="0">
    <w:p w14:paraId="747F5365" w14:textId="77777777" w:rsidR="007F360D" w:rsidRDefault="007F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D21"/>
    <w:rsid w:val="00026233"/>
    <w:rsid w:val="00044E7B"/>
    <w:rsid w:val="00053687"/>
    <w:rsid w:val="0006325F"/>
    <w:rsid w:val="000737E6"/>
    <w:rsid w:val="00076CF7"/>
    <w:rsid w:val="0007709A"/>
    <w:rsid w:val="00082950"/>
    <w:rsid w:val="00097259"/>
    <w:rsid w:val="000A57E2"/>
    <w:rsid w:val="000B2592"/>
    <w:rsid w:val="000D08CC"/>
    <w:rsid w:val="000D206A"/>
    <w:rsid w:val="000E3E3F"/>
    <w:rsid w:val="000F3A43"/>
    <w:rsid w:val="000F7DB5"/>
    <w:rsid w:val="001072D1"/>
    <w:rsid w:val="00145C27"/>
    <w:rsid w:val="00151084"/>
    <w:rsid w:val="00153BDE"/>
    <w:rsid w:val="00154FAF"/>
    <w:rsid w:val="001643B8"/>
    <w:rsid w:val="00172CD8"/>
    <w:rsid w:val="0018281F"/>
    <w:rsid w:val="00191031"/>
    <w:rsid w:val="001921CA"/>
    <w:rsid w:val="00197F07"/>
    <w:rsid w:val="001A0F14"/>
    <w:rsid w:val="001A14E1"/>
    <w:rsid w:val="001B0BB7"/>
    <w:rsid w:val="001B382B"/>
    <w:rsid w:val="001B4560"/>
    <w:rsid w:val="001B4F46"/>
    <w:rsid w:val="001E091A"/>
    <w:rsid w:val="001E0947"/>
    <w:rsid w:val="001E254C"/>
    <w:rsid w:val="001F1623"/>
    <w:rsid w:val="001F36BB"/>
    <w:rsid w:val="001F39D3"/>
    <w:rsid w:val="001F3C2F"/>
    <w:rsid w:val="0020396D"/>
    <w:rsid w:val="00211D8B"/>
    <w:rsid w:val="002153B7"/>
    <w:rsid w:val="00232AA2"/>
    <w:rsid w:val="00232E9A"/>
    <w:rsid w:val="00244723"/>
    <w:rsid w:val="00272E4E"/>
    <w:rsid w:val="00274EDE"/>
    <w:rsid w:val="002847F9"/>
    <w:rsid w:val="002917FE"/>
    <w:rsid w:val="002A52E5"/>
    <w:rsid w:val="002B27FD"/>
    <w:rsid w:val="002B4890"/>
    <w:rsid w:val="002C4572"/>
    <w:rsid w:val="002C4838"/>
    <w:rsid w:val="002E0438"/>
    <w:rsid w:val="002E1045"/>
    <w:rsid w:val="00300173"/>
    <w:rsid w:val="00313980"/>
    <w:rsid w:val="003248FC"/>
    <w:rsid w:val="003276DC"/>
    <w:rsid w:val="0033386D"/>
    <w:rsid w:val="00352DA0"/>
    <w:rsid w:val="003648FF"/>
    <w:rsid w:val="00370459"/>
    <w:rsid w:val="00373813"/>
    <w:rsid w:val="00374B61"/>
    <w:rsid w:val="00392DF8"/>
    <w:rsid w:val="003A4D75"/>
    <w:rsid w:val="003B4591"/>
    <w:rsid w:val="003B6F79"/>
    <w:rsid w:val="003C15A8"/>
    <w:rsid w:val="003D6F98"/>
    <w:rsid w:val="003E66A1"/>
    <w:rsid w:val="003E7948"/>
    <w:rsid w:val="003F5E82"/>
    <w:rsid w:val="004017F9"/>
    <w:rsid w:val="00416720"/>
    <w:rsid w:val="00420F5E"/>
    <w:rsid w:val="00423C8C"/>
    <w:rsid w:val="00425511"/>
    <w:rsid w:val="00432093"/>
    <w:rsid w:val="0044095C"/>
    <w:rsid w:val="00445E4B"/>
    <w:rsid w:val="00447181"/>
    <w:rsid w:val="004553EF"/>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858A5"/>
    <w:rsid w:val="005A7F5B"/>
    <w:rsid w:val="005C7377"/>
    <w:rsid w:val="005D42B0"/>
    <w:rsid w:val="005E5843"/>
    <w:rsid w:val="006009FD"/>
    <w:rsid w:val="00622214"/>
    <w:rsid w:val="00622AAD"/>
    <w:rsid w:val="00630802"/>
    <w:rsid w:val="00637727"/>
    <w:rsid w:val="006826F0"/>
    <w:rsid w:val="00683E28"/>
    <w:rsid w:val="0068463C"/>
    <w:rsid w:val="00697741"/>
    <w:rsid w:val="006A1A77"/>
    <w:rsid w:val="006B58C6"/>
    <w:rsid w:val="006D30E2"/>
    <w:rsid w:val="006D31BA"/>
    <w:rsid w:val="006E06F8"/>
    <w:rsid w:val="00713B30"/>
    <w:rsid w:val="00715FF5"/>
    <w:rsid w:val="00720CBD"/>
    <w:rsid w:val="0072362D"/>
    <w:rsid w:val="0073060C"/>
    <w:rsid w:val="00735150"/>
    <w:rsid w:val="00736B38"/>
    <w:rsid w:val="00752F66"/>
    <w:rsid w:val="007676B8"/>
    <w:rsid w:val="0077373A"/>
    <w:rsid w:val="00777A2E"/>
    <w:rsid w:val="00780ACE"/>
    <w:rsid w:val="00797CC6"/>
    <w:rsid w:val="007B335A"/>
    <w:rsid w:val="007C4F4A"/>
    <w:rsid w:val="007C70AD"/>
    <w:rsid w:val="007D5064"/>
    <w:rsid w:val="007D6C46"/>
    <w:rsid w:val="007E6772"/>
    <w:rsid w:val="007E766C"/>
    <w:rsid w:val="007F360D"/>
    <w:rsid w:val="008205B7"/>
    <w:rsid w:val="00822196"/>
    <w:rsid w:val="008271DF"/>
    <w:rsid w:val="00836455"/>
    <w:rsid w:val="00863E5B"/>
    <w:rsid w:val="00873DC2"/>
    <w:rsid w:val="00875D79"/>
    <w:rsid w:val="00883CF8"/>
    <w:rsid w:val="00891824"/>
    <w:rsid w:val="008950DB"/>
    <w:rsid w:val="008A429A"/>
    <w:rsid w:val="008B3292"/>
    <w:rsid w:val="008B7E69"/>
    <w:rsid w:val="008C0BB4"/>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4EB1"/>
    <w:rsid w:val="00986B97"/>
    <w:rsid w:val="0098739D"/>
    <w:rsid w:val="009971FB"/>
    <w:rsid w:val="009A2932"/>
    <w:rsid w:val="009B62CC"/>
    <w:rsid w:val="009C5843"/>
    <w:rsid w:val="009D27E9"/>
    <w:rsid w:val="009F04BA"/>
    <w:rsid w:val="009F610D"/>
    <w:rsid w:val="00A142DC"/>
    <w:rsid w:val="00A22596"/>
    <w:rsid w:val="00A3682F"/>
    <w:rsid w:val="00A51A9E"/>
    <w:rsid w:val="00A52A81"/>
    <w:rsid w:val="00A54F09"/>
    <w:rsid w:val="00A56C8D"/>
    <w:rsid w:val="00A66D50"/>
    <w:rsid w:val="00A67913"/>
    <w:rsid w:val="00A8474C"/>
    <w:rsid w:val="00AB3A6E"/>
    <w:rsid w:val="00AB4245"/>
    <w:rsid w:val="00AC151F"/>
    <w:rsid w:val="00AC4FE6"/>
    <w:rsid w:val="00AC7D0D"/>
    <w:rsid w:val="00AD4BF4"/>
    <w:rsid w:val="00B03B44"/>
    <w:rsid w:val="00B06A70"/>
    <w:rsid w:val="00B25B8B"/>
    <w:rsid w:val="00B26BAF"/>
    <w:rsid w:val="00B35258"/>
    <w:rsid w:val="00B536BC"/>
    <w:rsid w:val="00B70251"/>
    <w:rsid w:val="00B772D3"/>
    <w:rsid w:val="00BB09D2"/>
    <w:rsid w:val="00BB2B0B"/>
    <w:rsid w:val="00BC0522"/>
    <w:rsid w:val="00BF7177"/>
    <w:rsid w:val="00C300B6"/>
    <w:rsid w:val="00C35556"/>
    <w:rsid w:val="00C40B01"/>
    <w:rsid w:val="00C53AEC"/>
    <w:rsid w:val="00CB459F"/>
    <w:rsid w:val="00D1669F"/>
    <w:rsid w:val="00D24AED"/>
    <w:rsid w:val="00D43516"/>
    <w:rsid w:val="00D5297D"/>
    <w:rsid w:val="00D56718"/>
    <w:rsid w:val="00D57B08"/>
    <w:rsid w:val="00D61A32"/>
    <w:rsid w:val="00D62D49"/>
    <w:rsid w:val="00D648EF"/>
    <w:rsid w:val="00D66795"/>
    <w:rsid w:val="00D757EC"/>
    <w:rsid w:val="00D76D25"/>
    <w:rsid w:val="00D81093"/>
    <w:rsid w:val="00D81CC9"/>
    <w:rsid w:val="00D86B7F"/>
    <w:rsid w:val="00D936CF"/>
    <w:rsid w:val="00DA0A27"/>
    <w:rsid w:val="00DA66BB"/>
    <w:rsid w:val="00DC2263"/>
    <w:rsid w:val="00DD5417"/>
    <w:rsid w:val="00DE0B33"/>
    <w:rsid w:val="00DE2954"/>
    <w:rsid w:val="00DF4E4B"/>
    <w:rsid w:val="00E0472F"/>
    <w:rsid w:val="00E42B9A"/>
    <w:rsid w:val="00E51B72"/>
    <w:rsid w:val="00E54072"/>
    <w:rsid w:val="00E628A3"/>
    <w:rsid w:val="00E82301"/>
    <w:rsid w:val="00EA1F35"/>
    <w:rsid w:val="00EA6DDC"/>
    <w:rsid w:val="00EA7221"/>
    <w:rsid w:val="00EB2CFA"/>
    <w:rsid w:val="00EB4073"/>
    <w:rsid w:val="00EC2B08"/>
    <w:rsid w:val="00EC50BD"/>
    <w:rsid w:val="00EE1734"/>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595"/>
    <w:rsid w:val="00F769CE"/>
    <w:rsid w:val="00F86015"/>
    <w:rsid w:val="00F86CDD"/>
    <w:rsid w:val="00F9417E"/>
    <w:rsid w:val="00FA1C93"/>
    <w:rsid w:val="00FA52FF"/>
    <w:rsid w:val="00FA65C3"/>
    <w:rsid w:val="00FA7E50"/>
    <w:rsid w:val="00FC5A40"/>
    <w:rsid w:val="00FD78B7"/>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5510</Words>
  <Characters>33063</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103</cp:revision>
  <cp:lastPrinted>2021-03-31T08:20:00Z</cp:lastPrinted>
  <dcterms:created xsi:type="dcterms:W3CDTF">2021-03-04T06:38:00Z</dcterms:created>
  <dcterms:modified xsi:type="dcterms:W3CDTF">2021-04-23T13:03:00Z</dcterms:modified>
</cp:coreProperties>
</file>