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B9DA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3211C9C5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6F7661DB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2B94FFDA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0E281A40" w14:textId="77777777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ED1B9F">
        <w:rPr>
          <w:bCs/>
          <w:sz w:val="22"/>
        </w:rPr>
        <w:t>.16.2024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3383CABD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205850E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08CE6678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713DD126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6B8D8A8D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300924DB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69D7B31B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2FF12F0" w14:textId="77777777" w:rsidR="00581A47" w:rsidRPr="00C74546" w:rsidRDefault="00581A47" w:rsidP="00581A47">
      <w:pPr>
        <w:rPr>
          <w:b/>
          <w:i/>
          <w:sz w:val="22"/>
        </w:rPr>
      </w:pPr>
    </w:p>
    <w:p w14:paraId="5E864BE4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611A4756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482FA275" w14:textId="77777777" w:rsidR="00ED1B9F" w:rsidRPr="00B41417" w:rsidRDefault="00ED1B9F" w:rsidP="00ED1B9F">
      <w:pPr>
        <w:pStyle w:val="Tekstpodstawowy"/>
        <w:spacing w:line="276" w:lineRule="auto"/>
        <w:ind w:left="360"/>
        <w:rPr>
          <w:sz w:val="22"/>
          <w:szCs w:val="22"/>
        </w:rPr>
      </w:pPr>
      <w:r w:rsidRPr="00B41417">
        <w:rPr>
          <w:sz w:val="22"/>
          <w:szCs w:val="22"/>
        </w:rPr>
        <w:t xml:space="preserve">Świadczenie usług cateringowych na potrzeby spotkań organizowanych </w:t>
      </w:r>
      <w:r w:rsidRPr="00B41417">
        <w:rPr>
          <w:sz w:val="22"/>
          <w:szCs w:val="22"/>
        </w:rPr>
        <w:br/>
        <w:t>przez Regiona</w:t>
      </w:r>
      <w:r>
        <w:rPr>
          <w:sz w:val="22"/>
          <w:szCs w:val="22"/>
        </w:rPr>
        <w:t>lny Ośrodek Polityki Społecznej.</w:t>
      </w:r>
      <w:r w:rsidRPr="00B41417">
        <w:rPr>
          <w:sz w:val="22"/>
          <w:szCs w:val="22"/>
        </w:rPr>
        <w:t xml:space="preserve">  </w:t>
      </w:r>
    </w:p>
    <w:p w14:paraId="667831C7" w14:textId="77777777" w:rsidR="00581A47" w:rsidRPr="00C74546" w:rsidRDefault="00581A47" w:rsidP="00581A47">
      <w:pPr>
        <w:jc w:val="both"/>
        <w:rPr>
          <w:sz w:val="22"/>
        </w:rPr>
      </w:pPr>
    </w:p>
    <w:p w14:paraId="2C1A7FE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FA8936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12AFCBA" w14:textId="77777777" w:rsidR="00581A47" w:rsidRPr="00C74546" w:rsidRDefault="00581A47" w:rsidP="00581A47">
      <w:pPr>
        <w:jc w:val="both"/>
        <w:rPr>
          <w:sz w:val="22"/>
        </w:rPr>
      </w:pPr>
    </w:p>
    <w:p w14:paraId="792E5B83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027998AB" w14:textId="77777777" w:rsidR="00581A47" w:rsidRPr="00C74546" w:rsidRDefault="00581A47" w:rsidP="00581A47">
      <w:pPr>
        <w:rPr>
          <w:sz w:val="22"/>
        </w:rPr>
      </w:pPr>
    </w:p>
    <w:p w14:paraId="0DE2972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48CCEA57" w14:textId="77777777" w:rsidR="00581A47" w:rsidRPr="00C74546" w:rsidRDefault="00581A47" w:rsidP="00581A47">
      <w:pPr>
        <w:rPr>
          <w:sz w:val="22"/>
        </w:rPr>
      </w:pPr>
    </w:p>
    <w:p w14:paraId="7846E72A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531F351C" w14:textId="77777777" w:rsidR="00581A47" w:rsidRPr="00C74546" w:rsidRDefault="00581A47" w:rsidP="00581A47">
      <w:pPr>
        <w:jc w:val="both"/>
        <w:rPr>
          <w:sz w:val="22"/>
        </w:rPr>
      </w:pPr>
    </w:p>
    <w:p w14:paraId="6F4560F0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3A4DB5C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76804225" w14:textId="77777777" w:rsidR="00581A47" w:rsidRPr="00C74546" w:rsidRDefault="00581A47" w:rsidP="00581A47">
      <w:pPr>
        <w:rPr>
          <w:sz w:val="22"/>
        </w:rPr>
      </w:pPr>
    </w:p>
    <w:p w14:paraId="31766A99" w14:textId="77777777" w:rsidR="00581A47" w:rsidRPr="00C74546" w:rsidRDefault="00581A47" w:rsidP="00581A47">
      <w:pPr>
        <w:rPr>
          <w:sz w:val="22"/>
        </w:rPr>
      </w:pPr>
    </w:p>
    <w:p w14:paraId="26E42B74" w14:textId="77777777" w:rsidR="00581A47" w:rsidRPr="00C74546" w:rsidRDefault="00581A47" w:rsidP="00581A47">
      <w:pPr>
        <w:rPr>
          <w:sz w:val="22"/>
        </w:rPr>
      </w:pPr>
    </w:p>
    <w:p w14:paraId="1A63B9A4" w14:textId="77777777" w:rsidR="00581A47" w:rsidRPr="00C74546" w:rsidRDefault="00581A47" w:rsidP="00581A47">
      <w:pPr>
        <w:jc w:val="center"/>
        <w:rPr>
          <w:sz w:val="22"/>
        </w:rPr>
      </w:pPr>
    </w:p>
    <w:p w14:paraId="7ED57A67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ED1B9F">
        <w:rPr>
          <w:sz w:val="22"/>
        </w:rPr>
        <w:t>4</w:t>
      </w:r>
    </w:p>
    <w:p w14:paraId="5EC5B99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626E3045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83EB36A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5875B602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36D45606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0AF50238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462D03E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0DDBD9AE" w14:textId="77777777" w:rsidR="00CA148F" w:rsidRPr="00C74546" w:rsidRDefault="00C73DF6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63AA521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2DDB050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1DC1D84A" w14:textId="77777777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ED1B9F">
        <w:rPr>
          <w:b/>
          <w:bCs/>
          <w:sz w:val="22"/>
        </w:rPr>
        <w:t>.16.2024</w:t>
      </w:r>
    </w:p>
    <w:p w14:paraId="30933F96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BFB39E2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0FE84528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CB1CFE5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C815F2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A2C48A3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0FEB7D85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83B04CC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B33E9C3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419BCE02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113AF96C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E7F5DC8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173D885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EA349EB" w14:textId="77777777" w:rsidR="00696DCD" w:rsidRPr="00ED1B9F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9578294" w14:textId="77777777" w:rsidR="00ED1B9F" w:rsidRDefault="00ED1B9F" w:rsidP="00ED1B9F">
      <w:pPr>
        <w:spacing w:before="26" w:after="0"/>
        <w:jc w:val="both"/>
        <w:rPr>
          <w:sz w:val="22"/>
        </w:rPr>
      </w:pPr>
    </w:p>
    <w:p w14:paraId="3D39492C" w14:textId="77777777" w:rsidR="00ED1B9F" w:rsidRPr="00812F48" w:rsidRDefault="00ED1B9F" w:rsidP="00ED1B9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>
        <w:rPr>
          <w:b w:val="0"/>
          <w:snapToGrid w:val="0"/>
          <w:sz w:val="22"/>
          <w:szCs w:val="22"/>
        </w:rPr>
        <w:t>jest świadczenie usług cateringowych na potrzeby spotkań organizowanych przez Regionalny Ośrodek Polityki Społecznej Urzędu Marszałkowskiego Województwa Warmińsko-Mazurskiego w Olsztynie.</w:t>
      </w:r>
    </w:p>
    <w:p w14:paraId="59B8FBEB" w14:textId="77777777" w:rsidR="00ED1B9F" w:rsidRPr="00812F48" w:rsidRDefault="00ED1B9F" w:rsidP="00ED1B9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</w:t>
      </w:r>
      <w:r>
        <w:rPr>
          <w:b w:val="0"/>
          <w:snapToGrid w:val="0"/>
          <w:sz w:val="22"/>
          <w:szCs w:val="22"/>
        </w:rPr>
        <w:t xml:space="preserve">owy opis przedmiotu zamówienia </w:t>
      </w:r>
      <w:r w:rsidRPr="00917D78">
        <w:rPr>
          <w:b w:val="0"/>
          <w:snapToGrid w:val="0"/>
          <w:sz w:val="22"/>
          <w:szCs w:val="22"/>
        </w:rPr>
        <w:t>stanowi</w:t>
      </w:r>
      <w:r>
        <w:rPr>
          <w:b w:val="0"/>
          <w:snapToGrid w:val="0"/>
          <w:sz w:val="22"/>
          <w:szCs w:val="22"/>
        </w:rPr>
        <w:t>ą</w:t>
      </w:r>
      <w:r w:rsidRPr="00917D78">
        <w:rPr>
          <w:b w:val="0"/>
          <w:snapToGrid w:val="0"/>
          <w:sz w:val="22"/>
          <w:szCs w:val="22"/>
        </w:rPr>
        <w:t xml:space="preserve"> załącznik</w:t>
      </w:r>
      <w:r>
        <w:rPr>
          <w:b w:val="0"/>
          <w:snapToGrid w:val="0"/>
          <w:sz w:val="22"/>
          <w:szCs w:val="22"/>
        </w:rPr>
        <w:t>i nr 1.1 – 1.3</w:t>
      </w:r>
      <w:r w:rsidRPr="00917D78">
        <w:rPr>
          <w:b w:val="0"/>
          <w:snapToGrid w:val="0"/>
          <w:sz w:val="22"/>
          <w:szCs w:val="22"/>
        </w:rPr>
        <w:t xml:space="preserve"> do SWZ</w:t>
      </w:r>
    </w:p>
    <w:p w14:paraId="28A54588" w14:textId="77777777" w:rsidR="00ED1B9F" w:rsidRPr="00B528BF" w:rsidRDefault="00ED1B9F" w:rsidP="00ED1B9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Zamawiający nie dopuszcza składania ofert częściowych. </w:t>
      </w:r>
    </w:p>
    <w:p w14:paraId="6769401B" w14:textId="77777777" w:rsidR="00ED1B9F" w:rsidRPr="00B528BF" w:rsidRDefault="00ED1B9F" w:rsidP="00ED1B9F">
      <w:pPr>
        <w:pStyle w:val="Akapitzlist"/>
        <w:tabs>
          <w:tab w:val="left" w:pos="284"/>
        </w:tabs>
        <w:spacing w:after="0"/>
        <w:ind w:left="1068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>
        <w:rPr>
          <w:b/>
          <w:color w:val="000000"/>
          <w:sz w:val="22"/>
        </w:rPr>
        <w:t>55520000-1</w:t>
      </w:r>
      <w:r w:rsidRPr="001B4BB9">
        <w:rPr>
          <w:b/>
          <w:color w:val="000000"/>
          <w:sz w:val="22"/>
        </w:rPr>
        <w:t xml:space="preserve">  </w:t>
      </w:r>
      <w:r w:rsidR="00FE5FD8">
        <w:rPr>
          <w:color w:val="000000"/>
          <w:sz w:val="22"/>
        </w:rPr>
        <w:t>usługi dostarczania posiłków.</w:t>
      </w:r>
      <w:r>
        <w:rPr>
          <w:color w:val="000000"/>
          <w:sz w:val="22"/>
        </w:rPr>
        <w:t xml:space="preserve">   </w:t>
      </w:r>
      <w:r w:rsidRPr="001B4BB9">
        <w:rPr>
          <w:color w:val="000000"/>
          <w:sz w:val="22"/>
        </w:rPr>
        <w:t xml:space="preserve"> </w:t>
      </w:r>
    </w:p>
    <w:p w14:paraId="4BCD3382" w14:textId="77777777" w:rsidR="00ED1B9F" w:rsidRDefault="00ED1B9F" w:rsidP="00ED1B9F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1A3DEB0E" w14:textId="77777777" w:rsidR="00696DCD" w:rsidRPr="00ED1B9F" w:rsidRDefault="00696DCD" w:rsidP="00ED1B9F">
      <w:pPr>
        <w:spacing w:after="0"/>
        <w:rPr>
          <w:color w:val="000000"/>
          <w:sz w:val="22"/>
        </w:rPr>
      </w:pPr>
    </w:p>
    <w:p w14:paraId="546F2FFB" w14:textId="77777777" w:rsidR="004F5C84" w:rsidRDefault="004F5C84" w:rsidP="008B0AF5">
      <w:pPr>
        <w:pStyle w:val="Akapitzlist"/>
        <w:spacing w:before="26" w:after="0"/>
        <w:ind w:left="1068"/>
        <w:jc w:val="both"/>
        <w:rPr>
          <w:b/>
          <w:sz w:val="22"/>
        </w:rPr>
      </w:pPr>
    </w:p>
    <w:p w14:paraId="48909D5B" w14:textId="77777777" w:rsidR="008B0AF5" w:rsidRPr="00250BE2" w:rsidRDefault="008B0AF5" w:rsidP="008B0AF5">
      <w:pPr>
        <w:spacing w:before="26" w:after="0"/>
        <w:ind w:left="1056"/>
        <w:jc w:val="both"/>
        <w:rPr>
          <w:i/>
          <w:sz w:val="20"/>
          <w:szCs w:val="20"/>
        </w:rPr>
      </w:pPr>
    </w:p>
    <w:p w14:paraId="6EF1787C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40A81160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0AAF721C" w14:textId="77777777" w:rsidR="00FE0280" w:rsidRDefault="00FE0280" w:rsidP="00FE0280">
      <w:pPr>
        <w:spacing w:after="0"/>
        <w:ind w:left="708"/>
        <w:rPr>
          <w:sz w:val="22"/>
        </w:rPr>
      </w:pPr>
    </w:p>
    <w:p w14:paraId="07B954AC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BF1FC4F" w14:textId="77777777" w:rsidR="00921F34" w:rsidRPr="00B42543" w:rsidRDefault="00921F34" w:rsidP="00ED1B9F">
      <w:pPr>
        <w:rPr>
          <w:color w:val="000000"/>
          <w:sz w:val="22"/>
        </w:rPr>
      </w:pPr>
    </w:p>
    <w:p w14:paraId="3D695AE2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0DD0776E" w14:textId="77777777" w:rsidR="00E402CB" w:rsidRDefault="00E402CB" w:rsidP="00A93E23">
      <w:pPr>
        <w:spacing w:after="0"/>
        <w:ind w:left="708"/>
        <w:rPr>
          <w:sz w:val="22"/>
        </w:rPr>
      </w:pPr>
    </w:p>
    <w:p w14:paraId="11827CF2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001C6A" w14:textId="77777777" w:rsidR="00921F34" w:rsidRPr="00ED1B9F" w:rsidRDefault="00921F34" w:rsidP="00ED1B9F">
      <w:pPr>
        <w:spacing w:before="26" w:after="0"/>
        <w:jc w:val="both"/>
        <w:rPr>
          <w:i/>
          <w:sz w:val="22"/>
        </w:rPr>
      </w:pPr>
    </w:p>
    <w:p w14:paraId="5D4EF9CE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39D231DF" w14:textId="77777777" w:rsidR="00E402CB" w:rsidRDefault="00E402CB" w:rsidP="00B42543">
      <w:pPr>
        <w:spacing w:after="0"/>
        <w:ind w:left="708"/>
        <w:rPr>
          <w:sz w:val="22"/>
        </w:rPr>
      </w:pPr>
    </w:p>
    <w:p w14:paraId="4FD01047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C0D4C94" w14:textId="77777777" w:rsidR="00B42543" w:rsidRPr="007247D2" w:rsidRDefault="00B42543" w:rsidP="00ED1B9F">
      <w:pPr>
        <w:spacing w:after="0"/>
        <w:rPr>
          <w:i/>
          <w:color w:val="000000"/>
          <w:sz w:val="20"/>
          <w:szCs w:val="20"/>
        </w:rPr>
      </w:pPr>
    </w:p>
    <w:p w14:paraId="253FD356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1C9B509A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D6FECEE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9E116CB" w14:textId="77777777" w:rsidR="00A93E23" w:rsidRDefault="00A93E23" w:rsidP="00ED1B9F">
      <w:pPr>
        <w:spacing w:before="26" w:after="0"/>
        <w:jc w:val="both"/>
        <w:rPr>
          <w:b/>
          <w:color w:val="FF0000"/>
          <w:sz w:val="22"/>
        </w:rPr>
      </w:pPr>
    </w:p>
    <w:p w14:paraId="6B34234A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4A3ABAE7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A2114D9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72299601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406CA803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3765A7A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0E79B691" w14:textId="77777777" w:rsidR="00066F60" w:rsidRDefault="00066F60" w:rsidP="00066F60">
      <w:pPr>
        <w:pStyle w:val="Akapitzlist"/>
        <w:rPr>
          <w:sz w:val="22"/>
        </w:rPr>
      </w:pPr>
    </w:p>
    <w:p w14:paraId="6E5D8DA6" w14:textId="41CF1D12" w:rsidR="00066F60" w:rsidRPr="00412CF1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412CF1">
        <w:rPr>
          <w:sz w:val="22"/>
        </w:rPr>
        <w:t>9</w:t>
      </w:r>
      <w:r w:rsidR="003C32DE" w:rsidRPr="00412CF1">
        <w:rPr>
          <w:sz w:val="22"/>
        </w:rPr>
        <w:t xml:space="preserve"> miesięcy od dnia zawarcia umowy</w:t>
      </w:r>
      <w:r w:rsidR="00412CF1">
        <w:rPr>
          <w:sz w:val="22"/>
        </w:rPr>
        <w:t>.</w:t>
      </w:r>
    </w:p>
    <w:p w14:paraId="16100342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F59A874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2DA07429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7F9512D8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1500F364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085EDD0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0D011E08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7EE9C7BC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69A0654A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95ABA99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38B55CF2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0BB6FD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51BDEF8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7E9B143C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E644E37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091956BF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C218ACB" w14:textId="77777777" w:rsidR="00CC0CAA" w:rsidRPr="00ED1B9F" w:rsidRDefault="00CC0CAA" w:rsidP="00ED1B9F">
      <w:pPr>
        <w:spacing w:before="26" w:after="0"/>
        <w:jc w:val="both"/>
        <w:rPr>
          <w:sz w:val="22"/>
        </w:rPr>
      </w:pPr>
    </w:p>
    <w:p w14:paraId="1DD66A6F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45BDF240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30357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5240593C" w14:textId="77777777" w:rsidR="00314F8B" w:rsidRPr="00ED1B9F" w:rsidRDefault="00314F8B" w:rsidP="00ED1B9F">
      <w:pPr>
        <w:spacing w:after="0"/>
        <w:jc w:val="both"/>
        <w:rPr>
          <w:b/>
          <w:color w:val="000000"/>
          <w:sz w:val="22"/>
        </w:rPr>
      </w:pPr>
    </w:p>
    <w:p w14:paraId="09AC322F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2E0DF151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67EF8BC3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6BD1A1C9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64389613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69E2530E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2A993F77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42489FA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18CE1C2E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361BDAD1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65A6500D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859F18B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D942DC5" w14:textId="77777777" w:rsidR="008655C1" w:rsidRDefault="0011793E" w:rsidP="00ED1B9F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8ACDB52" w14:textId="77777777" w:rsidR="00ED1B9F" w:rsidRPr="00ED1B9F" w:rsidRDefault="00ED1B9F" w:rsidP="00ED1B9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6C343" w14:textId="77777777" w:rsidR="003F2F74" w:rsidRPr="00ED1B9F" w:rsidRDefault="00FE0280" w:rsidP="00ED1B9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635DBF73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1E867E03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289D0DC3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C25AF0F" w14:textId="77777777" w:rsidR="00F40F75" w:rsidRPr="00ED1B9F" w:rsidRDefault="00F40F75" w:rsidP="00ED1B9F">
      <w:pPr>
        <w:spacing w:before="26" w:after="0"/>
        <w:jc w:val="both"/>
        <w:rPr>
          <w:b/>
          <w:color w:val="000000" w:themeColor="text1"/>
          <w:sz w:val="22"/>
        </w:rPr>
      </w:pPr>
    </w:p>
    <w:p w14:paraId="3CB99549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36A0EC42" w14:textId="77777777" w:rsidR="003F2F74" w:rsidRDefault="003F2F74" w:rsidP="003F2F74">
      <w:pPr>
        <w:pStyle w:val="Akapitzlist"/>
        <w:rPr>
          <w:b/>
          <w:sz w:val="22"/>
        </w:rPr>
      </w:pPr>
    </w:p>
    <w:p w14:paraId="5694788A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18E13ACD" w14:textId="77777777"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139976D5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0170913D" w14:textId="77777777" w:rsidR="0064583B" w:rsidRPr="00102A09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56808C0E" w14:textId="77777777"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1C89C616" w14:textId="77777777"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6C81067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E2FB12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</w:t>
      </w:r>
      <w:r w:rsidR="0011793E" w:rsidRPr="00803E97">
        <w:rPr>
          <w:b/>
          <w:color w:val="000000" w:themeColor="text1"/>
          <w:sz w:val="22"/>
        </w:rPr>
        <w:lastRenderedPageBreak/>
        <w:t xml:space="preserve">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1AC6BF94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55B042AB" w14:textId="77777777" w:rsidR="00ED41E3" w:rsidRPr="00ED1B9F" w:rsidRDefault="00803E97" w:rsidP="00ED1B9F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5FA72E9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541737D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19C66C8E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6C3F4C90" w14:textId="77777777" w:rsidR="00A803EE" w:rsidRPr="0064583B" w:rsidRDefault="00A803EE" w:rsidP="00ED1B9F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ED1B9F">
        <w:rPr>
          <w:color w:val="000000" w:themeColor="text1"/>
          <w:sz w:val="22"/>
        </w:rPr>
        <w:t>Katarzyna Sądej</w:t>
      </w:r>
      <w:r w:rsidR="0064583B" w:rsidRPr="0064583B">
        <w:rPr>
          <w:color w:val="000000" w:themeColor="text1"/>
          <w:sz w:val="22"/>
        </w:rPr>
        <w:t xml:space="preserve"> tel. </w:t>
      </w:r>
      <w:r w:rsidR="00ED1B9F" w:rsidRPr="00ED1B9F">
        <w:rPr>
          <w:color w:val="000000" w:themeColor="text1"/>
          <w:sz w:val="22"/>
        </w:rPr>
        <w:t>89 521 98 48.</w:t>
      </w:r>
    </w:p>
    <w:p w14:paraId="53692D5E" w14:textId="77777777" w:rsidR="0064583B" w:rsidRPr="0064583B" w:rsidRDefault="0064583B" w:rsidP="003F0504">
      <w:pPr>
        <w:pStyle w:val="Akapitzlist"/>
        <w:numPr>
          <w:ilvl w:val="0"/>
          <w:numId w:val="3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04FE4F23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2B2E98FB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35AF8F8E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B23012C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78F0AC81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4416C18E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80C459E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9D7A0DB" w14:textId="71531E1C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D857BF">
        <w:rPr>
          <w:b/>
          <w:color w:val="000000"/>
          <w:sz w:val="22"/>
        </w:rPr>
        <w:t>05.04.2024r.</w:t>
      </w:r>
      <w:bookmarkStart w:id="0" w:name="_GoBack"/>
      <w:bookmarkEnd w:id="0"/>
      <w:r w:rsidR="009274E9">
        <w:rPr>
          <w:b/>
          <w:color w:val="000000"/>
          <w:sz w:val="22"/>
        </w:rPr>
        <w:t xml:space="preserve"> </w:t>
      </w:r>
    </w:p>
    <w:p w14:paraId="7042BEF5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4BA4AF32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07E1E41D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7FF8E2EE" w14:textId="77777777"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0A26BFB9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0B95C80B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0C280B71" w14:textId="77777777"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774B9F6D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B300D56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6D7C7614" w14:textId="77777777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</w:t>
      </w:r>
      <w:r w:rsidR="00ED1B9F">
        <w:rPr>
          <w:color w:val="000000"/>
          <w:sz w:val="22"/>
          <w:szCs w:val="22"/>
        </w:rPr>
        <w:t>nik nr 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="00ED1B9F">
        <w:rPr>
          <w:color w:val="000000"/>
          <w:sz w:val="22"/>
          <w:szCs w:val="22"/>
        </w:rPr>
        <w:t>WZ,</w:t>
      </w:r>
      <w:r w:rsidRPr="007922BF">
        <w:rPr>
          <w:color w:val="000000"/>
          <w:sz w:val="22"/>
          <w:szCs w:val="22"/>
        </w:rPr>
        <w:t xml:space="preserve"> </w:t>
      </w:r>
    </w:p>
    <w:p w14:paraId="5ACAD54D" w14:textId="77777777" w:rsidR="003366C6" w:rsidRPr="00F433A4" w:rsidRDefault="00ED1B9F" w:rsidP="003366C6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66C6" w:rsidRPr="007922BF">
        <w:rPr>
          <w:b/>
          <w:sz w:val="22"/>
          <w:szCs w:val="22"/>
        </w:rPr>
        <w:t>Pełnomocnictwo</w:t>
      </w:r>
      <w:r w:rsidR="003366C6" w:rsidRPr="007922BF">
        <w:rPr>
          <w:sz w:val="22"/>
          <w:szCs w:val="22"/>
        </w:rPr>
        <w:t xml:space="preserve"> -  </w:t>
      </w:r>
      <w:r w:rsidR="003366C6">
        <w:rPr>
          <w:b/>
          <w:i/>
          <w:iCs/>
          <w:sz w:val="22"/>
          <w:szCs w:val="22"/>
        </w:rPr>
        <w:t>jeżeli zostało udzielone,</w:t>
      </w:r>
    </w:p>
    <w:p w14:paraId="3265C483" w14:textId="77777777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Załącznik nr </w:t>
      </w:r>
      <w:r w:rsidR="00ED1B9F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14:paraId="0530B1C1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lastRenderedPageBreak/>
        <w:t>Wykonawcy mogą wspólnie ubiegać się o udzielenie zamówienia.</w:t>
      </w:r>
    </w:p>
    <w:p w14:paraId="381FFCA0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3E2B52DA" w14:textId="77777777" w:rsidR="00AF0905" w:rsidRPr="00D536A9" w:rsidRDefault="00AF0905" w:rsidP="00CE6AAD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ED1B9F">
        <w:rPr>
          <w:color w:val="000000"/>
          <w:sz w:val="22"/>
        </w:rPr>
        <w:t>rdzają brak podstaw wykluczenia.</w:t>
      </w:r>
    </w:p>
    <w:p w14:paraId="1F164F09" w14:textId="77777777"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35E2DDF1" w14:textId="77777777"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ED1B9F">
        <w:rPr>
          <w:sz w:val="22"/>
        </w:rPr>
        <w:t>wiedzialność za wykonanie umowy.</w:t>
      </w:r>
    </w:p>
    <w:p w14:paraId="5B693FF0" w14:textId="77777777"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6FC6CEC6" w14:textId="77777777"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38F7740C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082BBC6A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10E7F000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lastRenderedPageBreak/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CEEDA09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622F6149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4EB41B70" w14:textId="77777777"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6E8D836F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5F81ACE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5A2936D0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7A28AB91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054AC9FF" w14:textId="77777777" w:rsidR="00A10AEA" w:rsidRPr="00A10AEA" w:rsidRDefault="00E97EBB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 xml:space="preserve">, należy rozumieć dokument elektroniczny będący kopią elektroniczną treści zapisanej w postaci papierowej, </w:t>
      </w:r>
      <w:r w:rsidR="00D560AC" w:rsidRPr="00A10AEA">
        <w:rPr>
          <w:color w:val="000000"/>
          <w:sz w:val="22"/>
        </w:rPr>
        <w:lastRenderedPageBreak/>
        <w:t>umożliwiający zapoznanie się z tą treścią i jej zrozumienie, bez konieczności bezpośredniego dostępu do oryginału.</w:t>
      </w:r>
    </w:p>
    <w:p w14:paraId="2133F9E8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6206EA95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3E6243E6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5AD3AC5D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05885583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5A454161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2DEA0852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064E02B7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79CAE08C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7715524B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0802F5C5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umożliwiają prezentację treści w postaci elektronicznej, w szczególności przez wyświetlenie tej treści na monitorze ekranowym;</w:t>
      </w:r>
    </w:p>
    <w:p w14:paraId="749B370B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019B8ED8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47C3B309" w14:textId="77777777"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39B82D73" w14:textId="77777777"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69B4572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680BD8D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53F49526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690AC538" w14:textId="77777777"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D3CDD31" w14:textId="2AFB75F5"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D857BF">
        <w:rPr>
          <w:b/>
          <w:color w:val="0000FF"/>
          <w:sz w:val="22"/>
          <w:szCs w:val="22"/>
        </w:rPr>
        <w:t>08.03.</w:t>
      </w:r>
      <w:r w:rsidR="00ED1B9F">
        <w:rPr>
          <w:b/>
          <w:color w:val="0000FF"/>
          <w:sz w:val="22"/>
          <w:szCs w:val="22"/>
        </w:rPr>
        <w:t>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02FE9791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7C094554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AB59571" w14:textId="77777777"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7332C612" w14:textId="77777777"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7DE59F50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6D1DCD26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2B542C35" w14:textId="77777777"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5730BB67" w14:textId="77777777"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03924992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1E1D0FC7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>Z uwagi na to, że złożona oferta jest zaszyfrowana nie można jej edytować w celu dokonania zmiany. Zmianę oferty należy dokonać poprzez wycofanie uprzednio złożonej oferty i złożenie nowej.</w:t>
      </w:r>
    </w:p>
    <w:p w14:paraId="5BF2FF70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143E43BB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B920D2" w14:textId="77777777"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02CE17E" w14:textId="77777777"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4D38A5F" w14:textId="77777777"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270320F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153D313C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67967EB8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13885454" w14:textId="1A856694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D857BF">
        <w:rPr>
          <w:b/>
          <w:color w:val="0000FF"/>
          <w:sz w:val="22"/>
        </w:rPr>
        <w:t>08.03.</w:t>
      </w:r>
      <w:r w:rsidR="00ED1B9F">
        <w:rPr>
          <w:b/>
          <w:color w:val="0000FF"/>
          <w:sz w:val="22"/>
        </w:rPr>
        <w:t>2024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ED1B9F">
        <w:rPr>
          <w:b/>
          <w:color w:val="0000FF"/>
          <w:sz w:val="22"/>
        </w:rPr>
        <w:t>odz. 10:30</w:t>
      </w:r>
    </w:p>
    <w:p w14:paraId="7017DB2D" w14:textId="77777777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5E40442F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62849C35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46994FE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318591CA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6C36D117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0E004FFA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D08DD99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</w:t>
      </w:r>
      <w:r w:rsidRPr="000C0FB8">
        <w:rPr>
          <w:color w:val="000000"/>
          <w:sz w:val="22"/>
        </w:rPr>
        <w:lastRenderedPageBreak/>
        <w:t xml:space="preserve">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1829FDC4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DF9111C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7122EE4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0F9DEB39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3855B011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4A50452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479E63A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381F89D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3C2B8C0E" w14:textId="77777777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6DA8D9F0" w14:textId="77777777"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01BDB8C3" w14:textId="77777777" w:rsidR="0090088D" w:rsidRPr="00A703F5" w:rsidRDefault="0090088D" w:rsidP="0090088D">
      <w:pPr>
        <w:ind w:left="850"/>
        <w:rPr>
          <w:color w:val="000000"/>
          <w:sz w:val="22"/>
        </w:rPr>
      </w:pPr>
      <w:r w:rsidRPr="003C32DE">
        <w:rPr>
          <w:b/>
          <w:color w:val="000000"/>
          <w:sz w:val="22"/>
        </w:rPr>
        <w:t>2)</w:t>
      </w:r>
      <w:r w:rsidRPr="00A703F5">
        <w:rPr>
          <w:color w:val="000000"/>
          <w:sz w:val="22"/>
        </w:rPr>
        <w:t xml:space="preserve"> </w:t>
      </w:r>
      <w:r w:rsidR="004549CB" w:rsidRPr="004549CB">
        <w:rPr>
          <w:b/>
          <w:color w:val="000000"/>
          <w:sz w:val="22"/>
        </w:rPr>
        <w:t>Doświadczenie zawodowe kucharza</w:t>
      </w:r>
      <w:r w:rsidR="004549CB">
        <w:rPr>
          <w:color w:val="000000"/>
          <w:sz w:val="22"/>
        </w:rPr>
        <w:t xml:space="preserve"> – znaczenie kryterium - 40%</w:t>
      </w:r>
    </w:p>
    <w:p w14:paraId="6665CBF5" w14:textId="77777777" w:rsidR="0090088D" w:rsidRPr="00A703F5" w:rsidRDefault="0090088D" w:rsidP="00E376EB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6A4E5BE8" w14:textId="77777777" w:rsidR="0090088D" w:rsidRPr="00A703F5" w:rsidRDefault="0090088D" w:rsidP="00E376EB">
      <w:pPr>
        <w:numPr>
          <w:ilvl w:val="0"/>
          <w:numId w:val="15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5B28C552" w14:textId="77777777"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4626C629" w14:textId="77777777"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588CF7E6" w14:textId="77777777"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14:paraId="330F06B3" w14:textId="77777777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6280DA31" w14:textId="77777777" w:rsidR="00DC1E59" w:rsidRPr="00DC1E59" w:rsidRDefault="0090088D" w:rsidP="00DC1E59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43F697D" w14:textId="77777777" w:rsidR="00DC1E59" w:rsidRPr="00050EFB" w:rsidRDefault="00DC1E59" w:rsidP="00DC1E59">
      <w:pPr>
        <w:numPr>
          <w:ilvl w:val="0"/>
          <w:numId w:val="15"/>
        </w:numPr>
        <w:spacing w:after="0"/>
        <w:ind w:left="1248"/>
        <w:rPr>
          <w:color w:val="000000"/>
          <w:sz w:val="22"/>
          <w:lang w:eastAsia="en-US"/>
        </w:rPr>
      </w:pPr>
      <w:r w:rsidRPr="00050EFB">
        <w:rPr>
          <w:b/>
          <w:sz w:val="22"/>
          <w:lang w:eastAsia="en-US"/>
        </w:rPr>
        <w:t>Doświadczenie zawodowe kucharza</w:t>
      </w:r>
      <w:r w:rsidRPr="00050EFB">
        <w:rPr>
          <w:sz w:val="22"/>
          <w:lang w:eastAsia="en-US"/>
        </w:rPr>
        <w:t>:</w:t>
      </w:r>
    </w:p>
    <w:p w14:paraId="0FBE922A" w14:textId="77777777" w:rsidR="00DC1E59" w:rsidRDefault="00DC1E59" w:rsidP="00DC1E59">
      <w:pPr>
        <w:ind w:left="1788"/>
        <w:jc w:val="both"/>
        <w:rPr>
          <w:b/>
          <w:sz w:val="22"/>
          <w:lang w:val="cs-CZ" w:eastAsia="en-US"/>
        </w:rPr>
      </w:pPr>
    </w:p>
    <w:p w14:paraId="1CFA201D" w14:textId="77777777" w:rsid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</w:t>
      </w:r>
      <w:r w:rsidRPr="00DC1E59">
        <w:rPr>
          <w:sz w:val="22"/>
        </w:rPr>
        <w:t xml:space="preserve">W kryterium „doświadczenie zawodowe kucharza” ocenie będzie podlegać doświadczenie </w:t>
      </w:r>
      <w:r w:rsidRPr="00DC1E59">
        <w:rPr>
          <w:sz w:val="22"/>
        </w:rPr>
        <w:br/>
        <w:t xml:space="preserve">   kucharza skierowanego do realizacji zamówienia. </w:t>
      </w:r>
    </w:p>
    <w:p w14:paraId="42AEBD9F" w14:textId="77777777" w:rsid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</w:t>
      </w:r>
      <w:r w:rsidRPr="00DC1E59">
        <w:rPr>
          <w:sz w:val="22"/>
        </w:rPr>
        <w:t>Przez doświadczenie zawodowe kucharza należy roz</w:t>
      </w:r>
      <w:r>
        <w:rPr>
          <w:sz w:val="22"/>
        </w:rPr>
        <w:t xml:space="preserve">umieć doświadczenie zdobyte </w:t>
      </w:r>
      <w:r>
        <w:rPr>
          <w:sz w:val="22"/>
        </w:rPr>
        <w:br/>
        <w:t xml:space="preserve">  </w:t>
      </w:r>
      <w:r w:rsidRPr="00DC1E59">
        <w:rPr>
          <w:sz w:val="22"/>
        </w:rPr>
        <w:t xml:space="preserve">na stanowisku kucharz. </w:t>
      </w:r>
    </w:p>
    <w:p w14:paraId="44AD425F" w14:textId="77777777" w:rsidR="004549CB" w:rsidRDefault="004549CB" w:rsidP="004549CB">
      <w:pPr>
        <w:pStyle w:val="Akapitzlist"/>
        <w:tabs>
          <w:tab w:val="left" w:pos="1134"/>
        </w:tabs>
        <w:spacing w:line="360" w:lineRule="auto"/>
        <w:ind w:left="360"/>
        <w:jc w:val="both"/>
        <w:rPr>
          <w:sz w:val="22"/>
        </w:rPr>
      </w:pPr>
    </w:p>
    <w:p w14:paraId="45D80689" w14:textId="77777777" w:rsid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 w:rsidRPr="00DC1E59">
        <w:rPr>
          <w:sz w:val="22"/>
        </w:rPr>
        <w:lastRenderedPageBreak/>
        <w:t xml:space="preserve">Wykonawca w formularzu ofertowym wskazuje </w:t>
      </w:r>
      <w:r w:rsidR="004549CB">
        <w:rPr>
          <w:sz w:val="22"/>
        </w:rPr>
        <w:t>liczbę miesięcy doświadczenia</w:t>
      </w:r>
      <w:r w:rsidRPr="00DC1E59">
        <w:rPr>
          <w:sz w:val="22"/>
        </w:rPr>
        <w:t xml:space="preserve"> zawodowego kucharza. </w:t>
      </w:r>
    </w:p>
    <w:p w14:paraId="0B7F8F50" w14:textId="77777777" w:rsid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 w:rsidRPr="00DC1E59">
        <w:rPr>
          <w:sz w:val="22"/>
        </w:rPr>
        <w:t>Ocenie będzie podlegać</w:t>
      </w:r>
      <w:r w:rsidRPr="00DC1E59">
        <w:rPr>
          <w:b/>
          <w:sz w:val="22"/>
        </w:rPr>
        <w:t xml:space="preserve"> maksymalnie 48 miesięcy </w:t>
      </w:r>
      <w:r w:rsidRPr="00DC1E59">
        <w:rPr>
          <w:sz w:val="22"/>
        </w:rPr>
        <w:t xml:space="preserve">doświadczenia zawodowego. </w:t>
      </w:r>
    </w:p>
    <w:p w14:paraId="37A9A5DD" w14:textId="77777777" w:rsid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 w:rsidRPr="00DC1E59">
        <w:rPr>
          <w:sz w:val="22"/>
        </w:rPr>
        <w:t xml:space="preserve">W przypadku, gdy Wykonawca wykaże doświadczenie zawodowe większe niż 48 miesięcy, </w:t>
      </w:r>
      <w:r w:rsidRPr="00DC1E59">
        <w:rPr>
          <w:sz w:val="22"/>
        </w:rPr>
        <w:br/>
        <w:t xml:space="preserve">to jego doświadczenie zostanie ocenione jak dla 48 miesięcy.  </w:t>
      </w:r>
    </w:p>
    <w:p w14:paraId="024CD2CD" w14:textId="77777777" w:rsidR="00DC1E59" w:rsidRPr="00DC1E59" w:rsidRDefault="00DC1E59" w:rsidP="00DC1E59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jc w:val="both"/>
        <w:rPr>
          <w:sz w:val="22"/>
        </w:rPr>
      </w:pPr>
      <w:r w:rsidRPr="00DC1E59">
        <w:rPr>
          <w:sz w:val="22"/>
        </w:rPr>
        <w:t>Jeżeli Wykonawca w formularzu ofertowym nie wykaże doświadczenia zawodowego kucharza skierowanego do realizacji zamówienia, wówczas jego oferta w przedmiotowym kryterium otrzyma 0 punktów bez podstawiania do wzoru.</w:t>
      </w:r>
    </w:p>
    <w:p w14:paraId="583FA8D6" w14:textId="77777777" w:rsidR="00DC1E59" w:rsidRPr="00D53B2C" w:rsidRDefault="00DC1E59" w:rsidP="00DC1E59">
      <w:pPr>
        <w:tabs>
          <w:tab w:val="left" w:pos="540"/>
        </w:tabs>
        <w:jc w:val="both"/>
        <w:rPr>
          <w:b/>
          <w:sz w:val="22"/>
        </w:rPr>
      </w:pPr>
      <w:r w:rsidRPr="00D53B2C">
        <w:rPr>
          <w:b/>
          <w:sz w:val="22"/>
        </w:rPr>
        <w:t>Wykonawca zobowiązany jest do zapewnienia kucharza o zadeklarowanym doświadczeniu przez cały okres realizacji zamówienia.</w:t>
      </w:r>
    </w:p>
    <w:p w14:paraId="1D3CF396" w14:textId="77777777" w:rsidR="00DC1E59" w:rsidRPr="00802DCA" w:rsidRDefault="00DC1E59" w:rsidP="00DC1E59">
      <w:pPr>
        <w:tabs>
          <w:tab w:val="left" w:pos="567"/>
        </w:tabs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          </w:t>
      </w:r>
      <w:r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14:paraId="465983CE" w14:textId="77777777" w:rsidR="00DC1E59" w:rsidRPr="00324C20" w:rsidRDefault="00DC1E59" w:rsidP="00DC1E59">
      <w:pPr>
        <w:suppressAutoHyphens/>
        <w:spacing w:line="240" w:lineRule="auto"/>
        <w:ind w:left="2410" w:hanging="378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   liczba miesięcy doświadczenia zawodowe kucharza                                                                                 </w:t>
      </w:r>
      <w:r>
        <w:rPr>
          <w:sz w:val="22"/>
          <w:lang w:eastAsia="ar-SA"/>
        </w:rPr>
        <w:br/>
        <w:t xml:space="preserve">                                                 w badanej ofercie  </w:t>
      </w:r>
    </w:p>
    <w:p w14:paraId="73224628" w14:textId="77777777" w:rsidR="00DC1E59" w:rsidRPr="00324C20" w:rsidRDefault="00DC1E59" w:rsidP="00DC1E59">
      <w:pPr>
        <w:suppressAutoHyphens/>
        <w:spacing w:line="240" w:lineRule="auto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</w:t>
      </w:r>
      <w:r w:rsidRPr="00324C20">
        <w:rPr>
          <w:sz w:val="22"/>
          <w:lang w:eastAsia="ar-SA"/>
        </w:rPr>
        <w:t xml:space="preserve">liczba uzyskanych punktów = </w:t>
      </w:r>
      <w:r w:rsidRPr="00324C20">
        <w:rPr>
          <w:color w:val="000000"/>
          <w:sz w:val="22"/>
          <w:lang w:eastAsia="ar-SA"/>
        </w:rPr>
        <w:t>---------------------------------------------------</w:t>
      </w:r>
      <w:r>
        <w:rPr>
          <w:color w:val="000000"/>
          <w:sz w:val="22"/>
          <w:lang w:eastAsia="ar-SA"/>
        </w:rPr>
        <w:t>--</w:t>
      </w:r>
      <w:r w:rsidRPr="00324C20">
        <w:rPr>
          <w:color w:val="000000"/>
          <w:sz w:val="22"/>
          <w:lang w:eastAsia="ar-SA"/>
        </w:rPr>
        <w:t>---------</w:t>
      </w:r>
      <w:r>
        <w:rPr>
          <w:color w:val="000000"/>
          <w:sz w:val="22"/>
          <w:lang w:eastAsia="ar-SA"/>
        </w:rPr>
        <w:t xml:space="preserve">--------- </w:t>
      </w:r>
      <w:r>
        <w:rPr>
          <w:sz w:val="22"/>
          <w:lang w:eastAsia="ar-SA"/>
        </w:rPr>
        <w:t>x 4</w:t>
      </w:r>
      <w:r w:rsidRPr="00324C20">
        <w:rPr>
          <w:sz w:val="22"/>
          <w:lang w:eastAsia="ar-SA"/>
        </w:rPr>
        <w:t>0</w:t>
      </w:r>
    </w:p>
    <w:p w14:paraId="04EA61F3" w14:textId="77777777" w:rsidR="00DC1E59" w:rsidRPr="005E0EB6" w:rsidRDefault="00DC1E59" w:rsidP="00DC1E59">
      <w:pPr>
        <w:suppressAutoHyphens/>
        <w:ind w:left="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największa liczba miesięcy doświadczenia zawodowego kucharza                 </w:t>
      </w:r>
      <w:r>
        <w:rPr>
          <w:sz w:val="22"/>
          <w:lang w:eastAsia="ar-SA"/>
        </w:rPr>
        <w:br/>
        <w:t xml:space="preserve">                                                                               </w:t>
      </w:r>
      <w:r w:rsidRPr="00324C20">
        <w:rPr>
          <w:sz w:val="22"/>
          <w:lang w:eastAsia="ar-SA"/>
        </w:rPr>
        <w:t>spośród badanych ofert</w:t>
      </w:r>
    </w:p>
    <w:p w14:paraId="2EBC4CAB" w14:textId="77777777" w:rsidR="00DC1E59" w:rsidRPr="005D62FD" w:rsidRDefault="00DC1E59" w:rsidP="004549CB">
      <w:pPr>
        <w:suppressAutoHyphens/>
        <w:spacing w:line="360" w:lineRule="auto"/>
        <w:jc w:val="both"/>
        <w:rPr>
          <w:sz w:val="22"/>
          <w:lang w:eastAsia="ar-SA"/>
        </w:rPr>
      </w:pPr>
      <w:r w:rsidRPr="009532B9">
        <w:rPr>
          <w:color w:val="000000"/>
          <w:sz w:val="22"/>
          <w:lang w:eastAsia="ar-SA"/>
        </w:rPr>
        <w:t>Wynik działania zostanie  zaokrąglony do 2 miejsc po przecinku,</w:t>
      </w:r>
      <w:r w:rsidRPr="009532B9">
        <w:rPr>
          <w:sz w:val="22"/>
          <w:lang w:eastAsia="ar-SA"/>
        </w:rPr>
        <w:t xml:space="preserve"> maksymalna liczba punktów </w:t>
      </w:r>
      <w:r>
        <w:rPr>
          <w:sz w:val="22"/>
          <w:lang w:eastAsia="ar-SA"/>
        </w:rPr>
        <w:br/>
        <w:t xml:space="preserve"> jaką można uzyskać – 4</w:t>
      </w:r>
      <w:r w:rsidRPr="009532B9">
        <w:rPr>
          <w:sz w:val="22"/>
          <w:lang w:eastAsia="ar-SA"/>
        </w:rPr>
        <w:t>0</w:t>
      </w:r>
    </w:p>
    <w:p w14:paraId="08D6081A" w14:textId="77777777" w:rsidR="0090088D" w:rsidRPr="00B773CE" w:rsidRDefault="0090088D" w:rsidP="00E376EB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60187F8" w14:textId="77777777"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3C9E340" w14:textId="77777777" w:rsidR="00DC0247" w:rsidRPr="00DB32FB" w:rsidRDefault="00DC0247" w:rsidP="00E376EB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31FE3E6" w14:textId="77777777" w:rsidR="00DC0247" w:rsidRPr="00DB32FB" w:rsidRDefault="00DC0247" w:rsidP="00E376E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DC1E59">
        <w:rPr>
          <w:sz w:val="22"/>
        </w:rPr>
        <w:t>wybiera ofertę z najniższą ceną.</w:t>
      </w:r>
    </w:p>
    <w:p w14:paraId="79769344" w14:textId="77777777" w:rsidR="00DC0247" w:rsidRPr="00DB32FB" w:rsidRDefault="00DC0247" w:rsidP="00E376E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DC1E59">
        <w:rPr>
          <w:sz w:val="22"/>
        </w:rPr>
        <w:t>tkowych zawierających nową cenę.</w:t>
      </w:r>
    </w:p>
    <w:p w14:paraId="54FC980F" w14:textId="77777777" w:rsidR="00390081" w:rsidRDefault="00DB32FB" w:rsidP="00DC1E59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96247B2" w14:textId="77777777" w:rsidR="004549CB" w:rsidRPr="00DC1E59" w:rsidRDefault="004549CB" w:rsidP="004549CB">
      <w:pPr>
        <w:pStyle w:val="Akapitzlist"/>
        <w:tabs>
          <w:tab w:val="left" w:pos="993"/>
        </w:tabs>
        <w:spacing w:after="0" w:line="360" w:lineRule="auto"/>
        <w:ind w:left="817"/>
        <w:jc w:val="both"/>
        <w:rPr>
          <w:sz w:val="22"/>
        </w:rPr>
      </w:pPr>
    </w:p>
    <w:p w14:paraId="4A65661C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lastRenderedPageBreak/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2F0B101F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567647D5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12AE96AA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4ED6BAE5" w14:textId="77777777" w:rsidR="00DC1E59" w:rsidRDefault="00873DFB" w:rsidP="004549C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1ECCB371" w14:textId="77777777" w:rsidR="004549CB" w:rsidRPr="004549CB" w:rsidRDefault="004549CB" w:rsidP="004549CB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14:paraId="2E0CBE22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39E6EE27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4B12CD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0C076177" w14:textId="68C2DA24" w:rsidR="00C00C07" w:rsidRPr="00412CF1" w:rsidRDefault="00C00C07" w:rsidP="00412CF1">
      <w:pPr>
        <w:spacing w:before="26" w:after="0"/>
        <w:jc w:val="both"/>
        <w:rPr>
          <w:b/>
          <w:sz w:val="22"/>
        </w:rPr>
      </w:pPr>
    </w:p>
    <w:p w14:paraId="1232CA21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41811ACC" w14:textId="77777777" w:rsidR="003F2F74" w:rsidRDefault="003F2F74" w:rsidP="003F2F74">
      <w:pPr>
        <w:pStyle w:val="Akapitzlist"/>
        <w:rPr>
          <w:b/>
          <w:sz w:val="22"/>
        </w:rPr>
      </w:pPr>
    </w:p>
    <w:p w14:paraId="10EDD08A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DC1E59">
        <w:rPr>
          <w:sz w:val="22"/>
        </w:rPr>
        <w:t xml:space="preserve">załącznik nr </w:t>
      </w:r>
      <w:r w:rsidR="004549CB">
        <w:rPr>
          <w:sz w:val="22"/>
        </w:rPr>
        <w:t>5</w:t>
      </w:r>
      <w:r w:rsidR="00F33206" w:rsidRPr="00DC1E59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0E65FC1A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9852D3C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0525550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43CB01D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273CFA97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69663337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10C7C64F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5B0F8BCE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7E734622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27568090" w14:textId="77777777"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3C8ED1AE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4E0ED0FC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2974260B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67E44D4F" w14:textId="77777777" w:rsidR="00DB0C1E" w:rsidRDefault="00DB0C1E" w:rsidP="003F0504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3C76BD52" w14:textId="77777777" w:rsidR="00DC1E59" w:rsidRPr="003A6C50" w:rsidRDefault="00DC1E59" w:rsidP="00DC1E59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3249C2AA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52BDBF5C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546310D3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778957C6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6AF9410F" w14:textId="77777777"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DC1E59" w:rsidRPr="00DC1E59">
        <w:rPr>
          <w:b/>
          <w:sz w:val="20"/>
          <w:szCs w:val="20"/>
        </w:rPr>
        <w:t>ZP.272.1.16.2024 Świadczenie usług cateringowych na potrzeby spotkań organizowanych przez Regionalny Ośrodek Polityki Społecznej</w:t>
      </w:r>
      <w:r w:rsidR="00DC1E59" w:rsidRPr="00DC1E59">
        <w:rPr>
          <w:color w:val="595959"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7741DFA5" w14:textId="77777777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FE5FD8">
        <w:rPr>
          <w:sz w:val="20"/>
          <w:szCs w:val="20"/>
        </w:rPr>
        <w:t>blicznych (Dz. U. z 2023</w:t>
      </w:r>
      <w:r w:rsidRPr="00DB0C1E">
        <w:rPr>
          <w:sz w:val="20"/>
          <w:szCs w:val="20"/>
        </w:rPr>
        <w:t xml:space="preserve"> r., poz. </w:t>
      </w:r>
      <w:r w:rsidR="00FE5FD8">
        <w:rPr>
          <w:sz w:val="20"/>
          <w:szCs w:val="20"/>
        </w:rPr>
        <w:t>1605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352DBF3E" w14:textId="77777777"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370E8291" w14:textId="77777777"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42B3D4BC" w14:textId="77777777"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07F504E5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5DC97B70" w14:textId="77777777"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15916503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05DCD818" w14:textId="77777777"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lastRenderedPageBreak/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045AC672" w14:textId="77777777" w:rsidR="00295475" w:rsidRPr="006B443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297BBFF5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0B7FEADB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456186A9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4977D696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570267D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0A8155C4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1EC3F734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5EEF45CE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1C55C75B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CDA788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69A0CC18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58C29DB1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3D287B7F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55169C10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5F6E055A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D02AFC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</w:r>
      <w:r w:rsidRPr="00332014">
        <w:rPr>
          <w:sz w:val="20"/>
          <w:szCs w:val="20"/>
        </w:rPr>
        <w:lastRenderedPageBreak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3F0DBE7E" w14:textId="77777777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sectPr w:rsidR="007021F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00C3" w14:textId="77777777" w:rsidR="00C73DF6" w:rsidRDefault="00C73DF6" w:rsidP="004F2A5C">
      <w:pPr>
        <w:spacing w:after="0" w:line="240" w:lineRule="auto"/>
      </w:pPr>
      <w:r>
        <w:separator/>
      </w:r>
    </w:p>
  </w:endnote>
  <w:endnote w:type="continuationSeparator" w:id="0">
    <w:p w14:paraId="11882228" w14:textId="77777777" w:rsidR="00C73DF6" w:rsidRDefault="00C73DF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D62B513" w14:textId="502FFC85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BF">
          <w:rPr>
            <w:noProof/>
          </w:rPr>
          <w:t>17</w:t>
        </w:r>
        <w:r>
          <w:fldChar w:fldCharType="end"/>
        </w:r>
      </w:p>
    </w:sdtContent>
  </w:sdt>
  <w:p w14:paraId="2EC979F6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760C5" w14:textId="77777777" w:rsidR="00C73DF6" w:rsidRDefault="00C73DF6" w:rsidP="004F2A5C">
      <w:pPr>
        <w:spacing w:after="0" w:line="240" w:lineRule="auto"/>
      </w:pPr>
      <w:r>
        <w:separator/>
      </w:r>
    </w:p>
  </w:footnote>
  <w:footnote w:type="continuationSeparator" w:id="0">
    <w:p w14:paraId="228B5B11" w14:textId="77777777" w:rsidR="00C73DF6" w:rsidRDefault="00C73DF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multilevel"/>
    <w:tmpl w:val="42820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3F57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32DE"/>
    <w:rsid w:val="003E3F4F"/>
    <w:rsid w:val="003E4D11"/>
    <w:rsid w:val="003E6F11"/>
    <w:rsid w:val="003F0504"/>
    <w:rsid w:val="003F2F74"/>
    <w:rsid w:val="003F77BC"/>
    <w:rsid w:val="00412CF1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49CB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135B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123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390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428D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1907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3DF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57BF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1E59"/>
    <w:rsid w:val="00DC4710"/>
    <w:rsid w:val="00DC4EAF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1B9F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2972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F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F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5EA9-85A2-47B8-B0EE-99F37B40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5004</Words>
  <Characters>30029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11</cp:revision>
  <cp:lastPrinted>2024-02-29T13:18:00Z</cp:lastPrinted>
  <dcterms:created xsi:type="dcterms:W3CDTF">2024-02-08T10:15:00Z</dcterms:created>
  <dcterms:modified xsi:type="dcterms:W3CDTF">2024-02-29T13:18:00Z</dcterms:modified>
</cp:coreProperties>
</file>