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0" w:name="_GoBack"/>
      <w:bookmarkEnd w:id="0"/>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7EED689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AFC7A6E" w14:textId="5CDE6421" w:rsidR="001F270F" w:rsidRPr="00A661DD" w:rsidRDefault="00C40756" w:rsidP="001F270F">
      <w:pPr>
        <w:spacing w:after="0" w:line="240" w:lineRule="auto"/>
        <w:rPr>
          <w:rFonts w:ascii="Tahoma" w:hAnsi="Tahoma" w:cs="Tahoma"/>
        </w:rPr>
      </w:pPr>
      <w:r>
        <w:rPr>
          <w:rFonts w:eastAsia="Calibri" w:cs="Tahoma"/>
          <w:color w:val="auto"/>
          <w:szCs w:val="20"/>
        </w:rPr>
        <w:t>„</w:t>
      </w:r>
      <w:r w:rsidR="003345AA" w:rsidRPr="003345AA">
        <w:rPr>
          <w:rFonts w:eastAsia="Calibri" w:cs="Tahoma"/>
          <w:color w:val="auto"/>
          <w:szCs w:val="20"/>
        </w:rPr>
        <w:t>Dostawa, instalacja oraz przeszkol</w:t>
      </w:r>
      <w:r w:rsidR="0012513D">
        <w:rPr>
          <w:rFonts w:eastAsia="Calibri" w:cs="Tahoma"/>
          <w:color w:val="auto"/>
          <w:szCs w:val="20"/>
        </w:rPr>
        <w:t>e</w:t>
      </w:r>
      <w:r w:rsidR="003345AA" w:rsidRPr="003345AA">
        <w:rPr>
          <w:rFonts w:eastAsia="Calibri" w:cs="Tahoma"/>
          <w:color w:val="auto"/>
          <w:szCs w:val="20"/>
        </w:rPr>
        <w:t xml:space="preserve">nie z obsługi systemu do nanoszenia atomowych warstw materiałów do integracji surowców w zastosowaniach </w:t>
      </w:r>
      <w:proofErr w:type="spellStart"/>
      <w:r w:rsidR="003345AA" w:rsidRPr="003345AA">
        <w:rPr>
          <w:rFonts w:eastAsia="Calibri" w:cs="Tahoma"/>
          <w:color w:val="auto"/>
          <w:szCs w:val="20"/>
        </w:rPr>
        <w:t>fotonicznych</w:t>
      </w:r>
      <w:proofErr w:type="spellEnd"/>
      <w:r>
        <w:rPr>
          <w:rFonts w:eastAsia="Calibri" w:cs="Tahoma"/>
          <w:color w:val="auto"/>
          <w:szCs w:val="20"/>
        </w:rPr>
        <w:t>”</w:t>
      </w:r>
      <w:r w:rsidR="008C7F72">
        <w:rPr>
          <w:rFonts w:eastAsia="Calibri" w:cs="Tahoma"/>
          <w:color w:val="auto"/>
          <w:szCs w:val="20"/>
        </w:rPr>
        <w:t xml:space="preserve"> </w:t>
      </w:r>
      <w:r>
        <w:rPr>
          <w:rFonts w:eastAsia="Calibri" w:cs="Tahoma"/>
          <w:color w:val="auto"/>
          <w:szCs w:val="20"/>
        </w:rPr>
        <w:t>(</w:t>
      </w:r>
      <w:r w:rsidR="00327C25" w:rsidRPr="0012513D">
        <w:rPr>
          <w:rFonts w:eastAsia="Calibri" w:cs="Tahoma"/>
          <w:color w:val="auto"/>
          <w:szCs w:val="20"/>
        </w:rPr>
        <w:t>C</w:t>
      </w:r>
      <w:r w:rsidRPr="0012513D">
        <w:rPr>
          <w:rFonts w:eastAsia="Calibri" w:cs="Tahoma"/>
          <w:color w:val="auto"/>
          <w:szCs w:val="20"/>
        </w:rPr>
        <w:t>zęść</w:t>
      </w:r>
      <w:r w:rsidR="001F270F" w:rsidRPr="0012513D">
        <w:rPr>
          <w:rFonts w:eastAsia="Calibri" w:cs="Tahoma"/>
          <w:color w:val="auto"/>
          <w:szCs w:val="20"/>
        </w:rPr>
        <w:t xml:space="preserve"> 2: System do integracji surowców w zastosowaniach </w:t>
      </w:r>
      <w:proofErr w:type="spellStart"/>
      <w:r w:rsidR="001F270F" w:rsidRPr="0012513D">
        <w:rPr>
          <w:rFonts w:eastAsia="Calibri" w:cs="Tahoma"/>
          <w:color w:val="auto"/>
          <w:szCs w:val="20"/>
        </w:rPr>
        <w:t>fotonicznych</w:t>
      </w:r>
      <w:proofErr w:type="spellEnd"/>
      <w:r w:rsidRPr="0012513D">
        <w:rPr>
          <w:rFonts w:eastAsia="Calibri" w:cs="Tahoma"/>
          <w:color w:val="auto"/>
          <w:szCs w:val="20"/>
        </w:rPr>
        <w:t>)</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2AC23981" w14:textId="1057B545" w:rsidR="0012513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12513D">
        <w:rPr>
          <w:rFonts w:eastAsia="Calibri" w:cs="Tahoma"/>
          <w:color w:val="auto"/>
          <w:szCs w:val="20"/>
        </w:rPr>
        <w:t>[</w:t>
      </w:r>
      <w:r w:rsidR="00DC72C4" w:rsidRPr="004E13CD">
        <w:rPr>
          <w:rFonts w:eastAsia="Calibri" w:cs="Tahoma"/>
          <w:color w:val="auto"/>
          <w:szCs w:val="20"/>
        </w:rPr>
        <w:t>………………………</w:t>
      </w:r>
      <w:r w:rsidR="0012513D">
        <w:rPr>
          <w:rFonts w:eastAsia="Calibri" w:cs="Tahoma"/>
          <w:color w:val="auto"/>
          <w:szCs w:val="20"/>
        </w:rPr>
        <w:t>]</w:t>
      </w:r>
      <w:r w:rsidRPr="004E13CD">
        <w:rPr>
          <w:rFonts w:eastAsia="Calibri" w:cs="Tahoma"/>
          <w:color w:val="auto"/>
          <w:szCs w:val="20"/>
        </w:rPr>
        <w:t xml:space="preserve"> </w:t>
      </w:r>
    </w:p>
    <w:p w14:paraId="39C4A7A0" w14:textId="77777777" w:rsidR="0012513D" w:rsidRDefault="0012513D" w:rsidP="00B5768B">
      <w:pPr>
        <w:keepLines/>
        <w:suppressLineNumbers/>
        <w:suppressAutoHyphens/>
        <w:spacing w:before="60" w:after="60" w:line="276" w:lineRule="auto"/>
        <w:rPr>
          <w:rFonts w:eastAsia="Calibri" w:cs="Tahoma"/>
          <w:color w:val="auto"/>
          <w:szCs w:val="20"/>
        </w:rPr>
      </w:pPr>
    </w:p>
    <w:p w14:paraId="301E294B" w14:textId="5F646D4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733192D5" w:rsidR="008B1ECF" w:rsidRPr="004E13CD" w:rsidRDefault="0012513D" w:rsidP="00B5768B">
      <w:pPr>
        <w:keepLines/>
        <w:suppressLineNumbers/>
        <w:suppressAutoHyphens/>
        <w:spacing w:before="60" w:after="60" w:line="276" w:lineRule="auto"/>
        <w:rPr>
          <w:rFonts w:eastAsia="Calibri" w:cs="Tahoma"/>
          <w:color w:val="auto"/>
          <w:szCs w:val="20"/>
        </w:rPr>
      </w:pPr>
      <w:r>
        <w:rPr>
          <w:rFonts w:eastAsia="Calibri" w:cs="Tahoma"/>
          <w:i/>
          <w:iCs/>
          <w:color w:val="auto"/>
          <w:szCs w:val="20"/>
        </w:rPr>
        <w:t>[</w:t>
      </w:r>
      <w:r w:rsidR="002A25FA" w:rsidRPr="004E13CD">
        <w:rPr>
          <w:rFonts w:eastAsia="Calibri" w:cs="Tahoma"/>
          <w:i/>
          <w:iCs/>
          <w:color w:val="auto"/>
          <w:szCs w:val="20"/>
        </w:rPr>
        <w:t>……………………</w:t>
      </w:r>
      <w:r w:rsidR="00F00AD6" w:rsidRPr="004E13CD">
        <w:rPr>
          <w:rFonts w:eastAsia="Calibri" w:cs="Tahoma"/>
          <w:i/>
          <w:iCs/>
          <w:color w:val="auto"/>
          <w:szCs w:val="20"/>
        </w:rPr>
        <w:t>………………………………………</w:t>
      </w:r>
      <w:r>
        <w:rPr>
          <w:rFonts w:eastAsia="Calibri" w:cs="Tahoma"/>
          <w:i/>
          <w:iCs/>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2C0FDAB4" w:rsidR="00F00AD6" w:rsidRPr="004E13CD" w:rsidRDefault="00676C6F"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12513D">
        <w:rPr>
          <w:rFonts w:eastAsia="Calibri" w:cs="Tahoma"/>
          <w:color w:val="auto"/>
          <w:szCs w:val="20"/>
        </w:rPr>
        <w:t>[</w:t>
      </w:r>
      <w:r w:rsidR="00F00AD6" w:rsidRPr="004E13CD">
        <w:rPr>
          <w:rFonts w:eastAsia="Calibri" w:cs="Tahoma"/>
          <w:color w:val="auto"/>
          <w:szCs w:val="20"/>
        </w:rPr>
        <w:t>………………………………………….</w:t>
      </w:r>
      <w:r w:rsidR="0012513D">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12513D">
        <w:rPr>
          <w:rFonts w:eastAsia="Calibri" w:cs="Tahoma"/>
          <w:bCs/>
          <w:color w:val="auto"/>
          <w:szCs w:val="20"/>
        </w:rPr>
        <w:t>[</w:t>
      </w:r>
      <w:r w:rsidR="00F00AD6" w:rsidRPr="004E13CD">
        <w:rPr>
          <w:rFonts w:eastAsia="Calibri" w:cs="Tahoma"/>
          <w:bCs/>
          <w:color w:val="auto"/>
          <w:szCs w:val="20"/>
        </w:rPr>
        <w:t>……………………………………………..</w:t>
      </w:r>
      <w:r w:rsidR="0012513D">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12513D">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12513D">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12513D">
        <w:rPr>
          <w:rFonts w:eastAsia="Calibri" w:cs="Tahoma"/>
          <w:bCs/>
          <w:color w:val="auto"/>
          <w:szCs w:val="20"/>
        </w:rPr>
        <w:t>[</w:t>
      </w:r>
      <w:r w:rsidR="00E557C4" w:rsidRPr="004E13CD">
        <w:rPr>
          <w:rFonts w:eastAsia="Calibri" w:cs="Tahoma"/>
          <w:bCs/>
          <w:color w:val="auto"/>
          <w:szCs w:val="20"/>
        </w:rPr>
        <w:t>…………………………………………….</w:t>
      </w:r>
      <w:r w:rsidR="0012513D">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4FC2CDF7" w:rsidR="0064001A" w:rsidRPr="004E13CD" w:rsidRDefault="0012513D"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656C62A6" w:rsidR="00B7151C"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12513D">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w:t>
      </w:r>
      <w:r w:rsidR="0012513D">
        <w:rPr>
          <w:rFonts w:eastAsia="Calibri" w:cs="Tahoma"/>
          <w:bCs/>
          <w:sz w:val="20"/>
          <w:szCs w:val="20"/>
        </w:rPr>
        <w:t> </w:t>
      </w:r>
      <w:r w:rsidRPr="004E13CD">
        <w:rPr>
          <w:rFonts w:eastAsia="Calibri" w:cs="Tahoma"/>
          <w:bCs/>
          <w:sz w:val="20"/>
          <w:szCs w:val="20"/>
        </w:rPr>
        <w:t>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12513D">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C40756">
        <w:rPr>
          <w:rFonts w:eastAsia="Calibri" w:cs="Tahoma"/>
          <w:bCs/>
          <w:sz w:val="20"/>
          <w:szCs w:val="20"/>
        </w:rPr>
        <w:t xml:space="preserve"> przetargu nieograniczonego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229E207C" w14:textId="40A7A440" w:rsidR="00B7151C" w:rsidRPr="0012513D" w:rsidRDefault="00B7151C" w:rsidP="0012513D">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ascii="Tahoma" w:hAnsi="Tahoma" w:cs="Tahoma"/>
          <w:sz w:val="20"/>
          <w:szCs w:val="20"/>
        </w:rPr>
      </w:pPr>
      <w:r w:rsidRPr="0012513D">
        <w:rPr>
          <w:rFonts w:eastAsia="Calibri" w:cs="Tahoma"/>
          <w:bCs/>
          <w:sz w:val="20"/>
          <w:szCs w:val="20"/>
        </w:rPr>
        <w:t xml:space="preserve">Na podstawie niniejszej Umowy Wykonawca zobowiązuje się do </w:t>
      </w:r>
      <w:r w:rsidR="00620093" w:rsidRPr="0012513D">
        <w:rPr>
          <w:rFonts w:eastAsia="Calibri" w:cs="Tahoma"/>
          <w:bCs/>
          <w:sz w:val="20"/>
          <w:szCs w:val="20"/>
        </w:rPr>
        <w:t>dostawy, instalacji oraz przeszkol</w:t>
      </w:r>
      <w:r w:rsidR="00C40756" w:rsidRPr="0012513D">
        <w:rPr>
          <w:rFonts w:eastAsia="Calibri" w:cs="Tahoma"/>
          <w:bCs/>
          <w:sz w:val="20"/>
          <w:szCs w:val="20"/>
        </w:rPr>
        <w:t>e</w:t>
      </w:r>
      <w:r w:rsidR="00620093" w:rsidRPr="0012513D">
        <w:rPr>
          <w:rFonts w:eastAsia="Calibri" w:cs="Tahoma"/>
          <w:bCs/>
          <w:sz w:val="20"/>
          <w:szCs w:val="20"/>
        </w:rPr>
        <w:t>nia z obsługi systemu do integracji surowców w</w:t>
      </w:r>
      <w:r w:rsidR="0012513D" w:rsidRPr="0012513D">
        <w:rPr>
          <w:rFonts w:eastAsia="Calibri" w:cs="Tahoma"/>
          <w:bCs/>
          <w:sz w:val="20"/>
          <w:szCs w:val="20"/>
        </w:rPr>
        <w:t> </w:t>
      </w:r>
      <w:r w:rsidR="00620093" w:rsidRPr="0012513D">
        <w:rPr>
          <w:rFonts w:eastAsia="Calibri" w:cs="Tahoma"/>
          <w:bCs/>
          <w:sz w:val="20"/>
          <w:szCs w:val="20"/>
        </w:rPr>
        <w:t xml:space="preserve">zastosowaniach </w:t>
      </w:r>
      <w:proofErr w:type="spellStart"/>
      <w:r w:rsidR="00620093" w:rsidRPr="0012513D">
        <w:rPr>
          <w:rFonts w:eastAsia="Calibri" w:cs="Tahoma"/>
          <w:bCs/>
          <w:sz w:val="20"/>
          <w:szCs w:val="20"/>
        </w:rPr>
        <w:t>fotonicznych</w:t>
      </w:r>
      <w:proofErr w:type="spellEnd"/>
      <w:r w:rsidR="0012513D" w:rsidRPr="0012513D">
        <w:rPr>
          <w:rFonts w:eastAsia="Calibri" w:cs="Tahoma"/>
          <w:bCs/>
          <w:sz w:val="20"/>
          <w:szCs w:val="20"/>
        </w:rPr>
        <w:t xml:space="preserve"> </w:t>
      </w:r>
      <w:r w:rsidRPr="0012513D">
        <w:rPr>
          <w:rFonts w:eastAsia="Calibri" w:cs="Tahoma"/>
          <w:bCs/>
          <w:sz w:val="20"/>
          <w:szCs w:val="20"/>
        </w:rPr>
        <w:t xml:space="preserve">i </w:t>
      </w:r>
      <w:r w:rsidR="0012513D" w:rsidRPr="0012513D">
        <w:rPr>
          <w:rFonts w:eastAsia="Calibri" w:cs="Tahoma"/>
          <w:bCs/>
          <w:sz w:val="20"/>
          <w:szCs w:val="20"/>
        </w:rPr>
        <w:t xml:space="preserve">wykonania </w:t>
      </w:r>
      <w:r w:rsidRPr="0012513D">
        <w:rPr>
          <w:rFonts w:eastAsia="Calibri" w:cs="Tahoma"/>
          <w:bCs/>
          <w:sz w:val="20"/>
          <w:szCs w:val="20"/>
        </w:rPr>
        <w:t xml:space="preserve">ewentualnych usług dodatkowych, w zamian za wynagrodzenie w kwocie PLN </w:t>
      </w:r>
      <w:r w:rsidR="0012513D" w:rsidRPr="0012513D">
        <w:rPr>
          <w:rFonts w:eastAsia="Calibri" w:cs="Tahoma"/>
          <w:bCs/>
          <w:sz w:val="20"/>
          <w:szCs w:val="20"/>
        </w:rPr>
        <w:t>[</w:t>
      </w:r>
      <w:r w:rsidR="00F12A94" w:rsidRPr="00913C82">
        <w:rPr>
          <w:rFonts w:eastAsia="Calibri" w:cs="Tahoma"/>
          <w:b/>
          <w:iCs/>
          <w:sz w:val="20"/>
          <w:szCs w:val="20"/>
          <w:highlight w:val="yellow"/>
        </w:rPr>
        <w:t>……………………</w:t>
      </w:r>
      <w:r w:rsidR="0012513D" w:rsidRPr="00913C82">
        <w:rPr>
          <w:rFonts w:eastAsia="Calibri" w:cs="Tahoma"/>
          <w:b/>
          <w:iCs/>
          <w:sz w:val="20"/>
          <w:szCs w:val="20"/>
          <w:highlight w:val="yellow"/>
        </w:rPr>
        <w:t>………….</w:t>
      </w:r>
      <w:r w:rsidR="0012513D" w:rsidRPr="0012513D">
        <w:rPr>
          <w:rFonts w:eastAsia="Calibri" w:cs="Tahoma"/>
          <w:b/>
          <w:iCs/>
          <w:sz w:val="20"/>
          <w:szCs w:val="20"/>
        </w:rPr>
        <w:t>]</w:t>
      </w:r>
      <w:r w:rsidR="00C91FBC" w:rsidRPr="0012513D">
        <w:rPr>
          <w:rFonts w:eastAsia="Calibri" w:cs="Tahoma"/>
          <w:b/>
          <w:iCs/>
          <w:sz w:val="20"/>
          <w:szCs w:val="20"/>
        </w:rPr>
        <w:t xml:space="preserve"> </w:t>
      </w:r>
      <w:r w:rsidR="00C91FBC" w:rsidRPr="0012513D">
        <w:rPr>
          <w:rFonts w:eastAsia="Calibri" w:cs="Tahoma"/>
          <w:b/>
          <w:bCs/>
          <w:iCs/>
          <w:sz w:val="20"/>
          <w:szCs w:val="20"/>
        </w:rPr>
        <w:t>zł</w:t>
      </w:r>
      <w:r w:rsidR="00C91FBC" w:rsidRPr="0012513D">
        <w:rPr>
          <w:rFonts w:eastAsia="Calibri" w:cs="Tahoma"/>
          <w:bCs/>
          <w:iCs/>
          <w:sz w:val="20"/>
          <w:szCs w:val="20"/>
        </w:rPr>
        <w:t xml:space="preserve"> </w:t>
      </w:r>
      <w:r w:rsidR="00FC586D" w:rsidRPr="0012513D">
        <w:rPr>
          <w:rFonts w:eastAsia="Calibri" w:cs="Tahoma"/>
          <w:bCs/>
          <w:iCs/>
          <w:sz w:val="20"/>
          <w:szCs w:val="20"/>
        </w:rPr>
        <w:t xml:space="preserve">netto </w:t>
      </w:r>
      <w:r w:rsidR="00C91FBC" w:rsidRPr="0012513D">
        <w:rPr>
          <w:rFonts w:eastAsia="Calibri" w:cs="Tahoma"/>
          <w:bCs/>
          <w:iCs/>
          <w:sz w:val="20"/>
          <w:szCs w:val="20"/>
        </w:rPr>
        <w:t>(słownie:</w:t>
      </w:r>
      <w:r w:rsidR="00F12A94" w:rsidRPr="0012513D">
        <w:rPr>
          <w:rFonts w:eastAsia="Calibri" w:cs="Tahoma"/>
          <w:bCs/>
          <w:iCs/>
          <w:sz w:val="20"/>
          <w:szCs w:val="20"/>
        </w:rPr>
        <w:t xml:space="preserve"> </w:t>
      </w:r>
      <w:r w:rsidR="00F12A94" w:rsidRPr="00913C82">
        <w:rPr>
          <w:rFonts w:eastAsia="Calibri" w:cs="Tahoma"/>
          <w:bCs/>
          <w:iCs/>
          <w:sz w:val="20"/>
          <w:szCs w:val="20"/>
          <w:highlight w:val="yellow"/>
        </w:rPr>
        <w:t>………………………………</w:t>
      </w:r>
      <w:r w:rsidR="00FC586D" w:rsidRPr="0012513D">
        <w:rPr>
          <w:rFonts w:eastAsia="Calibri" w:cs="Tahoma"/>
          <w:bCs/>
          <w:iCs/>
          <w:sz w:val="20"/>
          <w:szCs w:val="20"/>
        </w:rPr>
        <w:t xml:space="preserve"> netto</w:t>
      </w:r>
      <w:r w:rsidR="00F850CF" w:rsidRPr="0012513D">
        <w:rPr>
          <w:rFonts w:eastAsia="Calibri" w:cs="Tahoma"/>
          <w:iCs/>
          <w:sz w:val="20"/>
          <w:szCs w:val="20"/>
        </w:rPr>
        <w:t>)</w:t>
      </w:r>
      <w:r w:rsidRPr="0012513D">
        <w:rPr>
          <w:rFonts w:eastAsia="Calibri" w:cs="Tahoma"/>
          <w:bCs/>
          <w:sz w:val="20"/>
          <w:szCs w:val="20"/>
        </w:rPr>
        <w:t>, w</w:t>
      </w:r>
      <w:r w:rsidR="00231146" w:rsidRPr="0012513D">
        <w:rPr>
          <w:rFonts w:eastAsia="Calibri" w:cs="Tahoma"/>
          <w:bCs/>
          <w:sz w:val="20"/>
          <w:szCs w:val="20"/>
        </w:rPr>
        <w:t> </w:t>
      </w:r>
      <w:r w:rsidRPr="0012513D">
        <w:rPr>
          <w:rFonts w:eastAsia="Calibri" w:cs="Tahoma"/>
          <w:bCs/>
          <w:sz w:val="20"/>
          <w:szCs w:val="20"/>
        </w:rPr>
        <w:t>terminie</w:t>
      </w:r>
      <w:r w:rsidR="00231146" w:rsidRPr="0012513D">
        <w:rPr>
          <w:rFonts w:eastAsia="Calibri" w:cs="Tahoma"/>
          <w:bCs/>
          <w:sz w:val="20"/>
          <w:szCs w:val="20"/>
        </w:rPr>
        <w:t xml:space="preserve"> </w:t>
      </w:r>
      <w:r w:rsidR="00EF1A40" w:rsidRPr="0012513D">
        <w:rPr>
          <w:rFonts w:eastAsia="Calibri" w:cs="Tahoma"/>
          <w:bCs/>
          <w:sz w:val="20"/>
          <w:szCs w:val="20"/>
        </w:rPr>
        <w:t xml:space="preserve">do dnia 15.12.2021 r. </w:t>
      </w:r>
      <w:r w:rsidRPr="0012513D">
        <w:rPr>
          <w:rFonts w:eastAsia="Calibri" w:cs="Tahoma"/>
          <w:bCs/>
          <w:sz w:val="20"/>
          <w:szCs w:val="20"/>
        </w:rPr>
        <w:t>i na zasadach każdorazowo szczegółowo wskazanych w Umowie.</w:t>
      </w:r>
    </w:p>
    <w:p w14:paraId="08C19749" w14:textId="3D17E6C8" w:rsidR="00C91FBC" w:rsidRPr="0012513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12513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69203CBE"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7F3CA607" w:rsidR="008B3940" w:rsidRPr="0012513D"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Laboratorium Technologii Materiałowych</w:t>
      </w:r>
      <w:r w:rsidR="00367AF4" w:rsidRPr="004E13CD">
        <w:rPr>
          <w:rFonts w:eastAsia="Calibri" w:cs="Tahoma"/>
          <w:color w:val="auto"/>
          <w:szCs w:val="20"/>
        </w:rPr>
        <w:t>;</w:t>
      </w:r>
    </w:p>
    <w:p w14:paraId="54BA50C7" w14:textId="22BC055E" w:rsidR="00C40756" w:rsidRPr="004E13CD" w:rsidRDefault="00C40756"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lastRenderedPageBreak/>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59F728F1"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C40756">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0EBEED76"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(instruktarzu)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27CE564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12513D">
        <w:rPr>
          <w:rFonts w:eastAsia="Calibri" w:cs="Tahoma"/>
          <w:color w:val="auto"/>
          <w:szCs w:val="20"/>
        </w:rPr>
        <w:t>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1"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1"/>
      <w:r w:rsidRPr="004E13CD">
        <w:rPr>
          <w:rFonts w:eastAsia="Calibri" w:cs="Tahoma"/>
          <w:color w:val="auto"/>
          <w:szCs w:val="20"/>
        </w:rPr>
        <w:t xml:space="preserve">, w szczególności posiadają wszelkie wymagane przepisami prawa świadectwa, certyfikaty, atesty, deklaracje zgodności. </w:t>
      </w:r>
    </w:p>
    <w:p w14:paraId="6F45E7F8" w14:textId="71FEFB50"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w:t>
      </w:r>
      <w:r w:rsidR="00B64C65">
        <w:rPr>
          <w:rFonts w:eastAsia="Calibri" w:cs="Tahoma"/>
          <w:snapToGrid w:val="0"/>
          <w:color w:val="auto"/>
          <w:szCs w:val="20"/>
        </w:rPr>
        <w:t> </w:t>
      </w:r>
      <w:r w:rsidRPr="004E13CD">
        <w:rPr>
          <w:rFonts w:eastAsia="Calibri" w:cs="Tahoma"/>
          <w:snapToGrid w:val="0"/>
          <w:color w:val="auto"/>
          <w:szCs w:val="20"/>
        </w:rPr>
        <w:t>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DA5852D"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953A52">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w:t>
      </w:r>
      <w:r w:rsidR="00B64C65">
        <w:rPr>
          <w:rFonts w:eastAsia="Calibri" w:cs="Tahoma"/>
          <w:color w:val="auto"/>
          <w:szCs w:val="20"/>
        </w:rPr>
        <w:t> </w:t>
      </w:r>
      <w:r w:rsidRPr="004E13CD">
        <w:rPr>
          <w:rFonts w:eastAsia="Calibri" w:cs="Tahoma"/>
          <w:color w:val="auto"/>
          <w:szCs w:val="20"/>
        </w:rPr>
        <w:t>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1D81584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wykonać Umowę zgodnie z najlepszą wiedzą profesjonalną, z zachowaniem najwyższej staranności wymaganej dla profesjonalisty posiadającego doświadczenie w realizacji tego typu zobowiązań porównywalnych pod względem rozmiaru, zakresu i</w:t>
      </w:r>
      <w:r w:rsidR="00B64C65">
        <w:rPr>
          <w:rFonts w:eastAsia="Calibri" w:cs="Tahoma"/>
          <w:color w:val="auto"/>
          <w:szCs w:val="20"/>
        </w:rPr>
        <w:t> </w:t>
      </w:r>
      <w:r w:rsidRPr="004E13CD">
        <w:rPr>
          <w:rFonts w:eastAsia="Calibri" w:cs="Tahoma"/>
          <w:color w:val="auto"/>
          <w:szCs w:val="20"/>
        </w:rPr>
        <w:t>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3C66203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w:t>
      </w:r>
      <w:r w:rsidR="00B64C65">
        <w:rPr>
          <w:rFonts w:eastAsia="Calibri" w:cs="Tahoma"/>
          <w:color w:val="auto"/>
          <w:szCs w:val="20"/>
        </w:rPr>
        <w:t> </w:t>
      </w:r>
      <w:r w:rsidRPr="004E13CD">
        <w:rPr>
          <w:rFonts w:eastAsia="Calibri" w:cs="Tahoma"/>
          <w:color w:val="auto"/>
          <w:szCs w:val="20"/>
        </w:rPr>
        <w:t>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1E4CB6E9"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 xml:space="preserve">14, </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2514778A"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VAT/VAT UE.</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1527454A" w:rsidR="008B1ECF" w:rsidRPr="004E13CD" w:rsidRDefault="008B1ECF" w:rsidP="00EF1A40">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1. </w:t>
      </w:r>
      <w:r w:rsidRPr="004E13CD">
        <w:rPr>
          <w:rFonts w:eastAsia="Calibri" w:cs="Tahoma"/>
          <w:color w:val="auto"/>
          <w:szCs w:val="20"/>
        </w:rPr>
        <w:tab/>
        <w:t xml:space="preserve">Przedmiotem Umowy jest przeniesienie własności </w:t>
      </w:r>
      <w:r w:rsidR="00327C25" w:rsidRPr="00B64C65">
        <w:rPr>
          <w:rFonts w:eastAsia="Calibri" w:cs="Tahoma"/>
          <w:i/>
          <w:iCs/>
          <w:color w:val="auto"/>
          <w:szCs w:val="20"/>
        </w:rPr>
        <w:t>s</w:t>
      </w:r>
      <w:r w:rsidR="0068713E" w:rsidRPr="00B64C65">
        <w:rPr>
          <w:rFonts w:eastAsia="Calibri" w:cs="Tahoma"/>
          <w:i/>
          <w:iCs/>
          <w:color w:val="auto"/>
          <w:szCs w:val="20"/>
        </w:rPr>
        <w:t>ystem</w:t>
      </w:r>
      <w:r w:rsidR="00327C25" w:rsidRPr="00B64C65">
        <w:rPr>
          <w:rFonts w:eastAsia="Calibri" w:cs="Tahoma"/>
          <w:i/>
          <w:iCs/>
          <w:color w:val="auto"/>
          <w:szCs w:val="20"/>
        </w:rPr>
        <w:t>u</w:t>
      </w:r>
      <w:r w:rsidR="0068713E" w:rsidRPr="00B64C65">
        <w:rPr>
          <w:rFonts w:eastAsia="Calibri" w:cs="Tahoma"/>
          <w:i/>
          <w:iCs/>
          <w:color w:val="auto"/>
          <w:szCs w:val="20"/>
        </w:rPr>
        <w:t xml:space="preserve"> do integracji surowców w zastosowaniach </w:t>
      </w:r>
      <w:proofErr w:type="spellStart"/>
      <w:r w:rsidR="0068713E" w:rsidRPr="00B64C65">
        <w:rPr>
          <w:rFonts w:eastAsia="Calibri" w:cs="Tahoma"/>
          <w:i/>
          <w:iCs/>
          <w:color w:val="auto"/>
          <w:szCs w:val="20"/>
        </w:rPr>
        <w:t>fotonicznych</w:t>
      </w:r>
      <w:proofErr w:type="spellEnd"/>
      <w:r w:rsidR="00E66334" w:rsidRPr="004E13CD">
        <w:rPr>
          <w:rFonts w:eastAsia="Calibri" w:cs="Tahoma"/>
          <w:color w:val="auto"/>
          <w:szCs w:val="20"/>
        </w:rPr>
        <w:t xml:space="preserve"> </w:t>
      </w:r>
      <w:r w:rsidRPr="004E13CD">
        <w:rPr>
          <w:rFonts w:eastAsia="Calibri" w:cs="Tahoma"/>
          <w:color w:val="auto"/>
          <w:szCs w:val="20"/>
        </w:rPr>
        <w:t>i jego Dostawa oraz wykonanie Usług, a nadto udzielenie gwarancji i zapewnienie serwisu gwarancyjnego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64886E1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Budynek 3, Laboratorium Technologii Materiałowych</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w:t>
      </w:r>
      <w:r w:rsidR="00DD42CF">
        <w:rPr>
          <w:rFonts w:eastAsia="Calibri" w:cs="Tahoma"/>
          <w:color w:val="auto"/>
          <w:szCs w:val="20"/>
        </w:rPr>
        <w:t> </w:t>
      </w:r>
      <w:r w:rsidRPr="004E13CD">
        <w:rPr>
          <w:rFonts w:eastAsia="Calibri" w:cs="Tahoma"/>
          <w:color w:val="auto"/>
          <w:szCs w:val="20"/>
        </w:rPr>
        <w:t>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BE30899"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 dla dostarczonego Sprzętu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ED92B6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DD42CF">
        <w:rPr>
          <w:rFonts w:eastAsia="Calibri" w:cs="Tahoma"/>
          <w:color w:val="auto"/>
          <w:szCs w:val="20"/>
        </w:rPr>
        <w:t>[</w:t>
      </w:r>
      <w:r w:rsidR="00F850CF" w:rsidRPr="00DD42CF">
        <w:rPr>
          <w:rFonts w:eastAsia="Calibri" w:cs="Tahoma"/>
          <w:b/>
          <w:bCs/>
          <w:color w:val="auto"/>
          <w:szCs w:val="20"/>
          <w:highlight w:val="yellow"/>
        </w:rPr>
        <w:t>……………………………………..</w:t>
      </w:r>
      <w:r w:rsidR="00DD42CF">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DD42CF">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DD42CF">
        <w:rPr>
          <w:rFonts w:eastAsia="Calibri" w:cs="Tahoma"/>
          <w:iCs/>
          <w:color w:val="auto"/>
          <w:szCs w:val="20"/>
        </w:rPr>
        <w:t>[</w:t>
      </w:r>
      <w:r w:rsidR="00F850CF" w:rsidRPr="00DD42CF">
        <w:rPr>
          <w:rFonts w:eastAsia="Calibri" w:cs="Tahoma"/>
          <w:iCs/>
          <w:color w:val="auto"/>
          <w:szCs w:val="20"/>
          <w:highlight w:val="yellow"/>
        </w:rPr>
        <w:t>………………………………..</w:t>
      </w:r>
      <w:r w:rsidR="00DD42CF">
        <w:rPr>
          <w:rFonts w:eastAsia="Calibri" w:cs="Tahoma"/>
          <w:iCs/>
          <w:color w:val="auto"/>
          <w:szCs w:val="20"/>
        </w:rPr>
        <w:t>]</w:t>
      </w:r>
      <w:r w:rsidR="00F850CF" w:rsidRPr="004E13CD">
        <w:rPr>
          <w:rFonts w:eastAsia="Calibri" w:cs="Tahoma"/>
          <w:iCs/>
          <w:color w:val="auto"/>
          <w:szCs w:val="20"/>
        </w:rPr>
        <w:t xml:space="preserve"> zł (słownie: </w:t>
      </w:r>
      <w:r w:rsidR="00F850CF" w:rsidRPr="00DD42CF">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DD42CF">
        <w:rPr>
          <w:rFonts w:eastAsia="Calibri" w:cs="Tahoma"/>
          <w:iCs/>
          <w:color w:val="auto"/>
          <w:szCs w:val="20"/>
        </w:rPr>
        <w:t>[</w:t>
      </w:r>
      <w:r w:rsidR="00F850CF" w:rsidRPr="00DD42CF">
        <w:rPr>
          <w:rFonts w:eastAsia="Calibri" w:cs="Tahoma"/>
          <w:b/>
          <w:iCs/>
          <w:color w:val="auto"/>
          <w:szCs w:val="20"/>
          <w:highlight w:val="yellow"/>
        </w:rPr>
        <w:t>……………………………</w:t>
      </w:r>
      <w:r w:rsidR="00DD42CF">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DD42CF">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7777777"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10"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1CA24B2E" w:rsidR="0056270A" w:rsidRPr="004E13CD"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r w:rsidR="00DF705C">
        <w:rPr>
          <w:rFonts w:eastAsia="Times New Roman" w:cs="Tahoma"/>
          <w:color w:val="auto"/>
          <w:szCs w:val="20"/>
        </w:rPr>
        <w:t xml:space="preserve">musi nastąpić nie później niż </w:t>
      </w:r>
      <w:r w:rsidR="00C77417" w:rsidRPr="00DD42CF">
        <w:rPr>
          <w:rFonts w:eastAsia="Times New Roman" w:cs="Tahoma"/>
          <w:b/>
          <w:bCs/>
          <w:color w:val="auto"/>
          <w:szCs w:val="20"/>
        </w:rPr>
        <w:t xml:space="preserve">do </w:t>
      </w:r>
      <w:r w:rsidR="00DD42CF" w:rsidRPr="00DD42CF">
        <w:rPr>
          <w:rFonts w:eastAsia="Times New Roman" w:cs="Tahoma"/>
          <w:b/>
          <w:bCs/>
          <w:color w:val="auto"/>
          <w:szCs w:val="20"/>
        </w:rPr>
        <w:t xml:space="preserve">dnia </w:t>
      </w:r>
      <w:r w:rsidR="00DF705C" w:rsidRPr="00DD42CF">
        <w:rPr>
          <w:rFonts w:eastAsia="Times New Roman" w:cs="Tahoma"/>
          <w:b/>
          <w:bCs/>
          <w:color w:val="auto"/>
          <w:szCs w:val="20"/>
        </w:rPr>
        <w:t>15.12.2021</w:t>
      </w:r>
      <w:r w:rsidR="00DD42CF" w:rsidRPr="00DD42CF">
        <w:rPr>
          <w:rFonts w:eastAsia="Times New Roman" w:cs="Tahoma"/>
          <w:b/>
          <w:bCs/>
          <w:color w:val="auto"/>
          <w:szCs w:val="20"/>
        </w:rPr>
        <w:t xml:space="preserve"> r.</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1DA1E630"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 przeprowadzenia szkolenia z obsługi sprzętu, </w:t>
      </w:r>
      <w:r w:rsidRPr="004E13CD">
        <w:rPr>
          <w:rFonts w:eastAsia="Calibri" w:cs="Tahoma"/>
          <w:color w:val="auto"/>
          <w:szCs w:val="20"/>
        </w:rPr>
        <w:t>z przedstawicielem</w:t>
      </w:r>
      <w:r w:rsidR="00DD42CF">
        <w:rPr>
          <w:rFonts w:eastAsia="Calibri" w:cs="Tahoma"/>
          <w:color w:val="auto"/>
          <w:szCs w:val="20"/>
        </w:rPr>
        <w:t> </w:t>
      </w:r>
      <w:r w:rsidRPr="004E13CD">
        <w:rPr>
          <w:rFonts w:eastAsia="Calibri" w:cs="Tahoma"/>
          <w:color w:val="auto"/>
          <w:szCs w:val="20"/>
        </w:rPr>
        <w:t>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9759DC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7A77F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 xml:space="preserve">i w wyniku przeprowadzenia testów Zamawiający </w:t>
      </w:r>
      <w:r w:rsidR="007A77F5">
        <w:rPr>
          <w:rFonts w:eastAsia="Calibri" w:cs="Tahoma"/>
          <w:color w:val="auto"/>
          <w:szCs w:val="20"/>
        </w:rPr>
        <w:t> </w:t>
      </w:r>
      <w:r w:rsidRPr="004E13CD">
        <w:rPr>
          <w:rFonts w:eastAsia="Calibri" w:cs="Tahoma"/>
          <w:color w:val="auto"/>
          <w:szCs w:val="20"/>
        </w:rPr>
        <w:t>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25B9C82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8A1B613" w:rsidR="008B1ECF" w:rsidRPr="007A77F5"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7A77F5">
        <w:rPr>
          <w:rFonts w:eastAsia="Calibri" w:cs="Tahoma"/>
          <w:color w:val="auto"/>
          <w:szCs w:val="20"/>
        </w:rPr>
        <w:t>Osobą upoważnioną do uczestniczenia w procedurze odbioru, o której mowa w niniejszym paragrafie, w tym podpisania Protokołu Odbioru i</w:t>
      </w:r>
      <w:r w:rsidR="00637F6A" w:rsidRPr="007A77F5">
        <w:rPr>
          <w:rFonts w:eastAsia="Calibri" w:cs="Tahoma"/>
          <w:color w:val="auto"/>
          <w:szCs w:val="20"/>
        </w:rPr>
        <w:t> </w:t>
      </w:r>
      <w:r w:rsidRPr="007A77F5">
        <w:rPr>
          <w:rFonts w:eastAsia="Calibri" w:cs="Tahoma"/>
          <w:color w:val="auto"/>
          <w:szCs w:val="20"/>
        </w:rPr>
        <w:t>złożenia w imieniu Wykonawcy oświadczeń</w:t>
      </w:r>
      <w:r w:rsidR="00903F34" w:rsidRPr="007A77F5">
        <w:rPr>
          <w:rFonts w:eastAsia="Calibri" w:cs="Tahoma"/>
          <w:color w:val="auto"/>
          <w:szCs w:val="20"/>
        </w:rPr>
        <w:t xml:space="preserve"> </w:t>
      </w:r>
      <w:r w:rsidRPr="007A77F5">
        <w:rPr>
          <w:rFonts w:eastAsia="Calibri" w:cs="Tahoma"/>
          <w:color w:val="auto"/>
          <w:szCs w:val="20"/>
        </w:rPr>
        <w:t>w nim zawartych, ze strony Wykonawcy jest:</w:t>
      </w:r>
      <w:r w:rsidR="007A77F5">
        <w:rPr>
          <w:rFonts w:eastAsia="Calibri" w:cs="Tahoma"/>
          <w:color w:val="auto"/>
          <w:szCs w:val="20"/>
        </w:rPr>
        <w:t xml:space="preserve"> [</w:t>
      </w:r>
      <w:r w:rsidR="007A77F5" w:rsidRPr="007A77F5">
        <w:rPr>
          <w:rFonts w:eastAsia="Calibri" w:cs="Tahoma"/>
          <w:color w:val="auto"/>
          <w:szCs w:val="20"/>
          <w:highlight w:val="yellow"/>
        </w:rPr>
        <w:t>……………………………..</w:t>
      </w:r>
      <w:r w:rsidR="007A77F5">
        <w:rPr>
          <w:rFonts w:eastAsia="Calibri" w:cs="Tahoma"/>
          <w:color w:val="auto"/>
          <w:szCs w:val="20"/>
        </w:rPr>
        <w:t>]</w:t>
      </w:r>
      <w:r w:rsidR="00A91E05" w:rsidRPr="007A77F5">
        <w:rPr>
          <w:rFonts w:eastAsia="Calibri" w:cs="Tahoma"/>
          <w:color w:val="auto"/>
          <w:szCs w:val="20"/>
        </w:rPr>
        <w:t xml:space="preserve">, </w:t>
      </w:r>
      <w:r w:rsidRPr="007A77F5">
        <w:rPr>
          <w:rFonts w:eastAsia="Calibri" w:cs="Tahoma"/>
          <w:color w:val="auto"/>
          <w:szCs w:val="20"/>
        </w:rPr>
        <w:t>tel.</w:t>
      </w:r>
      <w:r w:rsidR="007A77F5">
        <w:rPr>
          <w:rFonts w:eastAsia="Calibri" w:cs="Tahoma"/>
          <w:color w:val="auto"/>
          <w:szCs w:val="20"/>
        </w:rPr>
        <w:t xml:space="preserve"> [</w:t>
      </w:r>
      <w:r w:rsidR="007A77F5" w:rsidRPr="007A77F5">
        <w:rPr>
          <w:rFonts w:eastAsia="Calibri" w:cs="Tahoma"/>
          <w:color w:val="auto"/>
          <w:szCs w:val="20"/>
          <w:highlight w:val="yellow"/>
        </w:rPr>
        <w:t>……………………….</w:t>
      </w:r>
      <w:r w:rsidR="007A77F5">
        <w:rPr>
          <w:rFonts w:eastAsia="Calibri" w:cs="Tahoma"/>
          <w:color w:val="auto"/>
          <w:szCs w:val="20"/>
        </w:rPr>
        <w:t>]</w:t>
      </w:r>
      <w:r w:rsidR="00A91E05" w:rsidRPr="007A77F5">
        <w:rPr>
          <w:rFonts w:eastAsia="Calibri" w:cs="Tahoma"/>
          <w:color w:val="auto"/>
          <w:szCs w:val="20"/>
        </w:rPr>
        <w:t xml:space="preserve">, </w:t>
      </w:r>
      <w:r w:rsidRPr="007A77F5">
        <w:rPr>
          <w:rFonts w:eastAsia="Calibri" w:cs="Tahoma"/>
          <w:color w:val="auto"/>
          <w:szCs w:val="20"/>
        </w:rPr>
        <w:t>e-mail</w:t>
      </w:r>
      <w:r w:rsidR="007A77F5">
        <w:rPr>
          <w:rFonts w:eastAsia="Calibri" w:cs="Tahoma"/>
          <w:color w:val="auto"/>
          <w:szCs w:val="20"/>
        </w:rPr>
        <w:t>: [</w:t>
      </w:r>
      <w:r w:rsidR="007A77F5" w:rsidRPr="007A77F5">
        <w:rPr>
          <w:rFonts w:eastAsia="Calibri" w:cs="Tahoma"/>
          <w:color w:val="auto"/>
          <w:szCs w:val="20"/>
          <w:highlight w:val="yellow"/>
        </w:rPr>
        <w:t>………………………………………</w:t>
      </w:r>
      <w:r w:rsidR="007A77F5">
        <w:rPr>
          <w:rFonts w:eastAsia="Calibri" w:cs="Tahoma"/>
          <w:color w:val="auto"/>
          <w:szCs w:val="20"/>
        </w:rPr>
        <w:t>].</w:t>
      </w:r>
      <w:r w:rsidR="009373CB" w:rsidRPr="007A77F5">
        <w:rPr>
          <w:rFonts w:eastAsia="Calibri" w:cs="Tahoma"/>
          <w:color w:val="auto"/>
          <w:szCs w:val="20"/>
        </w:rPr>
        <w:t xml:space="preserve"> </w:t>
      </w:r>
      <w:r w:rsidRPr="007A77F5">
        <w:rPr>
          <w:rFonts w:eastAsia="Calibri" w:cs="Tahoma"/>
          <w:color w:val="auto"/>
          <w:szCs w:val="20"/>
        </w:rPr>
        <w:t>Zmiana osoby lub danych, o</w:t>
      </w:r>
      <w:r w:rsidR="008A2EFE" w:rsidRPr="007A77F5">
        <w:rPr>
          <w:rFonts w:eastAsia="Calibri" w:cs="Tahoma"/>
          <w:color w:val="auto"/>
          <w:szCs w:val="20"/>
        </w:rPr>
        <w:t> </w:t>
      </w:r>
      <w:r w:rsidRPr="007A77F5">
        <w:rPr>
          <w:rFonts w:eastAsia="Calibri" w:cs="Tahoma"/>
          <w:color w:val="auto"/>
          <w:szCs w:val="20"/>
        </w:rPr>
        <w:t>których mowa w zdaniu poprzednim, nie stanowi zmiany Umowy i staje się skuteczna z chwilą pisemnego powiadomienia Zamawiającego o takiej zmianie ze wskazaniem nowej osoby upoważnionej lub nowych danych.</w:t>
      </w:r>
    </w:p>
    <w:p w14:paraId="1768B214" w14:textId="65E8117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7A77F5" w:rsidRPr="007A77F5">
        <w:rPr>
          <w:rFonts w:eastAsia="Calibri" w:cs="Tahoma"/>
          <w:color w:val="auto"/>
          <w:szCs w:val="20"/>
        </w:rPr>
        <w:t>Tomasz Baraniecki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7A77F5" w:rsidRPr="007A77F5">
        <w:rPr>
          <w:rFonts w:eastAsia="Times New Roman" w:cs="Tahoma"/>
          <w:color w:val="auto"/>
          <w:szCs w:val="20"/>
          <w:lang w:eastAsia="pl-PL"/>
        </w:rPr>
        <w:t>71 734 71 67</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7A77F5" w:rsidRPr="007A77F5">
        <w:rPr>
          <w:rFonts w:cs="Tahoma"/>
          <w:color w:val="auto"/>
          <w:szCs w:val="20"/>
        </w:rPr>
        <w:t>tomasz.baraniecki@port.lukasiewicz.gov.pl</w:t>
      </w:r>
      <w:r w:rsidR="007A77F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0B4B52BB"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w:t>
      </w:r>
      <w:r w:rsidR="007A77F5">
        <w:rPr>
          <w:rFonts w:eastAsia="Calibri" w:cs="Tahoma"/>
          <w:color w:val="auto"/>
          <w:szCs w:val="20"/>
        </w:rPr>
        <w:t> </w:t>
      </w:r>
      <w:r w:rsidRPr="004E13CD">
        <w:rPr>
          <w:rFonts w:eastAsia="Calibri" w:cs="Tahoma"/>
          <w:color w:val="auto"/>
          <w:szCs w:val="20"/>
        </w:rPr>
        <w:t xml:space="preserve">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63B17FF6" w:rsidR="00065585"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2B86EAC4" w14:textId="71E93858" w:rsidR="007A77F5" w:rsidRDefault="007A77F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B236B54" w14:textId="38D92399" w:rsidR="007A77F5" w:rsidRDefault="007A77F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7D377341" w14:textId="534D7A2D" w:rsidR="007A77F5" w:rsidRDefault="007A77F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5E54EA09" w14:textId="7AA3455D" w:rsidR="007A77F5" w:rsidRDefault="007A77F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64A908C7" w14:textId="77777777" w:rsidR="007A77F5" w:rsidRPr="004E13CD" w:rsidRDefault="007A77F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4E13CD"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4093C8D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4A288BDD" w14:textId="73066BC1"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1875A9">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13048BAA" w14:textId="396703EC" w:rsidR="008A2EFE" w:rsidRPr="007A77F5" w:rsidRDefault="008B1ECF" w:rsidP="007A77F5">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1610F578" w14:textId="77777777" w:rsidR="00CF0FE5" w:rsidRPr="004E13CD" w:rsidRDefault="00CF0FE5"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7777777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 następujących przypadkach:</w:t>
      </w:r>
    </w:p>
    <w:p w14:paraId="411A6F01" w14:textId="105BE451"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0,2</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197D795D"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CF0FE5">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 pkt </w:t>
      </w:r>
      <w:r w:rsidR="00CF0FE5">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 xml:space="preserve">0,1 </w:t>
      </w:r>
      <w:r w:rsidRPr="004E13CD">
        <w:rPr>
          <w:rFonts w:eastAsia="Times New Roman" w:cs="Tahoma"/>
          <w:color w:val="auto"/>
          <w:szCs w:val="20"/>
        </w:rPr>
        <w:t xml:space="preserve">% wynagrodzenia netto,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662D36B5"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 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4E266770" w14:textId="76657154" w:rsidR="00CF0FE5" w:rsidRPr="001875A9" w:rsidRDefault="009B5BA8" w:rsidP="001875A9">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C86612" w:rsidRPr="004E13CD">
        <w:rPr>
          <w:rFonts w:eastAsia="Times New Roman" w:cs="Tahoma"/>
          <w:color w:val="auto"/>
          <w:szCs w:val="20"/>
        </w:rPr>
        <w:t xml:space="preserve">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1875A9">
        <w:rPr>
          <w:rFonts w:eastAsia="Times New Roman" w:cs="Tahoma"/>
          <w:color w:val="auto"/>
          <w:szCs w:val="20"/>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54F9418B" w14:textId="35D49BFD" w:rsidR="0034407E" w:rsidRPr="004E13CD"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w:t>
      </w:r>
      <w:r w:rsidR="001875A9">
        <w:rPr>
          <w:rFonts w:eastAsia="Calibri" w:cs="Tahoma"/>
          <w:color w:val="auto"/>
          <w:szCs w:val="20"/>
        </w:rPr>
        <w:t> </w:t>
      </w:r>
      <w:r w:rsidRPr="004E13CD">
        <w:rPr>
          <w:rFonts w:eastAsia="Calibri" w:cs="Tahoma"/>
          <w:color w:val="auto"/>
          <w:szCs w:val="20"/>
        </w:rPr>
        <w:t>§</w:t>
      </w:r>
      <w:r w:rsidR="00AA7EA2" w:rsidRPr="004E13CD">
        <w:rPr>
          <w:rFonts w:eastAsia="Calibri" w:cs="Tahoma"/>
          <w:color w:val="auto"/>
          <w:szCs w:val="20"/>
        </w:rPr>
        <w:t> </w:t>
      </w:r>
      <w:r w:rsidRPr="004E13CD">
        <w:rPr>
          <w:rFonts w:eastAsia="Calibri" w:cs="Tahoma"/>
          <w:color w:val="auto"/>
          <w:szCs w:val="20"/>
        </w:rPr>
        <w:t xml:space="preserve">6 ust. 1 Umowy. </w:t>
      </w:r>
      <w:r w:rsidR="00C43310">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2571E2E7" w14:textId="2CB99901" w:rsidR="0034407E" w:rsidRDefault="0034407E" w:rsidP="00B5768B">
      <w:pPr>
        <w:keepLines/>
        <w:suppressLineNumbers/>
        <w:tabs>
          <w:tab w:val="left" w:pos="426"/>
        </w:tabs>
        <w:suppressAutoHyphens/>
        <w:spacing w:before="60" w:after="60" w:line="276" w:lineRule="auto"/>
        <w:ind w:left="426"/>
        <w:rPr>
          <w:rFonts w:eastAsia="Calibri" w:cs="Tahoma"/>
          <w:color w:val="auto"/>
          <w:szCs w:val="20"/>
        </w:rPr>
      </w:pPr>
    </w:p>
    <w:p w14:paraId="672F8E02" w14:textId="2667C9FB" w:rsidR="001875A9" w:rsidRDefault="001875A9" w:rsidP="00B5768B">
      <w:pPr>
        <w:keepLines/>
        <w:suppressLineNumbers/>
        <w:tabs>
          <w:tab w:val="left" w:pos="426"/>
        </w:tabs>
        <w:suppressAutoHyphens/>
        <w:spacing w:before="60" w:after="60" w:line="276" w:lineRule="auto"/>
        <w:ind w:left="426"/>
        <w:rPr>
          <w:rFonts w:eastAsia="Calibri" w:cs="Tahoma"/>
          <w:color w:val="auto"/>
          <w:szCs w:val="20"/>
        </w:rPr>
      </w:pPr>
    </w:p>
    <w:p w14:paraId="276446BB" w14:textId="77777777" w:rsidR="001875A9" w:rsidRPr="004E13CD" w:rsidRDefault="001875A9"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1C0ED8F3"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113EF490" w14:textId="29AB520F" w:rsidR="008B1ECF"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399ACFFF" w14:textId="77777777" w:rsidR="00CF0FE5" w:rsidRPr="00966CF0" w:rsidRDefault="00CF0FE5" w:rsidP="00CF0FE5">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032A4E1F" w14:textId="01194D8A" w:rsidR="00CF0FE5" w:rsidRPr="00966CF0" w:rsidRDefault="00CF0FE5" w:rsidP="00CF0FE5">
      <w:pPr>
        <w:numPr>
          <w:ilvl w:val="0"/>
          <w:numId w:val="46"/>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1875A9">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09039EA2" w14:textId="77777777" w:rsidR="00CF0FE5" w:rsidRPr="00966CF0" w:rsidRDefault="00CF0FE5" w:rsidP="00CF0FE5">
      <w:pPr>
        <w:numPr>
          <w:ilvl w:val="0"/>
          <w:numId w:val="46"/>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6AE95623" w14:textId="77777777" w:rsidR="00CF0FE5" w:rsidRPr="00966CF0" w:rsidRDefault="00CF0FE5" w:rsidP="00CF0FE5">
      <w:pPr>
        <w:widowControl w:val="0"/>
        <w:numPr>
          <w:ilvl w:val="0"/>
          <w:numId w:val="47"/>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149A70C6" w14:textId="77777777" w:rsidR="00CF0FE5" w:rsidRPr="00966CF0" w:rsidRDefault="00CF0FE5" w:rsidP="00CF0FE5">
      <w:pPr>
        <w:widowControl w:val="0"/>
        <w:numPr>
          <w:ilvl w:val="0"/>
          <w:numId w:val="47"/>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03E50E10" w14:textId="77777777" w:rsidR="00CF0FE5" w:rsidRPr="00966CF0" w:rsidRDefault="00CF0FE5" w:rsidP="00CF0FE5">
      <w:pPr>
        <w:widowControl w:val="0"/>
        <w:numPr>
          <w:ilvl w:val="0"/>
          <w:numId w:val="47"/>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05591CC9" w14:textId="77777777" w:rsidR="00CF0FE5" w:rsidRPr="00741BBB" w:rsidRDefault="00CF0FE5" w:rsidP="00CF0FE5">
      <w:pPr>
        <w:widowControl w:val="0"/>
        <w:numPr>
          <w:ilvl w:val="0"/>
          <w:numId w:val="46"/>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46B1FB80" w14:textId="77777777" w:rsidR="00CF0FE5" w:rsidRPr="00741BBB" w:rsidRDefault="00CF0FE5" w:rsidP="00CF0FE5">
      <w:pPr>
        <w:widowControl w:val="0"/>
        <w:numPr>
          <w:ilvl w:val="0"/>
          <w:numId w:val="46"/>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 z zastrzeżeniem ustępu następnego.</w:t>
      </w:r>
    </w:p>
    <w:p w14:paraId="350A24FC" w14:textId="77777777" w:rsidR="00CF0FE5" w:rsidRPr="00966CF0" w:rsidRDefault="00CF0FE5" w:rsidP="00CF0FE5">
      <w:pPr>
        <w:widowControl w:val="0"/>
        <w:numPr>
          <w:ilvl w:val="0"/>
          <w:numId w:val="46"/>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613995F6" w14:textId="77777777" w:rsidR="00CF0FE5" w:rsidRDefault="00CF0FE5" w:rsidP="00CF0FE5">
      <w:pPr>
        <w:widowControl w:val="0"/>
        <w:numPr>
          <w:ilvl w:val="0"/>
          <w:numId w:val="46"/>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6D5E34E3" w14:textId="77777777" w:rsidR="001875A9" w:rsidRDefault="001875A9"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2D2125FE" w14:textId="13C7A6FF" w:rsidR="00CF0FE5" w:rsidRPr="004E13CD" w:rsidRDefault="00CF0FE5"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37D5333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EF1A40" w:rsidRPr="004E13CD">
        <w:rPr>
          <w:rFonts w:eastAsia="Times New Roman" w:cs="Tahoma"/>
          <w:b/>
          <w:bCs/>
          <w:iCs/>
          <w:color w:val="auto"/>
          <w:szCs w:val="20"/>
        </w:rPr>
        <w:t>1</w:t>
      </w:r>
      <w:r w:rsidR="00EF1A40">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091B7C0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EF1A40" w:rsidRPr="004E13CD">
        <w:rPr>
          <w:rFonts w:eastAsia="Times New Roman" w:cs="Tahoma"/>
          <w:b/>
          <w:bCs/>
          <w:iCs/>
          <w:color w:val="auto"/>
          <w:szCs w:val="20"/>
        </w:rPr>
        <w:t>1</w:t>
      </w:r>
      <w:r w:rsidR="00EF1A40">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676C6F"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1"/>
          <w:headerReference w:type="first" r:id="rId12"/>
          <w:footerReference w:type="first" r:id="rId13"/>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87"/>
        <w:gridCol w:w="37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54"/>
        <w:gridCol w:w="3755"/>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8"/>
        <w:gridCol w:w="5565"/>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87"/>
        <w:gridCol w:w="37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
        <w:gridCol w:w="3754"/>
        <w:gridCol w:w="3755"/>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676C6F"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0FF58E99"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3D14F2">
        <w:rPr>
          <w:rFonts w:eastAsia="Calibri" w:cs="Tahoma"/>
          <w:b/>
          <w:bCs/>
          <w:color w:val="auto"/>
          <w:szCs w:val="20"/>
        </w:rPr>
        <w:t>….</w:t>
      </w:r>
      <w:r w:rsidR="00871F44"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942723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xml:space="preserve">. Wykonawca zobowiązuje się, że wyniesie nie on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476487C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946"/>
        <w:gridCol w:w="1500"/>
        <w:gridCol w:w="1632"/>
        <w:gridCol w:w="2301"/>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BE8A0"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3B089"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75BBF"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676C6F"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676C6F"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676C6F"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676C6F"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83"/>
        <w:gridCol w:w="1468"/>
        <w:gridCol w:w="1363"/>
        <w:gridCol w:w="1323"/>
        <w:gridCol w:w="1404"/>
        <w:gridCol w:w="1338"/>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4"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30C5" w14:textId="77777777" w:rsidR="00D16BB9" w:rsidRDefault="00D16BB9" w:rsidP="006747BD">
      <w:pPr>
        <w:spacing w:after="0" w:line="240" w:lineRule="auto"/>
      </w:pPr>
      <w:r>
        <w:separator/>
      </w:r>
    </w:p>
  </w:endnote>
  <w:endnote w:type="continuationSeparator" w:id="0">
    <w:p w14:paraId="7A9F2464" w14:textId="77777777" w:rsidR="00D16BB9" w:rsidRDefault="00D16BB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676C6F">
              <w:rPr>
                <w:b w:val="0"/>
                <w:bCs/>
                <w:noProof/>
              </w:rPr>
              <w:t>37</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676C6F">
              <w:rPr>
                <w:b w:val="0"/>
                <w:bCs/>
                <w:noProof/>
              </w:rPr>
              <w:t>37</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7E369B1" w14:textId="4624AEB9" w:rsidR="005A53B1" w:rsidRDefault="005A53B1" w:rsidP="00D40690">
            <w:pPr>
              <w:pStyle w:val="Stopka"/>
            </w:pPr>
            <w:r>
              <w:rPr>
                <w:noProof/>
                <w:lang w:eastAsia="pl-PL"/>
              </w:rPr>
              <w:drawing>
                <wp:inline distT="0" distB="0" distL="0" distR="0" wp14:anchorId="084FCA79" wp14:editId="78174092">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5A5A6E36"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676C6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676C6F">
              <w:rPr>
                <w:noProof/>
              </w:rPr>
              <w:t>37</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5F90" w14:textId="77777777" w:rsidR="00D16BB9" w:rsidRDefault="00D16BB9" w:rsidP="006747BD">
      <w:pPr>
        <w:spacing w:after="0" w:line="240" w:lineRule="auto"/>
      </w:pPr>
      <w:r>
        <w:separator/>
      </w:r>
    </w:p>
  </w:footnote>
  <w:footnote w:type="continuationSeparator" w:id="0">
    <w:p w14:paraId="37FA34E2" w14:textId="77777777" w:rsidR="00D16BB9" w:rsidRDefault="00D16BB9"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nsid w:val="158F3E83"/>
    <w:multiLevelType w:val="singleLevel"/>
    <w:tmpl w:val="04150011"/>
    <w:lvl w:ilvl="0">
      <w:start w:val="1"/>
      <w:numFmt w:val="decimal"/>
      <w:lvlText w:val="%1)"/>
      <w:lvlJc w:val="left"/>
      <w:pPr>
        <w:ind w:left="360" w:hanging="360"/>
      </w:pPr>
    </w:lvl>
  </w:abstractNum>
  <w:abstractNum w:abstractNumId="5">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7">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9">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1">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2">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4">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6">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7">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8">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1">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6"/>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5"/>
    <w:lvlOverride w:ilvl="0">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3"/>
  </w:num>
  <w:num w:numId="31">
    <w:abstractNumId w:val="8"/>
  </w:num>
  <w:num w:numId="32">
    <w:abstractNumId w:val="34"/>
  </w:num>
  <w:num w:numId="33">
    <w:abstractNumId w:val="38"/>
  </w:num>
  <w:num w:numId="34">
    <w:abstractNumId w:val="5"/>
  </w:num>
  <w:num w:numId="35">
    <w:abstractNumId w:val="29"/>
  </w:num>
  <w:num w:numId="36">
    <w:abstractNumId w:val="1"/>
  </w:num>
  <w:num w:numId="37">
    <w:abstractNumId w:val="6"/>
  </w:num>
  <w:num w:numId="38">
    <w:abstractNumId w:val="20"/>
  </w:num>
  <w:num w:numId="39">
    <w:abstractNumId w:val="32"/>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1"/>
  </w:num>
  <w:num w:numId="46">
    <w:abstractNumId w:val="26"/>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F"/>
    <w:rsid w:val="00000404"/>
    <w:rsid w:val="00010237"/>
    <w:rsid w:val="000117A6"/>
    <w:rsid w:val="00013AF9"/>
    <w:rsid w:val="0001666F"/>
    <w:rsid w:val="00027399"/>
    <w:rsid w:val="0003714E"/>
    <w:rsid w:val="000463D9"/>
    <w:rsid w:val="0004766A"/>
    <w:rsid w:val="00054D79"/>
    <w:rsid w:val="00055905"/>
    <w:rsid w:val="0006385A"/>
    <w:rsid w:val="00065585"/>
    <w:rsid w:val="000658F5"/>
    <w:rsid w:val="00070438"/>
    <w:rsid w:val="00070ED8"/>
    <w:rsid w:val="000751C2"/>
    <w:rsid w:val="000758E6"/>
    <w:rsid w:val="00077647"/>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E02F9"/>
    <w:rsid w:val="000E0911"/>
    <w:rsid w:val="000E5230"/>
    <w:rsid w:val="000E5DF3"/>
    <w:rsid w:val="000F0390"/>
    <w:rsid w:val="000F363E"/>
    <w:rsid w:val="000F47D3"/>
    <w:rsid w:val="000F5C57"/>
    <w:rsid w:val="000F72CE"/>
    <w:rsid w:val="000F73E7"/>
    <w:rsid w:val="00100100"/>
    <w:rsid w:val="00100660"/>
    <w:rsid w:val="00110B12"/>
    <w:rsid w:val="001120B2"/>
    <w:rsid w:val="00115D26"/>
    <w:rsid w:val="001220D2"/>
    <w:rsid w:val="0012513D"/>
    <w:rsid w:val="00126422"/>
    <w:rsid w:val="00133D25"/>
    <w:rsid w:val="00134929"/>
    <w:rsid w:val="00136B70"/>
    <w:rsid w:val="0013790A"/>
    <w:rsid w:val="00143D16"/>
    <w:rsid w:val="00144445"/>
    <w:rsid w:val="00145E1E"/>
    <w:rsid w:val="001471A1"/>
    <w:rsid w:val="00160E3E"/>
    <w:rsid w:val="00164CCE"/>
    <w:rsid w:val="00165130"/>
    <w:rsid w:val="00176EDE"/>
    <w:rsid w:val="001875A9"/>
    <w:rsid w:val="00191694"/>
    <w:rsid w:val="001A0BD2"/>
    <w:rsid w:val="001A3604"/>
    <w:rsid w:val="001B104C"/>
    <w:rsid w:val="001C51AC"/>
    <w:rsid w:val="001E0AB1"/>
    <w:rsid w:val="001E0DCE"/>
    <w:rsid w:val="001E42FA"/>
    <w:rsid w:val="001E594D"/>
    <w:rsid w:val="001F0ABA"/>
    <w:rsid w:val="001F270F"/>
    <w:rsid w:val="001F5771"/>
    <w:rsid w:val="002008EA"/>
    <w:rsid w:val="0020150D"/>
    <w:rsid w:val="00203F63"/>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3952"/>
    <w:rsid w:val="00283016"/>
    <w:rsid w:val="00284589"/>
    <w:rsid w:val="0028542A"/>
    <w:rsid w:val="00286D25"/>
    <w:rsid w:val="00291EC3"/>
    <w:rsid w:val="002938E4"/>
    <w:rsid w:val="00296B31"/>
    <w:rsid w:val="002A0EEF"/>
    <w:rsid w:val="002A25FA"/>
    <w:rsid w:val="002A63BD"/>
    <w:rsid w:val="002A7BF3"/>
    <w:rsid w:val="002B1E25"/>
    <w:rsid w:val="002B6F43"/>
    <w:rsid w:val="002B7599"/>
    <w:rsid w:val="002C602C"/>
    <w:rsid w:val="002D06E1"/>
    <w:rsid w:val="002D10AB"/>
    <w:rsid w:val="002D12D1"/>
    <w:rsid w:val="002D1613"/>
    <w:rsid w:val="002D48BE"/>
    <w:rsid w:val="002D4DE6"/>
    <w:rsid w:val="002D74A4"/>
    <w:rsid w:val="002D77FA"/>
    <w:rsid w:val="002D7DF4"/>
    <w:rsid w:val="002E37F8"/>
    <w:rsid w:val="002E73E9"/>
    <w:rsid w:val="002F232D"/>
    <w:rsid w:val="002F4540"/>
    <w:rsid w:val="00306096"/>
    <w:rsid w:val="003078AF"/>
    <w:rsid w:val="003149A9"/>
    <w:rsid w:val="00314CA7"/>
    <w:rsid w:val="00316F3D"/>
    <w:rsid w:val="003206E5"/>
    <w:rsid w:val="003224B6"/>
    <w:rsid w:val="00327C25"/>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56B1"/>
    <w:rsid w:val="00366862"/>
    <w:rsid w:val="00367AF4"/>
    <w:rsid w:val="003707B3"/>
    <w:rsid w:val="003752D0"/>
    <w:rsid w:val="00382CC1"/>
    <w:rsid w:val="0038554A"/>
    <w:rsid w:val="003870FD"/>
    <w:rsid w:val="003A2F27"/>
    <w:rsid w:val="003A72FD"/>
    <w:rsid w:val="003B437C"/>
    <w:rsid w:val="003C5D01"/>
    <w:rsid w:val="003C6688"/>
    <w:rsid w:val="003D14F2"/>
    <w:rsid w:val="003E34BF"/>
    <w:rsid w:val="003E50D0"/>
    <w:rsid w:val="003E5D0F"/>
    <w:rsid w:val="003F4BA3"/>
    <w:rsid w:val="00404467"/>
    <w:rsid w:val="00405108"/>
    <w:rsid w:val="004058BE"/>
    <w:rsid w:val="00417C02"/>
    <w:rsid w:val="00432AA6"/>
    <w:rsid w:val="00442979"/>
    <w:rsid w:val="004525C8"/>
    <w:rsid w:val="00455C7A"/>
    <w:rsid w:val="00463274"/>
    <w:rsid w:val="004655C4"/>
    <w:rsid w:val="00466AFF"/>
    <w:rsid w:val="00471C69"/>
    <w:rsid w:val="00476D06"/>
    <w:rsid w:val="0048505D"/>
    <w:rsid w:val="00486C53"/>
    <w:rsid w:val="0049071B"/>
    <w:rsid w:val="00491CDA"/>
    <w:rsid w:val="004A20EF"/>
    <w:rsid w:val="004B68DE"/>
    <w:rsid w:val="004B68FA"/>
    <w:rsid w:val="004B6C1B"/>
    <w:rsid w:val="004C0233"/>
    <w:rsid w:val="004C04F3"/>
    <w:rsid w:val="004C253B"/>
    <w:rsid w:val="004C44C6"/>
    <w:rsid w:val="004C6E8D"/>
    <w:rsid w:val="004C7A28"/>
    <w:rsid w:val="004D6441"/>
    <w:rsid w:val="004E13CD"/>
    <w:rsid w:val="004F5805"/>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53B1"/>
    <w:rsid w:val="005A74D5"/>
    <w:rsid w:val="005A7CFF"/>
    <w:rsid w:val="005A7DFF"/>
    <w:rsid w:val="005B5112"/>
    <w:rsid w:val="005B6236"/>
    <w:rsid w:val="005C215D"/>
    <w:rsid w:val="005C3217"/>
    <w:rsid w:val="005C53EB"/>
    <w:rsid w:val="005D102F"/>
    <w:rsid w:val="005D1495"/>
    <w:rsid w:val="005E0F1E"/>
    <w:rsid w:val="005E207E"/>
    <w:rsid w:val="005F244E"/>
    <w:rsid w:val="00601F94"/>
    <w:rsid w:val="0060588F"/>
    <w:rsid w:val="00614B03"/>
    <w:rsid w:val="00620093"/>
    <w:rsid w:val="00626EC3"/>
    <w:rsid w:val="00630013"/>
    <w:rsid w:val="00632BA2"/>
    <w:rsid w:val="00637F6A"/>
    <w:rsid w:val="0064001A"/>
    <w:rsid w:val="00643D31"/>
    <w:rsid w:val="006445C1"/>
    <w:rsid w:val="00644954"/>
    <w:rsid w:val="0065404D"/>
    <w:rsid w:val="00660B0F"/>
    <w:rsid w:val="00661381"/>
    <w:rsid w:val="006649D0"/>
    <w:rsid w:val="0066641D"/>
    <w:rsid w:val="00666BFB"/>
    <w:rsid w:val="006747BD"/>
    <w:rsid w:val="00676C6F"/>
    <w:rsid w:val="0068713E"/>
    <w:rsid w:val="006908E0"/>
    <w:rsid w:val="006919BD"/>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2E09"/>
    <w:rsid w:val="0072592B"/>
    <w:rsid w:val="00726680"/>
    <w:rsid w:val="007343E3"/>
    <w:rsid w:val="00744169"/>
    <w:rsid w:val="007559B0"/>
    <w:rsid w:val="007662E6"/>
    <w:rsid w:val="0076740A"/>
    <w:rsid w:val="00780FCE"/>
    <w:rsid w:val="00786AE5"/>
    <w:rsid w:val="007A0FA7"/>
    <w:rsid w:val="007A1FDD"/>
    <w:rsid w:val="007A264B"/>
    <w:rsid w:val="007A3EAA"/>
    <w:rsid w:val="007A77F5"/>
    <w:rsid w:val="007B3DF1"/>
    <w:rsid w:val="007C3104"/>
    <w:rsid w:val="007C318C"/>
    <w:rsid w:val="007D0D80"/>
    <w:rsid w:val="007D2EE3"/>
    <w:rsid w:val="007D5F38"/>
    <w:rsid w:val="007D6C44"/>
    <w:rsid w:val="007D6C9C"/>
    <w:rsid w:val="007D796D"/>
    <w:rsid w:val="007E3C34"/>
    <w:rsid w:val="007E3D4B"/>
    <w:rsid w:val="007F4CFD"/>
    <w:rsid w:val="007F6BEB"/>
    <w:rsid w:val="0080058F"/>
    <w:rsid w:val="008047DA"/>
    <w:rsid w:val="00805DF6"/>
    <w:rsid w:val="00806458"/>
    <w:rsid w:val="00810528"/>
    <w:rsid w:val="0081698D"/>
    <w:rsid w:val="00821F16"/>
    <w:rsid w:val="008274CE"/>
    <w:rsid w:val="0083524F"/>
    <w:rsid w:val="008368C0"/>
    <w:rsid w:val="0084396A"/>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A2EFE"/>
    <w:rsid w:val="008A488A"/>
    <w:rsid w:val="008A55AE"/>
    <w:rsid w:val="008A7CB0"/>
    <w:rsid w:val="008B1ECF"/>
    <w:rsid w:val="008B3940"/>
    <w:rsid w:val="008C1729"/>
    <w:rsid w:val="008C1B7F"/>
    <w:rsid w:val="008C1DD7"/>
    <w:rsid w:val="008C2BB1"/>
    <w:rsid w:val="008C3301"/>
    <w:rsid w:val="008C40D8"/>
    <w:rsid w:val="008C75DD"/>
    <w:rsid w:val="008C7F72"/>
    <w:rsid w:val="008D24D0"/>
    <w:rsid w:val="008E5751"/>
    <w:rsid w:val="008F027B"/>
    <w:rsid w:val="008F209D"/>
    <w:rsid w:val="008F655A"/>
    <w:rsid w:val="00900661"/>
    <w:rsid w:val="00903F34"/>
    <w:rsid w:val="0090590D"/>
    <w:rsid w:val="0091033A"/>
    <w:rsid w:val="00913689"/>
    <w:rsid w:val="00913C82"/>
    <w:rsid w:val="0091407C"/>
    <w:rsid w:val="00914F41"/>
    <w:rsid w:val="00921311"/>
    <w:rsid w:val="009324C5"/>
    <w:rsid w:val="009373CB"/>
    <w:rsid w:val="00953A52"/>
    <w:rsid w:val="00955B2C"/>
    <w:rsid w:val="0096705B"/>
    <w:rsid w:val="009736FA"/>
    <w:rsid w:val="009759F8"/>
    <w:rsid w:val="00980276"/>
    <w:rsid w:val="00980932"/>
    <w:rsid w:val="009942E4"/>
    <w:rsid w:val="00995B16"/>
    <w:rsid w:val="009976DC"/>
    <w:rsid w:val="009A727D"/>
    <w:rsid w:val="009B32FA"/>
    <w:rsid w:val="009B5AC7"/>
    <w:rsid w:val="009B5BA8"/>
    <w:rsid w:val="009C1431"/>
    <w:rsid w:val="009C35D5"/>
    <w:rsid w:val="009C4B1C"/>
    <w:rsid w:val="009C4BA8"/>
    <w:rsid w:val="009C6AA4"/>
    <w:rsid w:val="009C750E"/>
    <w:rsid w:val="009C765F"/>
    <w:rsid w:val="009D4C4D"/>
    <w:rsid w:val="009E13C6"/>
    <w:rsid w:val="009E25B4"/>
    <w:rsid w:val="009E4FB1"/>
    <w:rsid w:val="009F6E07"/>
    <w:rsid w:val="00A13BD7"/>
    <w:rsid w:val="00A250FB"/>
    <w:rsid w:val="00A271C0"/>
    <w:rsid w:val="00A30304"/>
    <w:rsid w:val="00A36F46"/>
    <w:rsid w:val="00A4666C"/>
    <w:rsid w:val="00A46DAE"/>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E1B2A"/>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4207A"/>
    <w:rsid w:val="00B44C3F"/>
    <w:rsid w:val="00B502B7"/>
    <w:rsid w:val="00B5768B"/>
    <w:rsid w:val="00B61F8A"/>
    <w:rsid w:val="00B64C65"/>
    <w:rsid w:val="00B7151C"/>
    <w:rsid w:val="00B7238D"/>
    <w:rsid w:val="00B7740E"/>
    <w:rsid w:val="00B819F9"/>
    <w:rsid w:val="00B84D46"/>
    <w:rsid w:val="00B91E74"/>
    <w:rsid w:val="00BA1B97"/>
    <w:rsid w:val="00BA4FE7"/>
    <w:rsid w:val="00BA6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0756"/>
    <w:rsid w:val="00C43310"/>
    <w:rsid w:val="00C56328"/>
    <w:rsid w:val="00C64404"/>
    <w:rsid w:val="00C736D5"/>
    <w:rsid w:val="00C75690"/>
    <w:rsid w:val="00C77417"/>
    <w:rsid w:val="00C83C60"/>
    <w:rsid w:val="00C86612"/>
    <w:rsid w:val="00C91FBC"/>
    <w:rsid w:val="00C93BC1"/>
    <w:rsid w:val="00C9514E"/>
    <w:rsid w:val="00C96D98"/>
    <w:rsid w:val="00CA0419"/>
    <w:rsid w:val="00CB6159"/>
    <w:rsid w:val="00CC1F82"/>
    <w:rsid w:val="00CC5E73"/>
    <w:rsid w:val="00CC7A5E"/>
    <w:rsid w:val="00CD18A3"/>
    <w:rsid w:val="00CE0CA7"/>
    <w:rsid w:val="00CE3925"/>
    <w:rsid w:val="00CE4E9F"/>
    <w:rsid w:val="00CF0FE5"/>
    <w:rsid w:val="00D005B3"/>
    <w:rsid w:val="00D06D36"/>
    <w:rsid w:val="00D07325"/>
    <w:rsid w:val="00D16BB9"/>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A2DDD"/>
    <w:rsid w:val="00DA3FF7"/>
    <w:rsid w:val="00DA4937"/>
    <w:rsid w:val="00DA498B"/>
    <w:rsid w:val="00DA52A1"/>
    <w:rsid w:val="00DA74DE"/>
    <w:rsid w:val="00DC0363"/>
    <w:rsid w:val="00DC72C4"/>
    <w:rsid w:val="00DC76C2"/>
    <w:rsid w:val="00DD42CF"/>
    <w:rsid w:val="00DD5543"/>
    <w:rsid w:val="00DF705C"/>
    <w:rsid w:val="00E00257"/>
    <w:rsid w:val="00E011CC"/>
    <w:rsid w:val="00E01A9D"/>
    <w:rsid w:val="00E0467B"/>
    <w:rsid w:val="00E06AC8"/>
    <w:rsid w:val="00E06BDB"/>
    <w:rsid w:val="00E141B6"/>
    <w:rsid w:val="00E15528"/>
    <w:rsid w:val="00E16E57"/>
    <w:rsid w:val="00E22890"/>
    <w:rsid w:val="00E235CC"/>
    <w:rsid w:val="00E30152"/>
    <w:rsid w:val="00E32831"/>
    <w:rsid w:val="00E32C58"/>
    <w:rsid w:val="00E33EA0"/>
    <w:rsid w:val="00E4228E"/>
    <w:rsid w:val="00E47A1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22D7"/>
    <w:rsid w:val="00EA1E16"/>
    <w:rsid w:val="00EA4230"/>
    <w:rsid w:val="00ED20F2"/>
    <w:rsid w:val="00ED7972"/>
    <w:rsid w:val="00EE493C"/>
    <w:rsid w:val="00EF12BA"/>
    <w:rsid w:val="00EF1A40"/>
    <w:rsid w:val="00EF24BC"/>
    <w:rsid w:val="00F00AD6"/>
    <w:rsid w:val="00F078F4"/>
    <w:rsid w:val="00F1071A"/>
    <w:rsid w:val="00F12A94"/>
    <w:rsid w:val="00F15EBA"/>
    <w:rsid w:val="00F318AE"/>
    <w:rsid w:val="00F44450"/>
    <w:rsid w:val="00F46354"/>
    <w:rsid w:val="00F51749"/>
    <w:rsid w:val="00F52C58"/>
    <w:rsid w:val="00F5379A"/>
    <w:rsid w:val="00F550CC"/>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e-faktury@port.lukasiewicz.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rastruktura@port.lukasiewic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F2"/>
    <w:rsid w:val="00006E99"/>
    <w:rsid w:val="000B3985"/>
    <w:rsid w:val="000E61E7"/>
    <w:rsid w:val="001D5D51"/>
    <w:rsid w:val="00223BC9"/>
    <w:rsid w:val="003054CF"/>
    <w:rsid w:val="003B6D7C"/>
    <w:rsid w:val="00442B10"/>
    <w:rsid w:val="00444EB0"/>
    <w:rsid w:val="0055223C"/>
    <w:rsid w:val="00553BAE"/>
    <w:rsid w:val="006604AB"/>
    <w:rsid w:val="006D1CF0"/>
    <w:rsid w:val="00726318"/>
    <w:rsid w:val="00846ECF"/>
    <w:rsid w:val="009F7ADC"/>
    <w:rsid w:val="00A5628E"/>
    <w:rsid w:val="00AE2EF2"/>
    <w:rsid w:val="00C1513B"/>
    <w:rsid w:val="00C96A68"/>
    <w:rsid w:val="00CF0336"/>
    <w:rsid w:val="00CF52EF"/>
    <w:rsid w:val="00D101AA"/>
    <w:rsid w:val="00D531E2"/>
    <w:rsid w:val="00DA07CD"/>
    <w:rsid w:val="00DF1DDC"/>
    <w:rsid w:val="00FC2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99831-9949-4D4F-86E9-F5BB9FBA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10693</Words>
  <Characters>64160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2021-07-13T07:41:00Z</dcterms:created>
  <dcterms:modified xsi:type="dcterms:W3CDTF">2021-07-19T11:16:00Z</dcterms:modified>
  <cp:contentStatus/>
</cp:coreProperties>
</file>