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14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71C6D" w:rsidRPr="00E054BA" w14:paraId="11464B64" w14:textId="77777777" w:rsidTr="00E71C6D">
        <w:trPr>
          <w:trHeight w:val="256"/>
        </w:trPr>
        <w:tc>
          <w:tcPr>
            <w:tcW w:w="9733" w:type="dxa"/>
            <w:shd w:val="clear" w:color="auto" w:fill="E3E8ED"/>
          </w:tcPr>
          <w:p w14:paraId="494AFF74" w14:textId="77777777" w:rsidR="00E71C6D" w:rsidRPr="00E054BA" w:rsidRDefault="00E71C6D" w:rsidP="00297357">
            <w:pPr>
              <w:widowControl w:val="0"/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5D36F169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FD8350B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4477B00D" w14:textId="6D9B0A3F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1" w:name="_Hlk160614755"/>
            <w:r w:rsidR="00A953B6" w:rsidRPr="00A953B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 materiałów eksploatacyjnych- tusze</w:t>
            </w:r>
            <w:bookmarkEnd w:id="1"/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3EA9C062" w14:textId="14E7D257" w:rsidR="00E71C6D" w:rsidRPr="000B7668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</w:t>
            </w:r>
            <w:r w:rsidR="00A953B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</w:t>
            </w:r>
            <w:r w:rsidR="00613EC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9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ED285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47B7F16F" w14:textId="7502AA4D" w:rsidR="004C589D" w:rsidRPr="00E71C6D" w:rsidRDefault="004C589D" w:rsidP="00E71C6D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45F29D82" w14:textId="77777777" w:rsidR="003172B5" w:rsidRPr="00E71C6D" w:rsidRDefault="003172B5" w:rsidP="003172B5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388D5A0A" w14:textId="77777777" w:rsidR="003172B5" w:rsidRDefault="003172B5" w:rsidP="003172B5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21C3F61F" w14:textId="77777777" w:rsidR="003172B5" w:rsidRDefault="003172B5" w:rsidP="003172B5">
      <w:pPr>
        <w:spacing w:before="720" w:line="240" w:lineRule="auto"/>
        <w:ind w:left="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75C5B77C" w14:textId="77777777" w:rsidR="003172B5" w:rsidRDefault="003172B5" w:rsidP="003172B5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348F9752" w14:textId="77777777" w:rsidR="003172B5" w:rsidRDefault="003172B5" w:rsidP="003172B5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03ACF3B1" w14:textId="366210A9" w:rsidR="003172B5" w:rsidRPr="00D47541" w:rsidRDefault="003172B5" w:rsidP="00D47541">
      <w:pPr>
        <w:spacing w:after="12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  <w:r>
        <w:rPr>
          <w:rFonts w:eastAsia="Calibri" w:cs="Arial"/>
          <w:color w:val="222A35"/>
          <w:szCs w:val="20"/>
          <w:lang w:eastAsia="pl-PL"/>
        </w:rPr>
        <w:t xml:space="preserve">                                                                               </w:t>
      </w:r>
      <w:r w:rsidRPr="00D47541">
        <w:rPr>
          <w:rFonts w:eastAsia="Calibri" w:cs="Arial"/>
          <w:b/>
          <w:szCs w:val="20"/>
          <w:lang w:eastAsia="pl-PL"/>
        </w:rPr>
        <w:t>Zatwierdzam:</w:t>
      </w:r>
    </w:p>
    <w:p w14:paraId="53D70EB1" w14:textId="77777777" w:rsidR="00D47541" w:rsidRPr="00D47541" w:rsidRDefault="00D47541" w:rsidP="00D47541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D47541">
        <w:rPr>
          <w:rFonts w:eastAsia="Calibri" w:cs="Arial"/>
          <w:b/>
          <w:szCs w:val="20"/>
          <w:lang w:eastAsia="pl-PL"/>
        </w:rPr>
        <w:t xml:space="preserve">mgr Agnieszka Maj – </w:t>
      </w:r>
    </w:p>
    <w:p w14:paraId="7C5B70E4" w14:textId="77777777" w:rsidR="00D47541" w:rsidRPr="00D47541" w:rsidRDefault="00D47541" w:rsidP="00D47541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D47541">
        <w:rPr>
          <w:rFonts w:eastAsia="Calibri" w:cs="Arial"/>
          <w:b/>
          <w:szCs w:val="20"/>
          <w:lang w:eastAsia="pl-PL"/>
        </w:rPr>
        <w:t>Z-ca Kanclerza ds. Inwestycji</w:t>
      </w:r>
    </w:p>
    <w:p w14:paraId="33B0F991" w14:textId="5B06DDCD" w:rsidR="00ED2852" w:rsidRPr="00D47541" w:rsidRDefault="00D47541" w:rsidP="00D47541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D47541">
        <w:rPr>
          <w:rFonts w:eastAsia="Calibri" w:cs="Arial"/>
          <w:b/>
          <w:szCs w:val="20"/>
          <w:lang w:eastAsia="pl-PL"/>
        </w:rPr>
        <w:t xml:space="preserve"> i Zarządzania Logistycznego</w:t>
      </w:r>
    </w:p>
    <w:p w14:paraId="67990EB3" w14:textId="77777777" w:rsidR="00ED2852" w:rsidRDefault="00ED2852" w:rsidP="00ED2852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195E7AFA" w14:textId="77777777" w:rsidR="00D47541" w:rsidRDefault="00D47541" w:rsidP="004C1290">
      <w:pPr>
        <w:jc w:val="center"/>
        <w:rPr>
          <w:rFonts w:eastAsia="Calibri" w:cs="Arial"/>
          <w:szCs w:val="20"/>
          <w:lang w:eastAsia="pl-PL"/>
        </w:rPr>
      </w:pPr>
    </w:p>
    <w:p w14:paraId="23879659" w14:textId="77777777" w:rsidR="00D47541" w:rsidRDefault="00D47541" w:rsidP="004C1290">
      <w:pPr>
        <w:jc w:val="center"/>
        <w:rPr>
          <w:rFonts w:eastAsia="Calibri" w:cs="Arial"/>
          <w:szCs w:val="20"/>
          <w:lang w:eastAsia="pl-PL"/>
        </w:rPr>
      </w:pPr>
    </w:p>
    <w:p w14:paraId="3C070C67" w14:textId="77777777" w:rsidR="00D47541" w:rsidRDefault="00D47541" w:rsidP="004C1290">
      <w:pPr>
        <w:jc w:val="center"/>
        <w:rPr>
          <w:rFonts w:eastAsia="Calibri" w:cs="Arial"/>
          <w:szCs w:val="20"/>
          <w:lang w:eastAsia="pl-PL"/>
        </w:rPr>
      </w:pPr>
    </w:p>
    <w:p w14:paraId="717D9C4D" w14:textId="77777777" w:rsidR="00D47541" w:rsidRDefault="00D47541" w:rsidP="004C1290">
      <w:pPr>
        <w:jc w:val="center"/>
        <w:rPr>
          <w:rFonts w:eastAsia="Calibri" w:cs="Arial"/>
          <w:szCs w:val="20"/>
          <w:lang w:eastAsia="pl-PL"/>
        </w:rPr>
      </w:pPr>
    </w:p>
    <w:p w14:paraId="4FCFD5ED" w14:textId="77777777" w:rsidR="00D47541" w:rsidRDefault="00D47541" w:rsidP="004C1290">
      <w:pPr>
        <w:jc w:val="center"/>
        <w:rPr>
          <w:rFonts w:eastAsia="Calibri" w:cs="Arial"/>
          <w:szCs w:val="20"/>
          <w:lang w:eastAsia="pl-PL"/>
        </w:rPr>
      </w:pPr>
    </w:p>
    <w:p w14:paraId="307B3DCA" w14:textId="77777777" w:rsidR="00D47541" w:rsidRDefault="00D47541" w:rsidP="004C1290">
      <w:pPr>
        <w:jc w:val="center"/>
        <w:rPr>
          <w:rFonts w:eastAsia="Calibri" w:cs="Arial"/>
          <w:szCs w:val="20"/>
          <w:lang w:eastAsia="pl-PL"/>
        </w:rPr>
      </w:pPr>
    </w:p>
    <w:p w14:paraId="6F1190CB" w14:textId="77777777" w:rsidR="00D47541" w:rsidRDefault="00D47541" w:rsidP="004C1290">
      <w:pPr>
        <w:jc w:val="center"/>
        <w:rPr>
          <w:rFonts w:eastAsia="Calibri" w:cs="Arial"/>
          <w:szCs w:val="20"/>
          <w:lang w:eastAsia="pl-PL"/>
        </w:rPr>
      </w:pPr>
    </w:p>
    <w:p w14:paraId="03EE3041" w14:textId="77777777" w:rsidR="00D47541" w:rsidRDefault="00D47541" w:rsidP="004C1290">
      <w:pPr>
        <w:jc w:val="center"/>
        <w:rPr>
          <w:rFonts w:eastAsia="Calibri" w:cs="Arial"/>
          <w:szCs w:val="20"/>
          <w:lang w:eastAsia="pl-PL"/>
        </w:rPr>
      </w:pPr>
    </w:p>
    <w:p w14:paraId="07A49331" w14:textId="77777777" w:rsidR="00D47541" w:rsidRDefault="00D47541" w:rsidP="004C1290">
      <w:pPr>
        <w:jc w:val="center"/>
        <w:rPr>
          <w:rFonts w:eastAsia="Calibri" w:cs="Arial"/>
          <w:szCs w:val="20"/>
          <w:lang w:eastAsia="pl-PL"/>
        </w:rPr>
      </w:pPr>
    </w:p>
    <w:p w14:paraId="1B971EBF" w14:textId="77777777" w:rsidR="00D47541" w:rsidRDefault="00D47541" w:rsidP="004C1290">
      <w:pPr>
        <w:jc w:val="center"/>
        <w:rPr>
          <w:rFonts w:eastAsia="Calibri" w:cs="Arial"/>
          <w:szCs w:val="20"/>
          <w:lang w:eastAsia="pl-PL"/>
        </w:rPr>
      </w:pPr>
    </w:p>
    <w:p w14:paraId="3CD2324A" w14:textId="77777777" w:rsidR="00D47541" w:rsidRDefault="00D47541" w:rsidP="004C1290">
      <w:pPr>
        <w:jc w:val="center"/>
        <w:rPr>
          <w:rFonts w:eastAsia="Calibri" w:cs="Arial"/>
          <w:szCs w:val="20"/>
          <w:lang w:eastAsia="pl-PL"/>
        </w:rPr>
      </w:pPr>
    </w:p>
    <w:p w14:paraId="3B070411" w14:textId="77777777" w:rsidR="00D47541" w:rsidRDefault="00D47541" w:rsidP="004C1290">
      <w:pPr>
        <w:jc w:val="center"/>
        <w:rPr>
          <w:rFonts w:eastAsia="Calibri" w:cs="Arial"/>
          <w:szCs w:val="20"/>
          <w:lang w:eastAsia="pl-PL"/>
        </w:rPr>
      </w:pPr>
    </w:p>
    <w:p w14:paraId="1886A9C1" w14:textId="77777777" w:rsidR="004A2029" w:rsidRDefault="004A2029" w:rsidP="004C1290">
      <w:pPr>
        <w:jc w:val="center"/>
        <w:rPr>
          <w:rFonts w:eastAsia="Calibri" w:cs="Arial"/>
          <w:szCs w:val="20"/>
          <w:lang w:eastAsia="pl-PL"/>
        </w:rPr>
      </w:pPr>
    </w:p>
    <w:p w14:paraId="6D4744E6" w14:textId="77777777" w:rsidR="004A2029" w:rsidRDefault="004A2029" w:rsidP="004C1290">
      <w:pPr>
        <w:jc w:val="center"/>
        <w:rPr>
          <w:rFonts w:eastAsia="Calibri" w:cs="Arial"/>
          <w:szCs w:val="20"/>
          <w:lang w:eastAsia="pl-PL"/>
        </w:rPr>
      </w:pPr>
    </w:p>
    <w:p w14:paraId="2D90CAE2" w14:textId="77777777" w:rsidR="004A2029" w:rsidRDefault="004A2029" w:rsidP="004C1290">
      <w:pPr>
        <w:jc w:val="center"/>
        <w:rPr>
          <w:rFonts w:eastAsia="Calibri" w:cs="Arial"/>
          <w:szCs w:val="20"/>
          <w:lang w:eastAsia="pl-PL"/>
        </w:rPr>
      </w:pPr>
    </w:p>
    <w:p w14:paraId="4BAE2986" w14:textId="77777777" w:rsidR="004A2029" w:rsidRDefault="004A2029" w:rsidP="004C1290">
      <w:pPr>
        <w:jc w:val="center"/>
        <w:rPr>
          <w:rFonts w:eastAsia="Calibri" w:cs="Arial"/>
          <w:szCs w:val="20"/>
          <w:lang w:eastAsia="pl-PL"/>
        </w:rPr>
      </w:pPr>
    </w:p>
    <w:p w14:paraId="06631F74" w14:textId="26C416DF" w:rsidR="00F85C46" w:rsidRPr="00B4634A" w:rsidRDefault="00F85C46" w:rsidP="004C1290">
      <w:pPr>
        <w:jc w:val="center"/>
        <w:rPr>
          <w:rFonts w:eastAsia="Calibri" w:cs="Arial"/>
          <w:szCs w:val="20"/>
          <w:lang w:eastAsia="pl-PL"/>
        </w:rPr>
      </w:pPr>
      <w:r w:rsidRPr="00B4634A">
        <w:rPr>
          <w:rFonts w:eastAsia="Calibri" w:cs="Arial"/>
          <w:szCs w:val="20"/>
          <w:lang w:eastAsia="pl-PL"/>
        </w:rPr>
        <w:t>Katowice</w:t>
      </w:r>
      <w:r w:rsidR="00230DE9" w:rsidRPr="00B4634A">
        <w:rPr>
          <w:rFonts w:eastAsia="Calibri" w:cs="Arial"/>
          <w:szCs w:val="20"/>
          <w:lang w:eastAsia="pl-PL"/>
        </w:rPr>
        <w:t xml:space="preserve">, </w:t>
      </w:r>
      <w:r w:rsidR="00D47541">
        <w:rPr>
          <w:rFonts w:eastAsia="Calibri" w:cs="Arial"/>
          <w:szCs w:val="20"/>
          <w:lang w:eastAsia="pl-PL"/>
        </w:rPr>
        <w:t>kwiecień</w:t>
      </w:r>
      <w:r w:rsidR="00982B66" w:rsidRPr="00B4634A">
        <w:rPr>
          <w:rFonts w:eastAsia="Calibri" w:cs="Arial"/>
          <w:szCs w:val="20"/>
          <w:lang w:eastAsia="pl-PL"/>
        </w:rPr>
        <w:t xml:space="preserve"> </w:t>
      </w:r>
      <w:r w:rsidR="0019081E" w:rsidRPr="00B4634A">
        <w:rPr>
          <w:rFonts w:eastAsia="Calibri" w:cs="Arial"/>
          <w:szCs w:val="20"/>
          <w:lang w:eastAsia="pl-PL"/>
        </w:rPr>
        <w:t>202</w:t>
      </w:r>
      <w:r w:rsidR="00ED2852" w:rsidRPr="00B4634A">
        <w:rPr>
          <w:rFonts w:eastAsia="Calibri" w:cs="Arial"/>
          <w:szCs w:val="20"/>
          <w:lang w:eastAsia="pl-PL"/>
        </w:rPr>
        <w:t>4</w:t>
      </w:r>
    </w:p>
    <w:p w14:paraId="23BA54DF" w14:textId="578E2775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1BF89B11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8099A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20A92CB3" w:rsidR="000C5435" w:rsidRPr="000C5435" w:rsidRDefault="00D8574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8099A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6C906E8C" w:rsidR="000C5435" w:rsidRPr="000C5435" w:rsidRDefault="00D8574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8099A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704E4846" w:rsidR="000C5435" w:rsidRPr="000C5435" w:rsidRDefault="00D8574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8099A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0AED4D28" w:rsidR="000C5435" w:rsidRPr="000C5435" w:rsidRDefault="00D8574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8099A">
          <w:rPr>
            <w:rFonts w:ascii="Bahnschrift" w:hAnsi="Bahnschrift"/>
            <w:noProof/>
            <w:webHidden/>
            <w:sz w:val="20"/>
          </w:rPr>
          <w:t>10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75522183" w:rsidR="000C5435" w:rsidRPr="000C5435" w:rsidRDefault="00D8574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8099A">
          <w:rPr>
            <w:rFonts w:ascii="Bahnschrift" w:hAnsi="Bahnschrift"/>
            <w:noProof/>
            <w:webHidden/>
            <w:sz w:val="20"/>
          </w:rPr>
          <w:t>10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5848E459" w:rsidR="000C5435" w:rsidRPr="000C5435" w:rsidRDefault="00D8574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8099A">
          <w:rPr>
            <w:rFonts w:ascii="Bahnschrift" w:hAnsi="Bahnschrift"/>
            <w:noProof/>
            <w:webHidden/>
            <w:sz w:val="20"/>
          </w:rPr>
          <w:t>11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141DA215" w:rsidR="000C5435" w:rsidRPr="000C5435" w:rsidRDefault="00D8574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8099A">
          <w:rPr>
            <w:rFonts w:ascii="Bahnschrift" w:hAnsi="Bahnschrift"/>
            <w:noProof/>
            <w:webHidden/>
            <w:sz w:val="20"/>
          </w:rPr>
          <w:t>11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49E04BC0" w:rsidR="000C5435" w:rsidRPr="000C5435" w:rsidRDefault="00D8574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8099A">
          <w:rPr>
            <w:rFonts w:ascii="Bahnschrift" w:hAnsi="Bahnschrift"/>
            <w:noProof/>
            <w:webHidden/>
            <w:sz w:val="20"/>
          </w:rPr>
          <w:t>14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3AAAD5BF" w:rsidR="000C5435" w:rsidRPr="000C5435" w:rsidRDefault="00D8574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8099A">
          <w:rPr>
            <w:rFonts w:ascii="Bahnschrift" w:hAnsi="Bahnschrift"/>
            <w:noProof/>
            <w:webHidden/>
            <w:sz w:val="20"/>
          </w:rPr>
          <w:t>18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69C5C7EB" w:rsidR="000C5435" w:rsidRPr="000C5435" w:rsidRDefault="00D8574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8099A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7A1063D0" w:rsidR="000C5435" w:rsidRPr="000C5435" w:rsidRDefault="00D8574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8099A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3175B41C" w:rsidR="000C5435" w:rsidRPr="000C5435" w:rsidRDefault="00D8574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8099A"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2897AF43" w:rsidR="000C5435" w:rsidRPr="000C5435" w:rsidRDefault="00D8574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8099A">
          <w:rPr>
            <w:rFonts w:ascii="Bahnschrift" w:hAnsi="Bahnschrift"/>
            <w:noProof/>
            <w:webHidden/>
            <w:sz w:val="20"/>
          </w:rPr>
          <w:t>22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44A53FFA" w:rsidR="000C5435" w:rsidRPr="000C5435" w:rsidRDefault="00D8574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8099A">
          <w:rPr>
            <w:rFonts w:ascii="Bahnschrift" w:hAnsi="Bahnschrift"/>
            <w:noProof/>
            <w:webHidden/>
            <w:sz w:val="20"/>
          </w:rPr>
          <w:t>22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0CFEB685" w:rsidR="000C5435" w:rsidRPr="000C5435" w:rsidRDefault="00D8574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38099A">
          <w:rPr>
            <w:rFonts w:ascii="Bahnschrift" w:hAnsi="Bahnschrift"/>
            <w:noProof/>
            <w:webHidden/>
            <w:sz w:val="20"/>
          </w:rPr>
          <w:t>23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331B62CE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</w:t>
      </w:r>
      <w:r w:rsidR="00456A60">
        <w:rPr>
          <w:rFonts w:cs="Arial"/>
          <w:szCs w:val="20"/>
        </w:rPr>
        <w:t>-</w:t>
      </w:r>
      <w:r w:rsidR="00456A60" w:rsidRPr="00456A60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="00456A60" w:rsidRPr="00456A60">
        <w:rPr>
          <w:rFonts w:cs="Arial"/>
          <w:bCs/>
          <w:szCs w:val="20"/>
        </w:rPr>
        <w:t xml:space="preserve">Formularz asortymentowo </w:t>
      </w:r>
      <w:r w:rsidR="00456A60">
        <w:rPr>
          <w:rFonts w:cs="Arial"/>
          <w:bCs/>
          <w:szCs w:val="20"/>
        </w:rPr>
        <w:t>–</w:t>
      </w:r>
      <w:r w:rsidR="00456A60" w:rsidRPr="00456A60">
        <w:rPr>
          <w:rFonts w:cs="Arial"/>
          <w:bCs/>
          <w:szCs w:val="20"/>
        </w:rPr>
        <w:t xml:space="preserve"> cenowy</w:t>
      </w:r>
      <w:r w:rsidR="00456A60">
        <w:rPr>
          <w:rFonts w:cs="Arial"/>
          <w:szCs w:val="20"/>
        </w:rPr>
        <w:t>..</w:t>
      </w:r>
      <w:r w:rsidR="00F9784B" w:rsidRPr="00CA318B">
        <w:rPr>
          <w:rFonts w:cs="Arial"/>
          <w:szCs w:val="20"/>
        </w:rPr>
        <w:t>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</w:t>
      </w:r>
      <w:r w:rsidR="00262207">
        <w:rPr>
          <w:rFonts w:cs="Arial"/>
          <w:szCs w:val="20"/>
        </w:rPr>
        <w:t>…</w:t>
      </w:r>
      <w:r w:rsidR="00244022" w:rsidRPr="00CA318B">
        <w:rPr>
          <w:rFonts w:cs="Arial"/>
          <w:szCs w:val="20"/>
        </w:rPr>
        <w:t>.załącznik</w:t>
      </w:r>
      <w:r w:rsidRPr="00CA318B">
        <w:rPr>
          <w:rFonts w:cs="Arial"/>
          <w:szCs w:val="20"/>
        </w:rPr>
        <w:t xml:space="preserve"> nr 2</w:t>
      </w:r>
    </w:p>
    <w:p w14:paraId="5E8A35C2" w14:textId="1D72E19E" w:rsidR="009F5C6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5B463387" w14:textId="77777777" w:rsidR="0026325C" w:rsidRPr="00CA318B" w:rsidRDefault="0026325C" w:rsidP="0026325C">
      <w:pPr>
        <w:tabs>
          <w:tab w:val="left" w:pos="284"/>
          <w:tab w:val="left" w:pos="6237"/>
        </w:tabs>
        <w:spacing w:before="100" w:beforeAutospacing="1" w:after="3000" w:line="480" w:lineRule="auto"/>
        <w:ind w:left="426" w:firstLine="0"/>
        <w:rPr>
          <w:rFonts w:cs="Arial"/>
          <w:szCs w:val="20"/>
        </w:rPr>
      </w:pPr>
    </w:p>
    <w:p w14:paraId="22415C31" w14:textId="46D9A79F" w:rsidR="00F85C46" w:rsidRPr="005B5BDF" w:rsidRDefault="00F85C46" w:rsidP="00295AAA">
      <w:pPr>
        <w:pStyle w:val="Nagwek1"/>
      </w:pPr>
      <w:bookmarkStart w:id="2" w:name="_Toc375581632"/>
      <w:bookmarkStart w:id="3" w:name="_Toc375581814"/>
      <w:bookmarkStart w:id="4" w:name="_Toc375582131"/>
      <w:bookmarkStart w:id="5" w:name="_Toc99351178"/>
      <w:r w:rsidRPr="005B5BDF">
        <w:lastRenderedPageBreak/>
        <w:t>Postanowienia ogólne</w:t>
      </w:r>
      <w:bookmarkEnd w:id="2"/>
      <w:bookmarkEnd w:id="3"/>
      <w:bookmarkEnd w:id="4"/>
      <w:r w:rsidRPr="005B5BDF">
        <w:t>.</w:t>
      </w:r>
      <w:bookmarkStart w:id="6" w:name="_Toc362736425"/>
      <w:bookmarkEnd w:id="5"/>
    </w:p>
    <w:p w14:paraId="050B2A24" w14:textId="0998ACEA" w:rsidR="00F85C46" w:rsidRPr="00F34343" w:rsidRDefault="009F5C6B" w:rsidP="00C32131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6"/>
    </w:p>
    <w:p w14:paraId="026C842F" w14:textId="77777777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3D5F0FDB" w14:textId="77777777" w:rsidR="00E54B80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  <w:r w:rsidR="00FC1A9B">
        <w:rPr>
          <w:rFonts w:cs="Arial"/>
          <w:szCs w:val="20"/>
          <w:lang w:eastAsia="pl-PL"/>
        </w:rPr>
        <w:t xml:space="preserve">, </w:t>
      </w:r>
    </w:p>
    <w:p w14:paraId="5E1E746F" w14:textId="3873610D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07C6DF62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5B7245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52C4E9F7" w14:textId="2C2D401E" w:rsidR="00E54B80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</w:p>
    <w:p w14:paraId="74F8A23E" w14:textId="02F02B97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C32131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77777777" w:rsidR="00243910" w:rsidRDefault="00384DA3" w:rsidP="00C32131">
      <w:pPr>
        <w:pStyle w:val="Nagwek3"/>
        <w:widowControl w:val="0"/>
        <w:numPr>
          <w:ilvl w:val="0"/>
          <w:numId w:val="58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bookmarkStart w:id="7" w:name="_Hlk146268019"/>
      <w:r w:rsidR="004B08EE" w:rsidRPr="004B08EE">
        <w:rPr>
          <w:lang w:eastAsia="pl-PL"/>
        </w:rPr>
        <w:t>Dz.U. 2023 poz. 1605</w:t>
      </w:r>
      <w:bookmarkEnd w:id="7"/>
      <w:r w:rsidR="00982B66">
        <w:rPr>
          <w:lang w:eastAsia="pl-PL"/>
        </w:rPr>
        <w:t xml:space="preserve"> ze zm.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C32131">
      <w:pPr>
        <w:pStyle w:val="Nagwek3"/>
        <w:widowControl w:val="0"/>
        <w:numPr>
          <w:ilvl w:val="0"/>
          <w:numId w:val="58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C32131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12771F1" w14:textId="6C0D36EF" w:rsidR="000E5D19" w:rsidRDefault="00F85C46" w:rsidP="00C32131">
      <w:pPr>
        <w:pStyle w:val="Nagwek3"/>
        <w:widowControl w:val="0"/>
        <w:numPr>
          <w:ilvl w:val="0"/>
          <w:numId w:val="36"/>
        </w:numPr>
        <w:ind w:left="568" w:hanging="284"/>
        <w:contextualSpacing w:val="0"/>
        <w:rPr>
          <w:rFonts w:eastAsia="Calibri"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>przez Zamawiającego: „</w:t>
      </w:r>
      <w:r w:rsidR="0014174C" w:rsidRPr="0014174C">
        <w:rPr>
          <w:rFonts w:eastAsia="Calibri"/>
          <w:b/>
        </w:rPr>
        <w:t>Dostawa materiałów eksploatacyjnych- tusze</w:t>
      </w:r>
      <w:r w:rsidR="00103256" w:rsidRPr="005B5BDF">
        <w:rPr>
          <w:rFonts w:eastAsia="Calibri"/>
        </w:rPr>
        <w:t>”;</w:t>
      </w:r>
    </w:p>
    <w:p w14:paraId="27E5F126" w14:textId="044EB940" w:rsidR="00FC4A04" w:rsidRPr="00E71C6D" w:rsidRDefault="00F85C46" w:rsidP="00C32131">
      <w:pPr>
        <w:pStyle w:val="Nagwek3"/>
        <w:widowControl w:val="0"/>
        <w:numPr>
          <w:ilvl w:val="0"/>
          <w:numId w:val="36"/>
        </w:numPr>
        <w:spacing w:after="120"/>
        <w:ind w:left="568" w:hanging="284"/>
        <w:contextualSpacing w:val="0"/>
      </w:pPr>
      <w:r w:rsidRPr="005B5BDF">
        <w:t xml:space="preserve">Numer referencyjny sprawy nadany przez Zamawiającego: </w:t>
      </w:r>
      <w:r w:rsidR="00204EFA" w:rsidRPr="00204EFA">
        <w:rPr>
          <w:b/>
        </w:rPr>
        <w:t>DZP.38</w:t>
      </w:r>
      <w:r w:rsidR="00FD3DAE">
        <w:rPr>
          <w:b/>
        </w:rPr>
        <w:t>2</w:t>
      </w:r>
      <w:r w:rsidR="00204EFA" w:rsidRPr="00204EFA">
        <w:rPr>
          <w:b/>
        </w:rPr>
        <w:t>.1.</w:t>
      </w:r>
      <w:r w:rsidR="00C60853">
        <w:rPr>
          <w:b/>
        </w:rPr>
        <w:t>1</w:t>
      </w:r>
      <w:r w:rsidR="00613ECC">
        <w:rPr>
          <w:b/>
        </w:rPr>
        <w:t>9</w:t>
      </w:r>
      <w:r w:rsidR="00204EFA" w:rsidRPr="00204EFA">
        <w:rPr>
          <w:b/>
        </w:rPr>
        <w:t>.202</w:t>
      </w:r>
      <w:r w:rsidR="0054333A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C4A04" w:rsidRPr="00FC4A04">
        <w:t xml:space="preserve"> </w:t>
      </w:r>
    </w:p>
    <w:p w14:paraId="40AB1996" w14:textId="1C6752D2" w:rsidR="00F85C46" w:rsidRPr="005B5BDF" w:rsidRDefault="00F85C46" w:rsidP="00771B19">
      <w:pPr>
        <w:pStyle w:val="Nagwek1"/>
        <w:widowControl w:val="0"/>
        <w:spacing w:before="0"/>
      </w:pPr>
      <w:bookmarkStart w:id="8" w:name="_Toc375581633"/>
      <w:bookmarkStart w:id="9" w:name="_Toc375581815"/>
      <w:bookmarkStart w:id="10" w:name="_Toc375582132"/>
      <w:bookmarkStart w:id="11" w:name="_Toc99351179"/>
      <w:r w:rsidRPr="005B5BDF">
        <w:t>Przedmiot zamówienia. Termin oraz pozostałe warunki realizacji zamówienia.</w:t>
      </w:r>
      <w:bookmarkEnd w:id="8"/>
      <w:bookmarkEnd w:id="9"/>
      <w:bookmarkEnd w:id="10"/>
      <w:bookmarkEnd w:id="11"/>
    </w:p>
    <w:p w14:paraId="552A53B6" w14:textId="089B0A58" w:rsidR="001D05CD" w:rsidRPr="00F34343" w:rsidRDefault="00F85C46" w:rsidP="00771B19">
      <w:pPr>
        <w:pStyle w:val="Nagwek2"/>
        <w:keepNext w:val="0"/>
        <w:widowControl w:val="0"/>
        <w:numPr>
          <w:ilvl w:val="0"/>
          <w:numId w:val="53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3B7565BA" w14:textId="055AF972" w:rsidR="008843DF" w:rsidRDefault="004C589D" w:rsidP="00771B19">
      <w:pPr>
        <w:pStyle w:val="Akapitzlist"/>
        <w:widowControl w:val="0"/>
        <w:numPr>
          <w:ilvl w:val="0"/>
          <w:numId w:val="55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E8770A">
        <w:rPr>
          <w:rFonts w:cs="Arial"/>
          <w:bCs/>
          <w:szCs w:val="20"/>
          <w:lang w:eastAsia="pl-PL"/>
        </w:rPr>
        <w:t xml:space="preserve">Przedmiotem zamówienia jest </w:t>
      </w:r>
      <w:r w:rsidR="005F1183" w:rsidRPr="005F1183">
        <w:rPr>
          <w:rFonts w:cs="Arial"/>
          <w:b/>
          <w:bCs/>
          <w:szCs w:val="20"/>
          <w:lang w:eastAsia="pl-PL"/>
        </w:rPr>
        <w:t>dostawa materiałów eksploatacyjnych do urządzeń drukujących tj.:  tuszy</w:t>
      </w:r>
      <w:r w:rsidR="005F1183" w:rsidRPr="00336E33">
        <w:rPr>
          <w:rFonts w:cs="Arial"/>
          <w:bCs/>
          <w:szCs w:val="20"/>
          <w:lang w:eastAsia="pl-PL"/>
        </w:rPr>
        <w:t>,</w:t>
      </w:r>
      <w:r w:rsidR="005F1183">
        <w:rPr>
          <w:rFonts w:cs="Arial"/>
          <w:b/>
          <w:bCs/>
          <w:szCs w:val="20"/>
          <w:lang w:eastAsia="pl-PL"/>
        </w:rPr>
        <w:t xml:space="preserve"> </w:t>
      </w:r>
      <w:r w:rsidR="00CD4EBF" w:rsidRPr="00CD4EBF">
        <w:rPr>
          <w:rFonts w:cs="Arial"/>
          <w:bCs/>
          <w:szCs w:val="20"/>
          <w:lang w:eastAsia="pl-PL"/>
        </w:rPr>
        <w:t>określon</w:t>
      </w:r>
      <w:r w:rsidR="005F1183">
        <w:rPr>
          <w:rFonts w:cs="Arial"/>
          <w:bCs/>
          <w:szCs w:val="20"/>
          <w:lang w:eastAsia="pl-PL"/>
        </w:rPr>
        <w:t>ych</w:t>
      </w:r>
      <w:r w:rsidR="00CD4EBF" w:rsidRPr="00CD4EBF">
        <w:rPr>
          <w:rFonts w:cs="Arial"/>
          <w:bCs/>
          <w:szCs w:val="20"/>
          <w:lang w:eastAsia="pl-PL"/>
        </w:rPr>
        <w:t xml:space="preserve"> w załączniku nr 2 do SWZ,  zwan</w:t>
      </w:r>
      <w:r w:rsidR="005F1183">
        <w:rPr>
          <w:rFonts w:cs="Arial"/>
          <w:bCs/>
          <w:szCs w:val="20"/>
          <w:lang w:eastAsia="pl-PL"/>
        </w:rPr>
        <w:t>ych</w:t>
      </w:r>
      <w:r w:rsidR="00CD4EBF" w:rsidRPr="00CD4EBF">
        <w:rPr>
          <w:rFonts w:cs="Arial"/>
          <w:bCs/>
          <w:szCs w:val="20"/>
          <w:lang w:eastAsia="pl-PL"/>
        </w:rPr>
        <w:t xml:space="preserve"> dalej </w:t>
      </w:r>
      <w:r w:rsidR="00CD4EBF" w:rsidRPr="00C73C1E">
        <w:rPr>
          <w:rFonts w:cs="Arial"/>
          <w:bCs/>
          <w:szCs w:val="20"/>
          <w:lang w:eastAsia="pl-PL"/>
        </w:rPr>
        <w:t>„</w:t>
      </w:r>
      <w:r w:rsidR="005F1183" w:rsidRPr="00C73C1E">
        <w:rPr>
          <w:rFonts w:cs="Arial"/>
          <w:bCs/>
          <w:szCs w:val="20"/>
          <w:lang w:eastAsia="pl-PL"/>
        </w:rPr>
        <w:t>materiałami</w:t>
      </w:r>
      <w:r w:rsidR="00CD4EBF" w:rsidRPr="00C73C1E">
        <w:rPr>
          <w:rFonts w:cs="Arial"/>
          <w:bCs/>
          <w:szCs w:val="20"/>
          <w:lang w:eastAsia="pl-PL"/>
        </w:rPr>
        <w:t>”</w:t>
      </w:r>
      <w:r w:rsidR="00C73C1E" w:rsidRPr="00C73C1E">
        <w:rPr>
          <w:rFonts w:cs="Arial"/>
          <w:bCs/>
          <w:szCs w:val="20"/>
          <w:lang w:eastAsia="pl-PL"/>
        </w:rPr>
        <w:t>.</w:t>
      </w:r>
    </w:p>
    <w:p w14:paraId="3251E95C" w14:textId="405ECF2D" w:rsidR="004C6AAD" w:rsidRPr="00310759" w:rsidRDefault="00CD4EBF" w:rsidP="00771B19">
      <w:pPr>
        <w:pStyle w:val="Akapitzlist"/>
        <w:widowControl w:val="0"/>
        <w:numPr>
          <w:ilvl w:val="0"/>
          <w:numId w:val="55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310759">
        <w:rPr>
          <w:rFonts w:cs="Arial"/>
          <w:b/>
          <w:bCs/>
          <w:szCs w:val="20"/>
          <w:lang w:eastAsia="pl-PL"/>
        </w:rPr>
        <w:t>Zakres zamówienia obejmuje</w:t>
      </w:r>
      <w:r w:rsidRPr="00310759">
        <w:rPr>
          <w:rFonts w:cs="Arial"/>
          <w:bCs/>
          <w:szCs w:val="20"/>
          <w:lang w:eastAsia="pl-PL"/>
        </w:rPr>
        <w:t xml:space="preserve">: </w:t>
      </w:r>
      <w:r w:rsidR="00310759" w:rsidRPr="00310759">
        <w:rPr>
          <w:rFonts w:cs="Arial"/>
          <w:bCs/>
          <w:szCs w:val="20"/>
          <w:lang w:eastAsia="pl-PL"/>
        </w:rPr>
        <w:t>zakup materiałów</w:t>
      </w:r>
      <w:r w:rsidRPr="00310759">
        <w:rPr>
          <w:rFonts w:cs="Arial"/>
          <w:bCs/>
          <w:szCs w:val="20"/>
          <w:lang w:eastAsia="pl-PL"/>
        </w:rPr>
        <w:t xml:space="preserve"> wraz z </w:t>
      </w:r>
      <w:r w:rsidR="00310759" w:rsidRPr="00310759">
        <w:rPr>
          <w:rFonts w:cs="Arial"/>
          <w:bCs/>
          <w:szCs w:val="20"/>
          <w:lang w:eastAsia="pl-PL"/>
        </w:rPr>
        <w:t xml:space="preserve">ich dostawą, </w:t>
      </w:r>
      <w:r w:rsidRPr="00310759">
        <w:rPr>
          <w:rFonts w:cs="Arial"/>
          <w:bCs/>
          <w:szCs w:val="20"/>
          <w:lang w:eastAsia="pl-PL"/>
        </w:rPr>
        <w:t>rozładunkiem i wniesieniem do miejsca wskazanego przez Zamawiającego</w:t>
      </w:r>
      <w:r w:rsidR="00D44892">
        <w:rPr>
          <w:rFonts w:cs="Arial"/>
          <w:bCs/>
          <w:szCs w:val="20"/>
          <w:lang w:eastAsia="pl-PL"/>
        </w:rPr>
        <w:t xml:space="preserve">, a także </w:t>
      </w:r>
      <w:r w:rsidR="007141E0" w:rsidRPr="007141E0">
        <w:rPr>
          <w:rFonts w:cs="Arial"/>
          <w:bCs/>
          <w:szCs w:val="20"/>
          <w:lang w:eastAsia="pl-PL"/>
        </w:rPr>
        <w:t>udzielenie gwarancji na dostarczone materiały</w:t>
      </w:r>
      <w:r w:rsidR="007141E0">
        <w:rPr>
          <w:rFonts w:cs="Arial"/>
          <w:bCs/>
          <w:szCs w:val="20"/>
          <w:lang w:eastAsia="pl-PL"/>
        </w:rPr>
        <w:t>.</w:t>
      </w:r>
    </w:p>
    <w:p w14:paraId="0863AF85" w14:textId="03B05BE5" w:rsidR="003A0DD4" w:rsidRPr="00A35F73" w:rsidRDefault="003A0DD4" w:rsidP="00771B19">
      <w:pPr>
        <w:pStyle w:val="Akapitzlist"/>
        <w:widowControl w:val="0"/>
        <w:numPr>
          <w:ilvl w:val="0"/>
          <w:numId w:val="55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0A6199D2" w14:textId="39570801" w:rsidR="002C3360" w:rsidRPr="003A0DD4" w:rsidRDefault="004C589D" w:rsidP="00771B19">
      <w:pPr>
        <w:pStyle w:val="Akapitzlist"/>
        <w:widowControl w:val="0"/>
        <w:numPr>
          <w:ilvl w:val="0"/>
          <w:numId w:val="55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>Nazwy i kody dotyczące przedmiotu zamówienia zgodnie z nomenklaturą określoną we Wspólnym Słowniku Zamówień (CPV):</w:t>
      </w:r>
      <w:r w:rsidR="00305AB1" w:rsidRPr="00305AB1">
        <w:t xml:space="preserve"> </w:t>
      </w:r>
      <w:r w:rsidR="005E50DB" w:rsidRPr="005E50DB">
        <w:rPr>
          <w:b/>
        </w:rPr>
        <w:t xml:space="preserve">30192113-6 </w:t>
      </w:r>
      <w:r w:rsidR="00CD4EBF" w:rsidRPr="00CD4EBF">
        <w:t xml:space="preserve">- </w:t>
      </w:r>
      <w:r w:rsidR="00D11F05" w:rsidRPr="00D11F05">
        <w:t>Wkłady drukujące</w:t>
      </w:r>
      <w:r w:rsidR="00CD4EBF" w:rsidRPr="00CD4EBF">
        <w:t>.</w:t>
      </w:r>
    </w:p>
    <w:p w14:paraId="276985F9" w14:textId="5ACF3BF5" w:rsidR="00170642" w:rsidRPr="00D55635" w:rsidRDefault="00170642" w:rsidP="00771B19">
      <w:pPr>
        <w:widowControl w:val="0"/>
        <w:numPr>
          <w:ilvl w:val="0"/>
          <w:numId w:val="55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D55635">
        <w:rPr>
          <w:rFonts w:eastAsia="Calibri" w:cs="Arial"/>
          <w:b/>
          <w:bCs/>
          <w:szCs w:val="20"/>
        </w:rPr>
        <w:t xml:space="preserve">Opis przedmiotu zamówienia. </w:t>
      </w:r>
    </w:p>
    <w:p w14:paraId="39D4B9DD" w14:textId="4F7F3A78" w:rsidR="00FC1A9B" w:rsidRPr="00FC1A9B" w:rsidRDefault="0057335E" w:rsidP="00771B19">
      <w:pPr>
        <w:pStyle w:val="Akapitzlist"/>
        <w:widowControl w:val="0"/>
        <w:numPr>
          <w:ilvl w:val="0"/>
          <w:numId w:val="59"/>
        </w:numPr>
        <w:ind w:left="851" w:hanging="284"/>
        <w:contextualSpacing w:val="0"/>
        <w:rPr>
          <w:rFonts w:eastAsia="Times New Roman" w:cs="Times New Roman"/>
          <w:bCs/>
          <w:iCs/>
          <w:szCs w:val="20"/>
          <w:lang w:val="x-none" w:eastAsia="x-none"/>
        </w:rPr>
      </w:pPr>
      <w:r w:rsidRPr="0057335E">
        <w:rPr>
          <w:rFonts w:eastAsia="Times New Roman" w:cs="Times New Roman"/>
          <w:bCs/>
          <w:iCs/>
          <w:szCs w:val="20"/>
          <w:lang w:eastAsia="x-none"/>
        </w:rPr>
        <w:t xml:space="preserve">Szczegółowy wykaz materiałów wraz z wymaganymi parametrami przedmiotu zamówienia zawiera załącznik nr 2 do SWZ (Szczegółowy opis przedmiotu zamówienia - Formularz asortymentowo - cenowy). </w:t>
      </w:r>
    </w:p>
    <w:p w14:paraId="32487EAE" w14:textId="7AA590B6" w:rsidR="00FC1A9B" w:rsidRPr="00FC1A9B" w:rsidRDefault="00FC1A9B" w:rsidP="00771B19">
      <w:pPr>
        <w:pStyle w:val="Akapitzlist"/>
        <w:widowControl w:val="0"/>
        <w:numPr>
          <w:ilvl w:val="0"/>
          <w:numId w:val="59"/>
        </w:numPr>
        <w:ind w:left="851" w:hanging="284"/>
        <w:contextualSpacing w:val="0"/>
        <w:rPr>
          <w:rFonts w:eastAsia="Times New Roman" w:cs="Times New Roman"/>
          <w:bCs/>
          <w:iCs/>
          <w:szCs w:val="20"/>
          <w:lang w:eastAsia="x-none"/>
        </w:rPr>
      </w:pPr>
      <w:r w:rsidRPr="00FC1A9B">
        <w:rPr>
          <w:rFonts w:eastAsia="Times New Roman" w:cs="Times New Roman"/>
          <w:bCs/>
          <w:iCs/>
          <w:szCs w:val="20"/>
          <w:lang w:eastAsia="x-none"/>
        </w:rPr>
        <w:t>Podane, w  załączniku nr 2 do SWZ, ilości materiałów są wartościami maksymalnymi. Zamawiający, w przypadku zmiany potrzeb Zamawiającego, których nie jest w stanie przewidzieć na etapie przygotowania postępowania o udzielenie niniejszego zamówienia</w:t>
      </w:r>
      <w:r>
        <w:rPr>
          <w:rFonts w:eastAsia="Times New Roman" w:cs="Times New Roman"/>
          <w:bCs/>
          <w:iCs/>
          <w:szCs w:val="20"/>
          <w:lang w:eastAsia="x-none"/>
        </w:rPr>
        <w:t xml:space="preserve">, </w:t>
      </w:r>
      <w:r w:rsidRPr="00FC1A9B">
        <w:rPr>
          <w:rFonts w:eastAsia="Times New Roman" w:cs="Times New Roman"/>
          <w:bCs/>
          <w:iCs/>
          <w:szCs w:val="20"/>
          <w:lang w:eastAsia="x-none"/>
        </w:rPr>
        <w:t>zastrzega sobie możliwość ograniczenia zakresu zamówienia podczas jego realizacji i nie wykorzystania całej liczby materiałów określonych w  załączniku nr 2 do SWZ</w:t>
      </w:r>
      <w:r>
        <w:rPr>
          <w:rFonts w:eastAsia="Times New Roman" w:cs="Times New Roman"/>
          <w:bCs/>
          <w:iCs/>
          <w:szCs w:val="20"/>
          <w:lang w:eastAsia="x-none"/>
        </w:rPr>
        <w:t>.</w:t>
      </w:r>
      <w:r w:rsidRPr="00FC1A9B">
        <w:t xml:space="preserve"> </w:t>
      </w:r>
      <w:r w:rsidRPr="00FC1A9B">
        <w:rPr>
          <w:rFonts w:eastAsia="Times New Roman" w:cs="Times New Roman"/>
          <w:bCs/>
          <w:iCs/>
          <w:szCs w:val="20"/>
          <w:lang w:eastAsia="x-none"/>
        </w:rPr>
        <w:t>W takim przypadku</w:t>
      </w:r>
      <w:r>
        <w:rPr>
          <w:rFonts w:eastAsia="Times New Roman" w:cs="Times New Roman"/>
          <w:bCs/>
          <w:iCs/>
          <w:szCs w:val="20"/>
          <w:lang w:eastAsia="x-none"/>
        </w:rPr>
        <w:t>,</w:t>
      </w:r>
      <w:r w:rsidRPr="00FC1A9B">
        <w:rPr>
          <w:rFonts w:eastAsia="Times New Roman" w:cs="Times New Roman"/>
          <w:bCs/>
          <w:iCs/>
          <w:szCs w:val="20"/>
          <w:lang w:eastAsia="x-none"/>
        </w:rPr>
        <w:t xml:space="preserve"> Zamawiający </w:t>
      </w:r>
      <w:r w:rsidRPr="00FC1A9B">
        <w:rPr>
          <w:rFonts w:eastAsia="Times New Roman" w:cs="Times New Roman"/>
          <w:bCs/>
          <w:iCs/>
          <w:szCs w:val="20"/>
          <w:lang w:eastAsia="x-none"/>
        </w:rPr>
        <w:lastRenderedPageBreak/>
        <w:t>zapłaci Wykonawcy wynagrodzenie ustalone w oparciu o faktyczną, zamówioną ostateczną ilość materiałów, obliczone na podstawie cen jednostkowych, zgodnie z ofertą Wykonawcy.</w:t>
      </w:r>
    </w:p>
    <w:p w14:paraId="696CA8CF" w14:textId="0CB00594" w:rsidR="00467EE3" w:rsidRPr="003C3A48" w:rsidRDefault="00FC1A9B" w:rsidP="00C65FD5">
      <w:pPr>
        <w:widowControl w:val="0"/>
        <w:ind w:hanging="851"/>
        <w:rPr>
          <w:bCs/>
          <w:iCs/>
        </w:rPr>
      </w:pPr>
      <w:r w:rsidRPr="00FC1A9B">
        <w:rPr>
          <w:rFonts w:eastAsia="Times New Roman" w:cs="Times New Roman"/>
          <w:bCs/>
          <w:iCs/>
          <w:szCs w:val="20"/>
          <w:lang w:eastAsia="x-none"/>
        </w:rPr>
        <w:t xml:space="preserve">                </w:t>
      </w:r>
      <w:r w:rsidR="00467EE3" w:rsidRPr="00467EE3">
        <w:rPr>
          <w:bCs/>
          <w:iCs/>
          <w:lang w:val="x-none"/>
        </w:rPr>
        <w:t>Wobec powyższego</w:t>
      </w:r>
      <w:r w:rsidR="006B5EE9">
        <w:rPr>
          <w:bCs/>
          <w:iCs/>
        </w:rPr>
        <w:t>,</w:t>
      </w:r>
      <w:r w:rsidR="00467EE3" w:rsidRPr="00467EE3">
        <w:rPr>
          <w:bCs/>
          <w:iCs/>
          <w:lang w:val="x-none"/>
        </w:rPr>
        <w:t xml:space="preserve"> w związku z możliwością ograniczenia zakresu zamówienia, zgodnie z art. 433 pkt 4) ustawy Pzp, Zamawiający gwarantuje realizację Przedmiotu Umowy </w:t>
      </w:r>
      <w:r w:rsidR="006B5EE9">
        <w:rPr>
          <w:bCs/>
          <w:iCs/>
        </w:rPr>
        <w:t>(</w:t>
      </w:r>
      <w:r w:rsidR="005C758D" w:rsidRPr="006B5EE9">
        <w:rPr>
          <w:bCs/>
          <w:iCs/>
          <w:lang w:val="x-none"/>
        </w:rPr>
        <w:t>minimalny</w:t>
      </w:r>
      <w:r w:rsidR="006B5EE9" w:rsidRPr="006B5EE9">
        <w:rPr>
          <w:bCs/>
          <w:iCs/>
          <w:lang w:val="x-none"/>
        </w:rPr>
        <w:t xml:space="preserve"> zakres zamówienia</w:t>
      </w:r>
      <w:r w:rsidR="006B5EE9">
        <w:rPr>
          <w:bCs/>
          <w:iCs/>
        </w:rPr>
        <w:t>)</w:t>
      </w:r>
      <w:r w:rsidR="006B5EE9" w:rsidRPr="006B5EE9">
        <w:rPr>
          <w:bCs/>
          <w:iCs/>
          <w:lang w:val="x-none"/>
        </w:rPr>
        <w:t xml:space="preserve"> </w:t>
      </w:r>
      <w:r w:rsidR="00467EE3" w:rsidRPr="00467EE3">
        <w:rPr>
          <w:bCs/>
          <w:iCs/>
          <w:lang w:val="x-none"/>
        </w:rPr>
        <w:t xml:space="preserve">do kwoty stanowiącej 30% ilości asortymentu (całości asortymentu z Umowy, a nie poszczególnych pozycji). W pozostałym zakresie Wykonawcy nie przysługują żadne roszczenia </w:t>
      </w:r>
      <w:r w:rsidR="005C758D">
        <w:rPr>
          <w:bCs/>
          <w:iCs/>
        </w:rPr>
        <w:t xml:space="preserve">                </w:t>
      </w:r>
      <w:r w:rsidR="00467EE3" w:rsidRPr="00467EE3">
        <w:rPr>
          <w:bCs/>
          <w:iCs/>
          <w:lang w:val="x-none"/>
        </w:rPr>
        <w:t>z tytułu niewykorzystania pełnej wartości Umowy</w:t>
      </w:r>
      <w:r w:rsidR="003C3A48">
        <w:rPr>
          <w:bCs/>
          <w:iCs/>
        </w:rPr>
        <w:t>.</w:t>
      </w:r>
    </w:p>
    <w:p w14:paraId="742F5C38" w14:textId="4E844671" w:rsidR="00B92777" w:rsidRPr="00E6635C" w:rsidRDefault="00B372C1" w:rsidP="00C65FD5">
      <w:pPr>
        <w:pStyle w:val="Akapitzlist"/>
        <w:widowControl w:val="0"/>
        <w:numPr>
          <w:ilvl w:val="0"/>
          <w:numId w:val="59"/>
        </w:numPr>
        <w:ind w:left="851" w:hanging="284"/>
        <w:contextualSpacing w:val="0"/>
        <w:rPr>
          <w:bCs/>
          <w:iCs/>
          <w:lang w:val="x-none"/>
        </w:rPr>
      </w:pPr>
      <w:r w:rsidRPr="00E6635C">
        <w:rPr>
          <w:bCs/>
          <w:iCs/>
          <w:lang w:val="x-none"/>
        </w:rPr>
        <w:t>Zamawiający wymaga, aby oferowane materiały spełniały wymienione niżej wymagania:</w:t>
      </w:r>
      <w:r w:rsidR="00B92777" w:rsidRPr="00E6635C">
        <w:rPr>
          <w:bCs/>
          <w:iCs/>
          <w:lang w:val="x-none"/>
        </w:rPr>
        <w:t xml:space="preserve"> </w:t>
      </w:r>
    </w:p>
    <w:p w14:paraId="57F1C8C1" w14:textId="50C4013E" w:rsidR="00B92777" w:rsidRPr="00E6635C" w:rsidRDefault="00B92777" w:rsidP="00C65FD5">
      <w:pPr>
        <w:pStyle w:val="Akapitzlist"/>
        <w:widowControl w:val="0"/>
        <w:numPr>
          <w:ilvl w:val="0"/>
          <w:numId w:val="65"/>
        </w:numPr>
        <w:ind w:left="1134" w:hanging="283"/>
        <w:contextualSpacing w:val="0"/>
        <w:rPr>
          <w:bCs/>
          <w:iCs/>
          <w:lang w:val="x-none"/>
        </w:rPr>
      </w:pPr>
      <w:r w:rsidRPr="00E6635C">
        <w:rPr>
          <w:bCs/>
          <w:iCs/>
          <w:lang w:val="x-none"/>
        </w:rPr>
        <w:t>powinny pochodzić z bieżącej produkcji (rok produkcji – 202</w:t>
      </w:r>
      <w:r w:rsidR="00E6635C" w:rsidRPr="00E6635C">
        <w:rPr>
          <w:bCs/>
          <w:iCs/>
        </w:rPr>
        <w:t>3</w:t>
      </w:r>
      <w:r w:rsidRPr="00E6635C">
        <w:rPr>
          <w:bCs/>
          <w:iCs/>
          <w:lang w:val="x-none"/>
        </w:rPr>
        <w:t>/202</w:t>
      </w:r>
      <w:r w:rsidR="00E6635C" w:rsidRPr="00E6635C">
        <w:rPr>
          <w:bCs/>
          <w:iCs/>
        </w:rPr>
        <w:t>4</w:t>
      </w:r>
      <w:r w:rsidRPr="00E6635C">
        <w:rPr>
          <w:bCs/>
          <w:iCs/>
          <w:lang w:val="x-none"/>
        </w:rPr>
        <w:t xml:space="preserve"> r.)</w:t>
      </w:r>
      <w:r w:rsidR="009C3B9A">
        <w:rPr>
          <w:bCs/>
          <w:iCs/>
        </w:rPr>
        <w:t>,</w:t>
      </w:r>
    </w:p>
    <w:p w14:paraId="17DDBC6B" w14:textId="14118207" w:rsidR="00B92777" w:rsidRPr="005C5184" w:rsidRDefault="00B92777" w:rsidP="00C65FD5">
      <w:pPr>
        <w:pStyle w:val="Akapitzlist"/>
        <w:widowControl w:val="0"/>
        <w:numPr>
          <w:ilvl w:val="0"/>
          <w:numId w:val="65"/>
        </w:numPr>
        <w:ind w:left="1134" w:hanging="283"/>
        <w:contextualSpacing w:val="0"/>
        <w:rPr>
          <w:bCs/>
          <w:iCs/>
          <w:lang w:val="x-none"/>
        </w:rPr>
      </w:pPr>
      <w:r w:rsidRPr="005C5184">
        <w:rPr>
          <w:bCs/>
          <w:iCs/>
          <w:lang w:val="x-none"/>
        </w:rPr>
        <w:t>powinny być wykonane w całości z fabrycznie nowych podzespołów (nie będących regenerowanymi lub z recyklingu)</w:t>
      </w:r>
      <w:r w:rsidR="009C3B9A">
        <w:rPr>
          <w:bCs/>
          <w:iCs/>
        </w:rPr>
        <w:t>,</w:t>
      </w:r>
    </w:p>
    <w:p w14:paraId="2A13F5A1" w14:textId="7271BA87" w:rsidR="00B92777" w:rsidRPr="005C5184" w:rsidRDefault="00B92777" w:rsidP="00C65FD5">
      <w:pPr>
        <w:pStyle w:val="Akapitzlist"/>
        <w:widowControl w:val="0"/>
        <w:numPr>
          <w:ilvl w:val="0"/>
          <w:numId w:val="65"/>
        </w:numPr>
        <w:ind w:left="1134" w:hanging="283"/>
        <w:contextualSpacing w:val="0"/>
        <w:rPr>
          <w:bCs/>
          <w:iCs/>
          <w:lang w:val="x-none"/>
        </w:rPr>
      </w:pPr>
      <w:r w:rsidRPr="005C5184">
        <w:rPr>
          <w:bCs/>
          <w:iCs/>
          <w:lang w:val="x-none"/>
        </w:rPr>
        <w:t>nie mogą mieć śladów poprzedniego używania, uszkodzenia</w:t>
      </w:r>
      <w:r w:rsidR="009C3B9A">
        <w:rPr>
          <w:bCs/>
          <w:iCs/>
        </w:rPr>
        <w:t>,</w:t>
      </w:r>
    </w:p>
    <w:p w14:paraId="037D834B" w14:textId="6165A6A3" w:rsidR="00B92777" w:rsidRPr="005C5184" w:rsidRDefault="00B92777" w:rsidP="00C65FD5">
      <w:pPr>
        <w:pStyle w:val="Akapitzlist"/>
        <w:widowControl w:val="0"/>
        <w:numPr>
          <w:ilvl w:val="0"/>
          <w:numId w:val="65"/>
        </w:numPr>
        <w:ind w:left="1134" w:hanging="283"/>
        <w:contextualSpacing w:val="0"/>
        <w:rPr>
          <w:bCs/>
          <w:iCs/>
          <w:lang w:val="x-none"/>
        </w:rPr>
      </w:pPr>
      <w:r w:rsidRPr="005C5184">
        <w:rPr>
          <w:bCs/>
          <w:iCs/>
          <w:lang w:val="x-none"/>
        </w:rPr>
        <w:t xml:space="preserve">powinny posiadać wymagane prawem atesty i badania, </w:t>
      </w:r>
    </w:p>
    <w:p w14:paraId="012276A4" w14:textId="23D69472" w:rsidR="00B92777" w:rsidRPr="005C5184" w:rsidRDefault="00B92777" w:rsidP="00C65FD5">
      <w:pPr>
        <w:pStyle w:val="Akapitzlist"/>
        <w:widowControl w:val="0"/>
        <w:numPr>
          <w:ilvl w:val="0"/>
          <w:numId w:val="65"/>
        </w:numPr>
        <w:ind w:left="1134" w:hanging="283"/>
        <w:contextualSpacing w:val="0"/>
        <w:rPr>
          <w:bCs/>
          <w:iCs/>
          <w:lang w:val="x-none"/>
        </w:rPr>
      </w:pPr>
      <w:r w:rsidRPr="005C5184">
        <w:rPr>
          <w:bCs/>
          <w:iCs/>
          <w:lang w:val="x-none"/>
        </w:rPr>
        <w:t>powinny posiadać oryginalne opakowania z zabezpieczeniami stosowanymi przez danego producenta np. hologramy,</w:t>
      </w:r>
    </w:p>
    <w:p w14:paraId="222E335E" w14:textId="2A02986D" w:rsidR="00B92777" w:rsidRDefault="00B92777" w:rsidP="00C65FD5">
      <w:pPr>
        <w:pStyle w:val="Akapitzlist"/>
        <w:widowControl w:val="0"/>
        <w:numPr>
          <w:ilvl w:val="0"/>
          <w:numId w:val="65"/>
        </w:numPr>
        <w:ind w:left="1134" w:hanging="283"/>
        <w:contextualSpacing w:val="0"/>
        <w:rPr>
          <w:bCs/>
          <w:iCs/>
          <w:lang w:val="x-none"/>
        </w:rPr>
      </w:pPr>
      <w:r w:rsidRPr="005C5184">
        <w:rPr>
          <w:bCs/>
          <w:iCs/>
          <w:lang w:val="x-none"/>
        </w:rPr>
        <w:t>muszą zawierać oryginalne znaki firmowe producenta, nienaruszone cechy opakowania oryginalnego, pierwotnego, muszą być pakowane pojedynczo, dostarczone do Zamawiającego w oryginalnych opakowaniach producenta, muszą posiadać na opakowaniach zewnętrznych logo i nazwę producenta, opis zawartości i numer katalogowy</w:t>
      </w:r>
      <w:r w:rsidR="009C3B9A">
        <w:rPr>
          <w:bCs/>
          <w:iCs/>
        </w:rPr>
        <w:t>;</w:t>
      </w:r>
      <w:r w:rsidRPr="005C5184">
        <w:rPr>
          <w:bCs/>
          <w:iCs/>
          <w:lang w:val="x-none"/>
        </w:rPr>
        <w:t xml:space="preserve"> w przypadku dostawy produktów równoważnych wymagane jest podanie na opakowaniu oznaczenia oryginalnego materiału eksploatacyjnego, którego dotyczy zamiennik (produkt równoważny),</w:t>
      </w:r>
    </w:p>
    <w:p w14:paraId="47D90917" w14:textId="6848D02B" w:rsidR="002B7C12" w:rsidRPr="002B7C12" w:rsidRDefault="001B3427" w:rsidP="002B7C12">
      <w:pPr>
        <w:pStyle w:val="Akapitzlist"/>
        <w:numPr>
          <w:ilvl w:val="0"/>
          <w:numId w:val="65"/>
        </w:numPr>
        <w:ind w:left="1134" w:hanging="283"/>
        <w:rPr>
          <w:bCs/>
          <w:iCs/>
          <w:lang w:val="x-none"/>
        </w:rPr>
      </w:pPr>
      <w:r>
        <w:rPr>
          <w:bCs/>
          <w:iCs/>
        </w:rPr>
        <w:t>muszą mieć</w:t>
      </w:r>
      <w:r w:rsidR="002B7C12" w:rsidRPr="002B7C12">
        <w:rPr>
          <w:bCs/>
          <w:iCs/>
          <w:lang w:val="x-none"/>
        </w:rPr>
        <w:t xml:space="preserve"> termin ważności tuszu umieszczony przez producenta na opakowaniu </w:t>
      </w:r>
      <w:r w:rsidR="002B7C12">
        <w:rPr>
          <w:bCs/>
          <w:iCs/>
        </w:rPr>
        <w:t xml:space="preserve">                              </w:t>
      </w:r>
      <w:r w:rsidR="002B7C12" w:rsidRPr="002B7C12">
        <w:rPr>
          <w:bCs/>
          <w:iCs/>
          <w:lang w:val="x-none"/>
        </w:rPr>
        <w:t>i wynoszący co najmniej 12 m-cy od daty podpisania protokołu odbioru</w:t>
      </w:r>
      <w:r w:rsidR="009455C3">
        <w:rPr>
          <w:bCs/>
          <w:iCs/>
        </w:rPr>
        <w:t>,</w:t>
      </w:r>
    </w:p>
    <w:p w14:paraId="40C72C82" w14:textId="3DB5B3F9" w:rsidR="005C5184" w:rsidRDefault="00B92777" w:rsidP="00C65FD5">
      <w:pPr>
        <w:pStyle w:val="Akapitzlist"/>
        <w:widowControl w:val="0"/>
        <w:numPr>
          <w:ilvl w:val="0"/>
          <w:numId w:val="65"/>
        </w:numPr>
        <w:ind w:left="1134" w:hanging="283"/>
        <w:contextualSpacing w:val="0"/>
        <w:rPr>
          <w:bCs/>
          <w:iCs/>
          <w:lang w:val="x-none"/>
        </w:rPr>
      </w:pPr>
      <w:r w:rsidRPr="005C5184">
        <w:rPr>
          <w:bCs/>
          <w:iCs/>
          <w:lang w:val="x-none"/>
        </w:rPr>
        <w:t xml:space="preserve">materiały dedykowane do jednego urządzenia muszą pochodzić od jednego producenta </w:t>
      </w:r>
      <w:r w:rsidR="00223DE3">
        <w:rPr>
          <w:bCs/>
          <w:iCs/>
        </w:rPr>
        <w:t xml:space="preserve">                     </w:t>
      </w:r>
      <w:r w:rsidRPr="005C5184">
        <w:rPr>
          <w:bCs/>
          <w:iCs/>
          <w:lang w:val="x-none"/>
        </w:rPr>
        <w:t xml:space="preserve">(z wyjątkiem urządzeń monochromatycznych), </w:t>
      </w:r>
    </w:p>
    <w:p w14:paraId="0CA91DCD" w14:textId="1557DC23" w:rsidR="00B92777" w:rsidRPr="005C5184" w:rsidRDefault="00B92777" w:rsidP="00C65FD5">
      <w:pPr>
        <w:pStyle w:val="Akapitzlist"/>
        <w:widowControl w:val="0"/>
        <w:numPr>
          <w:ilvl w:val="0"/>
          <w:numId w:val="65"/>
        </w:numPr>
        <w:ind w:left="1134" w:hanging="283"/>
        <w:contextualSpacing w:val="0"/>
        <w:rPr>
          <w:bCs/>
          <w:iCs/>
          <w:lang w:val="x-none"/>
        </w:rPr>
      </w:pPr>
      <w:r w:rsidRPr="005C5184">
        <w:rPr>
          <w:bCs/>
          <w:iCs/>
          <w:lang w:val="x-none"/>
        </w:rPr>
        <w:t>muszą być w pełni kompatybilne z urządzeniami Zamawiającego, tj. producentów:</w:t>
      </w:r>
      <w:r w:rsidR="005C5184" w:rsidRPr="005C5184">
        <w:rPr>
          <w:bCs/>
          <w:iCs/>
        </w:rPr>
        <w:t xml:space="preserve"> BROTHER, CANON, EPSON, HP, LEXMARK</w:t>
      </w:r>
      <w:r w:rsidR="005C5184">
        <w:rPr>
          <w:bCs/>
          <w:iCs/>
          <w:color w:val="FF0000"/>
        </w:rPr>
        <w:t>.</w:t>
      </w:r>
    </w:p>
    <w:p w14:paraId="322ED564" w14:textId="7EE290D9" w:rsidR="006B25DF" w:rsidRPr="008F5F0E" w:rsidRDefault="006B25DF" w:rsidP="00C65FD5">
      <w:pPr>
        <w:pStyle w:val="Akapitzlist"/>
        <w:widowControl w:val="0"/>
        <w:numPr>
          <w:ilvl w:val="0"/>
          <w:numId w:val="59"/>
        </w:numPr>
        <w:autoSpaceDE w:val="0"/>
        <w:autoSpaceDN w:val="0"/>
        <w:adjustRightInd w:val="0"/>
        <w:ind w:left="851" w:hanging="284"/>
        <w:contextualSpacing w:val="0"/>
        <w:rPr>
          <w:rFonts w:cs="Arial"/>
        </w:rPr>
      </w:pPr>
      <w:r w:rsidRPr="00FB5B42">
        <w:rPr>
          <w:rFonts w:cs="Arial"/>
          <w:b/>
        </w:rPr>
        <w:t>Zamawiający dopuszcza składanie ofert na materiały równoważne</w:t>
      </w:r>
      <w:r w:rsidRPr="008F5F0E">
        <w:rPr>
          <w:rFonts w:cs="Arial"/>
        </w:rPr>
        <w:t xml:space="preserve"> </w:t>
      </w:r>
      <w:r w:rsidRPr="00FB5B42">
        <w:rPr>
          <w:rFonts w:cs="Arial"/>
          <w:b/>
        </w:rPr>
        <w:t>tzn. nie wyprodukowane przez producenta urządzeń, z którymi będą używane</w:t>
      </w:r>
      <w:r w:rsidRPr="008F5F0E">
        <w:rPr>
          <w:rFonts w:cs="Arial"/>
        </w:rPr>
        <w:t xml:space="preserve">. Za równoważne Zamawiający uzna </w:t>
      </w:r>
      <w:r w:rsidR="008F5F0E">
        <w:rPr>
          <w:rFonts w:cs="Arial"/>
        </w:rPr>
        <w:t>tusze</w:t>
      </w:r>
      <w:r w:rsidRPr="008F5F0E">
        <w:rPr>
          <w:rFonts w:cs="Arial"/>
        </w:rPr>
        <w:t xml:space="preserve">, których parametry techniczne i funkcjonalne oraz standardy jakościowe będą takie same lub lepsze  </w:t>
      </w:r>
      <w:r w:rsidR="00223DE3">
        <w:rPr>
          <w:rFonts w:cs="Arial"/>
        </w:rPr>
        <w:t xml:space="preserve">                   </w:t>
      </w:r>
      <w:r w:rsidRPr="008F5F0E">
        <w:rPr>
          <w:rFonts w:cs="Arial"/>
        </w:rPr>
        <w:t>w stosunku do przedmiotu opisanego przez Zamawiającego</w:t>
      </w:r>
      <w:r w:rsidR="00834DBB">
        <w:rPr>
          <w:rFonts w:cs="Arial"/>
        </w:rPr>
        <w:t>:</w:t>
      </w:r>
    </w:p>
    <w:p w14:paraId="49BD3B10" w14:textId="42903882" w:rsidR="006B25DF" w:rsidRPr="00FD0310" w:rsidRDefault="00A026EE" w:rsidP="00E279B3">
      <w:pPr>
        <w:pStyle w:val="Akapitzlist"/>
        <w:widowControl w:val="0"/>
        <w:numPr>
          <w:ilvl w:val="0"/>
          <w:numId w:val="65"/>
        </w:numPr>
        <w:autoSpaceDE w:val="0"/>
        <w:autoSpaceDN w:val="0"/>
        <w:adjustRightInd w:val="0"/>
        <w:ind w:left="1134" w:hanging="283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M</w:t>
      </w:r>
      <w:r w:rsidR="006B25DF" w:rsidRPr="00FD0310">
        <w:rPr>
          <w:rFonts w:cs="Arial"/>
          <w:szCs w:val="20"/>
        </w:rPr>
        <w:t>ateriały powinny być wyprodukowane zgodnie z normami:</w:t>
      </w:r>
      <w:r w:rsidR="006B25DF" w:rsidRPr="00FD0310">
        <w:rPr>
          <w:szCs w:val="20"/>
        </w:rPr>
        <w:t xml:space="preserve"> ISO/IEC 24711:2007, </w:t>
      </w:r>
      <w:r w:rsidR="00615943">
        <w:rPr>
          <w:szCs w:val="20"/>
        </w:rPr>
        <w:t xml:space="preserve">                     </w:t>
      </w:r>
      <w:r w:rsidR="006B25DF" w:rsidRPr="00FD0310">
        <w:rPr>
          <w:szCs w:val="20"/>
        </w:rPr>
        <w:t>ISO/IEC 24712:2007</w:t>
      </w:r>
      <w:r w:rsidR="006B25DF" w:rsidRPr="00FD0310">
        <w:t>, ISO-9001:2008 oraz ISO-14001:2004</w:t>
      </w:r>
      <w:r w:rsidR="006B25DF" w:rsidRPr="00FD0310">
        <w:rPr>
          <w:rFonts w:cs="Arial"/>
          <w:szCs w:val="20"/>
        </w:rPr>
        <w:t xml:space="preserve"> (lub równoważnymi lub zastępującymi je normami)</w:t>
      </w:r>
      <w:r w:rsidR="00FB5B42">
        <w:rPr>
          <w:rFonts w:cs="Arial"/>
          <w:szCs w:val="20"/>
        </w:rPr>
        <w:t>;</w:t>
      </w:r>
    </w:p>
    <w:p w14:paraId="7B8FB791" w14:textId="046C8FF9" w:rsidR="006B25DF" w:rsidRPr="00FB5B42" w:rsidRDefault="006B25DF" w:rsidP="00E279B3">
      <w:pPr>
        <w:pStyle w:val="Akapitzlist"/>
        <w:widowControl w:val="0"/>
        <w:numPr>
          <w:ilvl w:val="0"/>
          <w:numId w:val="65"/>
        </w:numPr>
        <w:autoSpaceDE w:val="0"/>
        <w:autoSpaceDN w:val="0"/>
        <w:adjustRightInd w:val="0"/>
        <w:ind w:left="1134" w:hanging="283"/>
        <w:contextualSpacing w:val="0"/>
        <w:rPr>
          <w:rFonts w:cs="Arial"/>
          <w:szCs w:val="20"/>
        </w:rPr>
      </w:pPr>
      <w:r w:rsidRPr="00FB5B42">
        <w:rPr>
          <w:rFonts w:cs="Arial"/>
          <w:szCs w:val="20"/>
        </w:rPr>
        <w:t>Zamawiający dopuszcza złożenie oferty równoważnej na</w:t>
      </w:r>
      <w:r w:rsidRPr="003F6B8F">
        <w:rPr>
          <w:rFonts w:cs="Arial"/>
          <w:b/>
          <w:szCs w:val="20"/>
        </w:rPr>
        <w:t xml:space="preserve"> </w:t>
      </w:r>
      <w:r w:rsidRPr="00FB5B42">
        <w:rPr>
          <w:rFonts w:cs="Arial"/>
          <w:szCs w:val="20"/>
        </w:rPr>
        <w:t>materiały eksploatacyjne innych producentów niż wskazane powyżej, pod warunkiem dołączenia do każdego proponowanego materiału dokumentów, o których mowa w rozdz. III ust. 1 SWZ</w:t>
      </w:r>
      <w:r w:rsidR="00D076FB">
        <w:rPr>
          <w:rFonts w:cs="Arial"/>
          <w:szCs w:val="20"/>
        </w:rPr>
        <w:t>;</w:t>
      </w:r>
    </w:p>
    <w:p w14:paraId="53821EF3" w14:textId="482289C9" w:rsidR="006B25DF" w:rsidRDefault="00A026EE" w:rsidP="00E279B3">
      <w:pPr>
        <w:pStyle w:val="Akapitzlist"/>
        <w:widowControl w:val="0"/>
        <w:numPr>
          <w:ilvl w:val="0"/>
          <w:numId w:val="65"/>
        </w:numPr>
        <w:autoSpaceDE w:val="0"/>
        <w:autoSpaceDN w:val="0"/>
        <w:adjustRightInd w:val="0"/>
        <w:ind w:left="1134" w:hanging="283"/>
        <w:contextualSpacing w:val="0"/>
        <w:rPr>
          <w:rFonts w:cs="Arial"/>
        </w:rPr>
      </w:pPr>
      <w:r>
        <w:rPr>
          <w:rFonts w:cs="Arial"/>
        </w:rPr>
        <w:t>Z</w:t>
      </w:r>
      <w:r w:rsidR="006B25DF" w:rsidRPr="002E660F">
        <w:rPr>
          <w:rFonts w:cs="Arial"/>
        </w:rPr>
        <w:t xml:space="preserve">astosowanie </w:t>
      </w:r>
      <w:bookmarkStart w:id="12" w:name="_Hlk72414522"/>
      <w:r w:rsidR="006B25DF" w:rsidRPr="002E660F">
        <w:rPr>
          <w:rFonts w:cs="Arial"/>
        </w:rPr>
        <w:t>materiałów równoważnych nie może naruszać warunków gwarancji urządzeń, powodować utraty gwarancji oraz zastrzeżeń patentowych producentów urządzeń drukujących</w:t>
      </w:r>
      <w:r w:rsidR="00D076FB">
        <w:rPr>
          <w:rFonts w:cs="Arial"/>
        </w:rPr>
        <w:t>;</w:t>
      </w:r>
    </w:p>
    <w:p w14:paraId="1726BE49" w14:textId="77777777" w:rsidR="00E54B80" w:rsidRPr="002E660F" w:rsidRDefault="00E54B80" w:rsidP="00E279B3">
      <w:pPr>
        <w:pStyle w:val="Akapitzlist"/>
        <w:widowControl w:val="0"/>
        <w:autoSpaceDE w:val="0"/>
        <w:autoSpaceDN w:val="0"/>
        <w:adjustRightInd w:val="0"/>
        <w:ind w:left="1440" w:hanging="306"/>
        <w:contextualSpacing w:val="0"/>
        <w:rPr>
          <w:rFonts w:cs="Arial"/>
        </w:rPr>
      </w:pPr>
    </w:p>
    <w:p w14:paraId="544EB15D" w14:textId="3141EF2A" w:rsidR="000E1856" w:rsidRPr="00E54B80" w:rsidRDefault="00A026EE" w:rsidP="00040931">
      <w:pPr>
        <w:pStyle w:val="Akapitzlist"/>
        <w:widowControl w:val="0"/>
        <w:numPr>
          <w:ilvl w:val="0"/>
          <w:numId w:val="65"/>
        </w:numPr>
        <w:autoSpaceDE w:val="0"/>
        <w:autoSpaceDN w:val="0"/>
        <w:adjustRightInd w:val="0"/>
        <w:ind w:left="1134" w:hanging="283"/>
        <w:contextualSpacing w:val="0"/>
        <w:rPr>
          <w:rFonts w:cs="Arial"/>
        </w:rPr>
      </w:pPr>
      <w:r>
        <w:rPr>
          <w:rFonts w:cs="Arial"/>
        </w:rPr>
        <w:lastRenderedPageBreak/>
        <w:t>O</w:t>
      </w:r>
      <w:r w:rsidR="006B25DF" w:rsidRPr="002E660F">
        <w:rPr>
          <w:rFonts w:cs="Arial"/>
        </w:rPr>
        <w:t>ferowane materiały równoważne nie mogą ograniczać funkcji i możliwości urządzeń oraz zaniżać jakości wydruku w stosunku do materiałów oryginalnych. Wymagana jest również pełna kompatybilność z oprogramowaniem urządzeń: informowanie o liczbie wydrukowanych stron, poziomie zużycia t</w:t>
      </w:r>
      <w:r w:rsidR="00987CE4">
        <w:rPr>
          <w:rFonts w:cs="Arial"/>
        </w:rPr>
        <w:t>uszu</w:t>
      </w:r>
      <w:r w:rsidR="006B25DF" w:rsidRPr="002E660F">
        <w:rPr>
          <w:rFonts w:cs="Arial"/>
        </w:rPr>
        <w:t xml:space="preserve"> – jeśli urządzenie posiada takie możliwości</w:t>
      </w:r>
      <w:r>
        <w:rPr>
          <w:rFonts w:cs="Arial"/>
        </w:rPr>
        <w:t>;</w:t>
      </w:r>
    </w:p>
    <w:p w14:paraId="41EA320F" w14:textId="6E73C984" w:rsidR="006B25DF" w:rsidRPr="002E660F" w:rsidRDefault="006B25DF" w:rsidP="00040931">
      <w:pPr>
        <w:pStyle w:val="Akapitzlist"/>
        <w:widowControl w:val="0"/>
        <w:numPr>
          <w:ilvl w:val="0"/>
          <w:numId w:val="65"/>
        </w:numPr>
        <w:autoSpaceDE w:val="0"/>
        <w:autoSpaceDN w:val="0"/>
        <w:adjustRightInd w:val="0"/>
        <w:ind w:left="1134" w:hanging="283"/>
        <w:contextualSpacing w:val="0"/>
        <w:rPr>
          <w:rFonts w:cs="Arial"/>
        </w:rPr>
      </w:pPr>
      <w:r w:rsidRPr="002E660F">
        <w:rPr>
          <w:rFonts w:cs="Arial"/>
        </w:rPr>
        <w:t xml:space="preserve">W przypadku kiedy produkt oryginalny posiada wbudowany układ scalony, który monitoruje proces druku, produkt równoważny </w:t>
      </w:r>
      <w:r w:rsidR="00023D51">
        <w:rPr>
          <w:rFonts w:cs="Arial"/>
        </w:rPr>
        <w:t>po</w:t>
      </w:r>
      <w:r w:rsidRPr="002E660F">
        <w:rPr>
          <w:rFonts w:cs="Arial"/>
        </w:rPr>
        <w:t>winien posiadać analogiczny element działający w ten sam sposób</w:t>
      </w:r>
      <w:r w:rsidR="00023D51">
        <w:rPr>
          <w:rFonts w:cs="Arial"/>
        </w:rPr>
        <w:t>;</w:t>
      </w:r>
    </w:p>
    <w:p w14:paraId="508F44DC" w14:textId="1BD109E8" w:rsidR="006B25DF" w:rsidRPr="001B14FD" w:rsidRDefault="006B25DF" w:rsidP="00040931">
      <w:pPr>
        <w:pStyle w:val="Akapitzlist"/>
        <w:widowControl w:val="0"/>
        <w:numPr>
          <w:ilvl w:val="0"/>
          <w:numId w:val="65"/>
        </w:numPr>
        <w:autoSpaceDE w:val="0"/>
        <w:autoSpaceDN w:val="0"/>
        <w:adjustRightInd w:val="0"/>
        <w:ind w:left="1134" w:hanging="283"/>
        <w:contextualSpacing w:val="0"/>
        <w:rPr>
          <w:rFonts w:cs="Arial"/>
        </w:rPr>
      </w:pPr>
      <w:r w:rsidRPr="001B14FD">
        <w:rPr>
          <w:rFonts w:cs="Arial"/>
        </w:rPr>
        <w:t>Wykonawca ponosi odpowiedzialność za uszkodzenia urządzeń spowodowane używaniem zaoferowanych przez Wykonawcę materiałów</w:t>
      </w:r>
      <w:r w:rsidR="001B14FD" w:rsidRPr="001B14FD">
        <w:rPr>
          <w:rFonts w:cs="Arial"/>
        </w:rPr>
        <w:t>. Wykonawca zobowiązany będzie do przywrócenia stanu pierwotnego urządzeń drukujących Zamawiającego, które uległy uszkodzeniu ze względu na dostarczony i zastosowany wadliwy materiał eksploatacyjny</w:t>
      </w:r>
      <w:r w:rsidR="001B14FD">
        <w:rPr>
          <w:rFonts w:cs="Arial"/>
        </w:rPr>
        <w:t>.</w:t>
      </w:r>
    </w:p>
    <w:bookmarkEnd w:id="12"/>
    <w:p w14:paraId="78DF662D" w14:textId="7FE72BC4" w:rsidR="006B25DF" w:rsidRPr="006B25DF" w:rsidRDefault="00677F63" w:rsidP="00AD3495">
      <w:pPr>
        <w:pStyle w:val="Akapitzlist"/>
        <w:widowControl w:val="0"/>
        <w:numPr>
          <w:ilvl w:val="0"/>
          <w:numId w:val="59"/>
        </w:numPr>
        <w:ind w:left="851" w:hanging="284"/>
        <w:contextualSpacing w:val="0"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>
        <w:rPr>
          <w:rFonts w:eastAsia="Times New Roman" w:cs="Times New Roman"/>
          <w:bCs/>
          <w:iCs/>
          <w:szCs w:val="20"/>
          <w:lang w:eastAsia="x-none"/>
        </w:rPr>
        <w:t>W</w:t>
      </w:r>
      <w:r w:rsidR="006B25DF" w:rsidRPr="006B25DF">
        <w:rPr>
          <w:rFonts w:eastAsia="Times New Roman" w:cs="Times New Roman"/>
          <w:bCs/>
          <w:iCs/>
          <w:szCs w:val="20"/>
          <w:lang w:val="x-none" w:eastAsia="x-none"/>
        </w:rPr>
        <w:t xml:space="preserve">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="006B25DF" w:rsidRPr="006B25DF">
        <w:rPr>
          <w:rFonts w:eastAsia="Times New Roman" w:cs="Times New Roman"/>
          <w:bCs/>
          <w:iCs/>
          <w:szCs w:val="20"/>
          <w:lang w:eastAsia="x-none"/>
        </w:rPr>
        <w:t> </w:t>
      </w:r>
      <w:r w:rsidR="006B25DF" w:rsidRPr="006B25DF">
        <w:rPr>
          <w:rFonts w:eastAsia="Times New Roman" w:cs="Times New Roman"/>
          <w:bCs/>
          <w:iCs/>
          <w:szCs w:val="20"/>
          <w:lang w:val="x-none" w:eastAsia="x-none"/>
        </w:rPr>
        <w:t>wystarczająco precyzyjny i zrozumiały sposób i jest to uzasadnione specyfiką przedmiotu zamówienia. W</w:t>
      </w:r>
      <w:r w:rsidR="006B25DF" w:rsidRPr="006B25DF">
        <w:rPr>
          <w:rFonts w:eastAsia="Times New Roman" w:cs="Times New Roman"/>
          <w:bCs/>
          <w:iCs/>
          <w:szCs w:val="20"/>
          <w:lang w:eastAsia="x-none"/>
        </w:rPr>
        <w:t> </w:t>
      </w:r>
      <w:r w:rsidR="006B25DF" w:rsidRPr="006B25DF">
        <w:rPr>
          <w:rFonts w:eastAsia="Times New Roman" w:cs="Times New Roman"/>
          <w:bCs/>
          <w:iCs/>
          <w:szCs w:val="20"/>
          <w:lang w:val="x-none" w:eastAsia="x-none"/>
        </w:rPr>
        <w:t>takich sytuacjach ewentualne posłużenie się powyższymi wskazaniami, należy odczytywać z</w:t>
      </w:r>
      <w:r w:rsidR="006B25DF" w:rsidRPr="006B25DF">
        <w:rPr>
          <w:rFonts w:eastAsia="Times New Roman" w:cs="Times New Roman"/>
          <w:bCs/>
          <w:iCs/>
          <w:szCs w:val="20"/>
          <w:lang w:eastAsia="x-none"/>
        </w:rPr>
        <w:t> </w:t>
      </w:r>
      <w:r w:rsidR="006B25DF" w:rsidRPr="006B25DF">
        <w:rPr>
          <w:rFonts w:eastAsia="Times New Roman" w:cs="Times New Roman"/>
          <w:bCs/>
          <w:iCs/>
          <w:szCs w:val="20"/>
          <w:lang w:val="x-none" w:eastAsia="x-none"/>
        </w:rPr>
        <w:t xml:space="preserve">wyrazami „lub równoważny”. Zamawiający wskazuje w opisie przedmiotu zamówienia kryteria stosowane </w:t>
      </w:r>
      <w:r w:rsidR="001841BC">
        <w:rPr>
          <w:rFonts w:eastAsia="Times New Roman" w:cs="Times New Roman"/>
          <w:bCs/>
          <w:iCs/>
          <w:szCs w:val="20"/>
          <w:lang w:eastAsia="x-none"/>
        </w:rPr>
        <w:t xml:space="preserve">              </w:t>
      </w:r>
      <w:r w:rsidR="006B25DF" w:rsidRPr="006B25DF">
        <w:rPr>
          <w:rFonts w:eastAsia="Times New Roman" w:cs="Times New Roman"/>
          <w:bCs/>
          <w:iCs/>
          <w:szCs w:val="20"/>
          <w:lang w:val="x-none" w:eastAsia="x-none"/>
        </w:rPr>
        <w:t>w celu oceny równoważności;</w:t>
      </w:r>
    </w:p>
    <w:p w14:paraId="2D5FB46D" w14:textId="5942F204" w:rsidR="006B25DF" w:rsidRPr="006B25DF" w:rsidRDefault="001841BC" w:rsidP="00AD3495">
      <w:pPr>
        <w:pStyle w:val="Akapitzlist"/>
        <w:widowControl w:val="0"/>
        <w:numPr>
          <w:ilvl w:val="0"/>
          <w:numId w:val="59"/>
        </w:numPr>
        <w:ind w:left="851" w:hanging="284"/>
        <w:contextualSpacing w:val="0"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>
        <w:rPr>
          <w:rFonts w:eastAsia="Times New Roman" w:cs="Times New Roman"/>
          <w:bCs/>
          <w:iCs/>
          <w:szCs w:val="20"/>
          <w:lang w:eastAsia="x-none"/>
        </w:rPr>
        <w:t>W</w:t>
      </w:r>
      <w:r w:rsidR="006B25DF" w:rsidRPr="006B25DF">
        <w:rPr>
          <w:rFonts w:eastAsia="Times New Roman" w:cs="Times New Roman"/>
          <w:bCs/>
          <w:iCs/>
          <w:szCs w:val="20"/>
          <w:lang w:val="x-none" w:eastAsia="x-none"/>
        </w:rPr>
        <w:t xml:space="preserve"> sytuacjach, kiedy Zamawiający opisuje przedmiot zamówienia poprzez odniesienie się do norm, ocen technicznych, specyfikacji technicznych i systemów referencji technicznych, o</w:t>
      </w:r>
      <w:r w:rsidR="006B25DF" w:rsidRPr="006B25DF">
        <w:rPr>
          <w:rFonts w:eastAsia="Times New Roman" w:cs="Times New Roman"/>
          <w:bCs/>
          <w:iCs/>
          <w:szCs w:val="20"/>
          <w:lang w:eastAsia="x-none"/>
        </w:rPr>
        <w:t> </w:t>
      </w:r>
      <w:r w:rsidR="006B25DF" w:rsidRPr="006B25DF">
        <w:rPr>
          <w:rFonts w:eastAsia="Times New Roman" w:cs="Times New Roman"/>
          <w:bCs/>
          <w:iCs/>
          <w:szCs w:val="20"/>
          <w:lang w:val="x-none" w:eastAsia="x-none"/>
        </w:rPr>
        <w:t>których mowa w art. 101 ust. 1 pkt 2 i ust. 3</w:t>
      </w:r>
      <w:r w:rsidR="006B25DF" w:rsidRPr="006B25DF">
        <w:rPr>
          <w:rFonts w:eastAsia="Times New Roman" w:cs="Times New Roman"/>
          <w:bCs/>
          <w:iCs/>
          <w:szCs w:val="20"/>
          <w:lang w:eastAsia="x-none"/>
        </w:rPr>
        <w:t xml:space="preserve"> </w:t>
      </w:r>
      <w:r w:rsidR="006B25DF" w:rsidRPr="006B25DF">
        <w:rPr>
          <w:rFonts w:eastAsia="Times New Roman" w:cs="Times New Roman"/>
          <w:bCs/>
          <w:iCs/>
          <w:szCs w:val="20"/>
          <w:lang w:val="x-none" w:eastAsia="x-none"/>
        </w:rPr>
        <w:t xml:space="preserve">ustawy Pzp, dopuszcza rozwiązania równoważne opisywanym. Wykonawca, który powołuje się na rozwiązania równoważne, jest zobowiązany wykazać, </w:t>
      </w:r>
      <w:r>
        <w:rPr>
          <w:rFonts w:eastAsia="Times New Roman" w:cs="Times New Roman"/>
          <w:bCs/>
          <w:iCs/>
          <w:szCs w:val="20"/>
          <w:lang w:eastAsia="x-none"/>
        </w:rPr>
        <w:t xml:space="preserve">                      </w:t>
      </w:r>
      <w:r w:rsidR="006B25DF" w:rsidRPr="006B25DF">
        <w:rPr>
          <w:rFonts w:eastAsia="Times New Roman" w:cs="Times New Roman"/>
          <w:bCs/>
          <w:iCs/>
          <w:szCs w:val="20"/>
          <w:lang w:val="x-none" w:eastAsia="x-none"/>
        </w:rPr>
        <w:t xml:space="preserve">że oferowane przez niego rozwiązanie spełnia wymagania określone przez </w:t>
      </w:r>
      <w:r w:rsidR="006B25DF" w:rsidRPr="006B25DF">
        <w:rPr>
          <w:rFonts w:eastAsia="Times New Roman" w:cs="Times New Roman"/>
          <w:bCs/>
          <w:iCs/>
          <w:szCs w:val="20"/>
          <w:lang w:eastAsia="x-none"/>
        </w:rPr>
        <w:t>Z</w:t>
      </w:r>
      <w:r w:rsidR="006B25DF" w:rsidRPr="006B25DF">
        <w:rPr>
          <w:rFonts w:eastAsia="Times New Roman" w:cs="Times New Roman"/>
          <w:bCs/>
          <w:iCs/>
          <w:szCs w:val="20"/>
          <w:lang w:val="x-none" w:eastAsia="x-none"/>
        </w:rPr>
        <w:t>namawia</w:t>
      </w:r>
      <w:r w:rsidR="006B25DF" w:rsidRPr="006B25DF">
        <w:rPr>
          <w:rFonts w:eastAsia="Times New Roman" w:cs="Times New Roman"/>
          <w:bCs/>
          <w:iCs/>
          <w:szCs w:val="20"/>
          <w:lang w:eastAsia="x-none"/>
        </w:rPr>
        <w:t>ją</w:t>
      </w:r>
      <w:r w:rsidR="006B25DF" w:rsidRPr="006B25DF">
        <w:rPr>
          <w:rFonts w:eastAsia="Times New Roman" w:cs="Times New Roman"/>
          <w:bCs/>
          <w:iCs/>
          <w:szCs w:val="20"/>
          <w:lang w:val="x-none" w:eastAsia="x-none"/>
        </w:rPr>
        <w:t xml:space="preserve">cego. </w:t>
      </w:r>
      <w:r>
        <w:rPr>
          <w:rFonts w:eastAsia="Times New Roman" w:cs="Times New Roman"/>
          <w:bCs/>
          <w:iCs/>
          <w:szCs w:val="20"/>
          <w:lang w:eastAsia="x-none"/>
        </w:rPr>
        <w:t xml:space="preserve">                 </w:t>
      </w:r>
      <w:r w:rsidR="006B25DF" w:rsidRPr="006B25DF">
        <w:rPr>
          <w:rFonts w:eastAsia="Times New Roman" w:cs="Times New Roman"/>
          <w:bCs/>
          <w:iCs/>
          <w:szCs w:val="20"/>
          <w:lang w:val="x-none" w:eastAsia="x-none"/>
        </w:rPr>
        <w:t xml:space="preserve">W takim przypadku </w:t>
      </w:r>
      <w:r>
        <w:rPr>
          <w:rFonts w:eastAsia="Times New Roman" w:cs="Times New Roman"/>
          <w:bCs/>
          <w:iCs/>
          <w:szCs w:val="20"/>
          <w:lang w:eastAsia="x-none"/>
        </w:rPr>
        <w:t>W</w:t>
      </w:r>
      <w:r w:rsidR="006B25DF" w:rsidRPr="006B25DF">
        <w:rPr>
          <w:rFonts w:eastAsia="Times New Roman" w:cs="Times New Roman"/>
          <w:bCs/>
          <w:iCs/>
          <w:szCs w:val="20"/>
          <w:lang w:val="x-none" w:eastAsia="x-none"/>
        </w:rPr>
        <w:t xml:space="preserve">ykonawca załączy do oferty wykaz </w:t>
      </w:r>
      <w:r w:rsidR="006B25DF" w:rsidRPr="006B25DF">
        <w:rPr>
          <w:rFonts w:eastAsia="Times New Roman" w:cs="Times New Roman"/>
          <w:bCs/>
          <w:iCs/>
          <w:szCs w:val="20"/>
          <w:lang w:eastAsia="x-none"/>
        </w:rPr>
        <w:t xml:space="preserve">zaproponowanych </w:t>
      </w:r>
      <w:r w:rsidR="006B25DF" w:rsidRPr="006B25DF">
        <w:rPr>
          <w:rFonts w:eastAsia="Times New Roman" w:cs="Times New Roman"/>
          <w:bCs/>
          <w:iCs/>
          <w:szCs w:val="20"/>
          <w:lang w:val="x-none" w:eastAsia="x-none"/>
        </w:rPr>
        <w:t xml:space="preserve">rozwiązań równoważnych wraz z ich opisem lub </w:t>
      </w:r>
      <w:r w:rsidR="006B25DF" w:rsidRPr="006B25DF">
        <w:rPr>
          <w:rFonts w:eastAsia="Times New Roman" w:cs="Times New Roman"/>
          <w:bCs/>
          <w:iCs/>
          <w:szCs w:val="20"/>
          <w:lang w:eastAsia="x-none"/>
        </w:rPr>
        <w:t xml:space="preserve">wskazaniem właściwych </w:t>
      </w:r>
      <w:r w:rsidR="006B25DF" w:rsidRPr="006B25DF">
        <w:rPr>
          <w:rFonts w:eastAsia="Times New Roman" w:cs="Times New Roman"/>
          <w:bCs/>
          <w:iCs/>
          <w:szCs w:val="20"/>
          <w:lang w:val="x-none" w:eastAsia="x-none"/>
        </w:rPr>
        <w:t>norm;</w:t>
      </w:r>
    </w:p>
    <w:p w14:paraId="4B99789D" w14:textId="58C818C1" w:rsidR="006B25DF" w:rsidRPr="002E660F" w:rsidRDefault="006B25DF" w:rsidP="00AD3495">
      <w:pPr>
        <w:pStyle w:val="Akapitzlist"/>
        <w:widowControl w:val="0"/>
        <w:numPr>
          <w:ilvl w:val="0"/>
          <w:numId w:val="59"/>
        </w:numPr>
        <w:ind w:left="851" w:hanging="284"/>
        <w:contextualSpacing w:val="0"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2E660F">
        <w:rPr>
          <w:rFonts w:eastAsia="Times New Roman" w:cs="Times New Roman"/>
          <w:bCs/>
          <w:iCs/>
          <w:szCs w:val="20"/>
          <w:lang w:val="x-none" w:eastAsia="x-none"/>
        </w:rPr>
        <w:t xml:space="preserve">W przypadku zaoferowania materiałów równoważnych </w:t>
      </w:r>
      <w:r w:rsidRPr="002E660F">
        <w:rPr>
          <w:rFonts w:eastAsia="Times New Roman" w:cs="Times New Roman"/>
          <w:bCs/>
          <w:iCs/>
          <w:szCs w:val="20"/>
          <w:lang w:eastAsia="x-none"/>
        </w:rPr>
        <w:t>należy</w:t>
      </w:r>
      <w:r w:rsidRPr="002E660F">
        <w:rPr>
          <w:rFonts w:eastAsia="Times New Roman" w:cs="Times New Roman"/>
          <w:bCs/>
          <w:iCs/>
          <w:szCs w:val="20"/>
          <w:lang w:val="x-none" w:eastAsia="x-none"/>
        </w:rPr>
        <w:t xml:space="preserve"> złożyć, w odniesieniu do każdego materiału równoważnego listę urządzeń kompatybilnych wraz z podaniem typu i modelu urządzenia. </w:t>
      </w:r>
      <w:r w:rsidRPr="00A65F25">
        <w:rPr>
          <w:rFonts w:eastAsia="Times New Roman" w:cs="Times New Roman"/>
          <w:bCs/>
          <w:iCs/>
          <w:szCs w:val="20"/>
          <w:lang w:val="x-none" w:eastAsia="x-none"/>
        </w:rPr>
        <w:t>Zamawiający zaleca oznaczenie wyników testów badań wydajnościowych</w:t>
      </w:r>
      <w:r w:rsidRPr="002E660F">
        <w:rPr>
          <w:rFonts w:eastAsia="Times New Roman" w:cs="Times New Roman"/>
          <w:bCs/>
          <w:iCs/>
          <w:szCs w:val="20"/>
          <w:lang w:val="x-none" w:eastAsia="x-none"/>
        </w:rPr>
        <w:t xml:space="preserve"> poprzez opatrzenie ich numerami odpowiadającymi numerom pozycji z załącznika nr 2</w:t>
      </w:r>
      <w:r w:rsidRPr="002E660F">
        <w:rPr>
          <w:rFonts w:eastAsia="Times New Roman" w:cs="Times New Roman"/>
          <w:bCs/>
          <w:iCs/>
          <w:szCs w:val="20"/>
          <w:lang w:eastAsia="x-none"/>
        </w:rPr>
        <w:t xml:space="preserve"> </w:t>
      </w:r>
      <w:r w:rsidRPr="002E660F">
        <w:rPr>
          <w:rFonts w:eastAsia="Times New Roman" w:cs="Times New Roman"/>
          <w:bCs/>
          <w:iCs/>
          <w:szCs w:val="20"/>
          <w:lang w:val="x-none" w:eastAsia="x-none"/>
        </w:rPr>
        <w:t>do SWZ, których dotyczą (np. jeśli w pozycji nr 3 Załącznika 2 do SWZ, Wykonawca oferuje materiał równoważny, dołącza do oferty wynik testu badania wydajnościowego oznaczając go nr 3, czyli numerem odpowiadającym numerowi pozycji</w:t>
      </w:r>
      <w:r w:rsidR="000F3806">
        <w:rPr>
          <w:rFonts w:eastAsia="Times New Roman" w:cs="Times New Roman"/>
          <w:bCs/>
          <w:iCs/>
          <w:szCs w:val="20"/>
          <w:lang w:eastAsia="x-none"/>
        </w:rPr>
        <w:t>;</w:t>
      </w:r>
    </w:p>
    <w:p w14:paraId="59B4EFA8" w14:textId="3E95FFA7" w:rsidR="006B25DF" w:rsidRPr="006B25DF" w:rsidRDefault="000F3806" w:rsidP="00AD3495">
      <w:pPr>
        <w:pStyle w:val="Akapitzlist"/>
        <w:widowControl w:val="0"/>
        <w:numPr>
          <w:ilvl w:val="0"/>
          <w:numId w:val="59"/>
        </w:numPr>
        <w:ind w:left="851" w:hanging="284"/>
        <w:contextualSpacing w:val="0"/>
        <w:outlineLvl w:val="3"/>
        <w:rPr>
          <w:rFonts w:eastAsia="Calibri" w:cs="Times New Roman"/>
          <w:bCs/>
          <w:iCs/>
          <w:szCs w:val="20"/>
          <w:lang w:eastAsia="x-none"/>
        </w:rPr>
      </w:pPr>
      <w:r>
        <w:rPr>
          <w:rFonts w:eastAsia="Times New Roman" w:cs="Times New Roman"/>
          <w:bCs/>
          <w:iCs/>
          <w:szCs w:val="20"/>
          <w:lang w:eastAsia="x-none"/>
        </w:rPr>
        <w:t>W</w:t>
      </w:r>
      <w:r w:rsidR="006B25DF" w:rsidRPr="006B25DF">
        <w:rPr>
          <w:rFonts w:eastAsia="Calibri" w:cs="Times New Roman"/>
          <w:bCs/>
          <w:iCs/>
          <w:szCs w:val="20"/>
          <w:lang w:val="x-none" w:eastAsia="x-none"/>
        </w:rPr>
        <w:t xml:space="preserve"> przypadku, kiedy Zamawiający w opisie przedmiotu zamówienia określa dopuszczalny margines tolerancji lub minimalny zakres wymaganych parametrów technicznych – parametry oferowanych </w:t>
      </w:r>
      <w:r w:rsidR="006B25DF" w:rsidRPr="006B25DF">
        <w:rPr>
          <w:rFonts w:eastAsia="Calibri" w:cs="Times New Roman"/>
          <w:bCs/>
          <w:iCs/>
          <w:szCs w:val="20"/>
          <w:lang w:eastAsia="x-none"/>
        </w:rPr>
        <w:t>materiałów</w:t>
      </w:r>
      <w:r w:rsidR="006B25DF" w:rsidRPr="006B25DF">
        <w:rPr>
          <w:rFonts w:eastAsia="Calibri" w:cs="Times New Roman"/>
          <w:bCs/>
          <w:iCs/>
          <w:szCs w:val="20"/>
          <w:lang w:val="x-none" w:eastAsia="x-none"/>
        </w:rPr>
        <w:t xml:space="preserve"> </w:t>
      </w:r>
      <w:r w:rsidR="009F3985">
        <w:rPr>
          <w:rFonts w:eastAsia="Calibri" w:cs="Times New Roman"/>
          <w:bCs/>
          <w:iCs/>
          <w:szCs w:val="20"/>
          <w:lang w:eastAsia="x-none"/>
        </w:rPr>
        <w:t>po</w:t>
      </w:r>
      <w:r w:rsidR="006B25DF" w:rsidRPr="006B25DF">
        <w:rPr>
          <w:rFonts w:eastAsia="Calibri" w:cs="Times New Roman"/>
          <w:bCs/>
          <w:iCs/>
          <w:szCs w:val="20"/>
          <w:lang w:val="x-none" w:eastAsia="x-none"/>
        </w:rPr>
        <w:t>winny mieścić się we wskazanych przez Zamawiającego w</w:t>
      </w:r>
      <w:r w:rsidR="006B25DF" w:rsidRPr="006B25DF">
        <w:rPr>
          <w:rFonts w:eastAsia="Calibri" w:cs="Times New Roman"/>
          <w:bCs/>
          <w:iCs/>
          <w:szCs w:val="20"/>
          <w:lang w:eastAsia="x-none"/>
        </w:rPr>
        <w:t> </w:t>
      </w:r>
      <w:r w:rsidR="006B25DF" w:rsidRPr="006B25DF">
        <w:rPr>
          <w:rFonts w:eastAsia="Calibri" w:cs="Times New Roman"/>
          <w:bCs/>
          <w:iCs/>
          <w:szCs w:val="20"/>
          <w:lang w:val="x-none" w:eastAsia="x-none"/>
        </w:rPr>
        <w:t>załącznik</w:t>
      </w:r>
      <w:r w:rsidR="006B25DF" w:rsidRPr="006B25DF">
        <w:rPr>
          <w:rFonts w:eastAsia="Calibri" w:cs="Times New Roman"/>
          <w:bCs/>
          <w:iCs/>
          <w:szCs w:val="20"/>
          <w:lang w:eastAsia="x-none"/>
        </w:rPr>
        <w:t>u</w:t>
      </w:r>
      <w:r w:rsidR="006B25DF" w:rsidRPr="006B25DF">
        <w:rPr>
          <w:rFonts w:eastAsia="Calibri" w:cs="Times New Roman"/>
          <w:bCs/>
          <w:iCs/>
          <w:szCs w:val="20"/>
          <w:lang w:val="x-none" w:eastAsia="x-none"/>
        </w:rPr>
        <w:t xml:space="preserve"> nr 2 do SWZ</w:t>
      </w:r>
      <w:r w:rsidR="006B25DF" w:rsidRPr="006B25DF">
        <w:rPr>
          <w:rFonts w:eastAsia="Calibri" w:cs="Times New Roman"/>
          <w:bCs/>
          <w:iCs/>
          <w:szCs w:val="20"/>
          <w:lang w:eastAsia="x-none"/>
        </w:rPr>
        <w:t xml:space="preserve"> </w:t>
      </w:r>
      <w:r w:rsidR="006B25DF" w:rsidRPr="006B25DF">
        <w:rPr>
          <w:rFonts w:eastAsia="Calibri" w:cs="Times New Roman"/>
          <w:bCs/>
          <w:iCs/>
          <w:szCs w:val="20"/>
          <w:lang w:val="x-none" w:eastAsia="x-none"/>
        </w:rPr>
        <w:t>przedziałach i zakresach tolerancji pod rygorem odrzucenia oferty</w:t>
      </w:r>
      <w:r w:rsidR="009F3985">
        <w:rPr>
          <w:rFonts w:eastAsia="Calibri" w:cs="Times New Roman"/>
          <w:bCs/>
          <w:iCs/>
          <w:szCs w:val="20"/>
          <w:lang w:eastAsia="x-none"/>
        </w:rPr>
        <w:t>.</w:t>
      </w:r>
    </w:p>
    <w:p w14:paraId="24854E9F" w14:textId="52D882C1" w:rsidR="00FB3F58" w:rsidRPr="008F21F1" w:rsidRDefault="00FB3F58" w:rsidP="00791FB0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7BD2A4BE" w14:textId="08AB95BF" w:rsidR="009E363B" w:rsidRPr="008F21F1" w:rsidRDefault="009F79A4" w:rsidP="006B25DF">
      <w:pPr>
        <w:pStyle w:val="Nagwek3"/>
        <w:widowControl w:val="0"/>
        <w:numPr>
          <w:ilvl w:val="0"/>
          <w:numId w:val="48"/>
        </w:numPr>
        <w:tabs>
          <w:tab w:val="left" w:pos="1134"/>
        </w:tabs>
        <w:ind w:left="567" w:hanging="283"/>
        <w:contextualSpacing w:val="0"/>
        <w:rPr>
          <w:rFonts w:eastAsia="Calibri"/>
        </w:rPr>
      </w:pPr>
      <w:r w:rsidRPr="008F21F1">
        <w:rPr>
          <w:rFonts w:eastAsia="Calibri"/>
        </w:rPr>
        <w:t xml:space="preserve">Zamawiający </w:t>
      </w:r>
      <w:r w:rsidR="009810AC" w:rsidRPr="008F21F1">
        <w:rPr>
          <w:rFonts w:eastAsia="Calibri"/>
        </w:rPr>
        <w:t xml:space="preserve">nie </w:t>
      </w:r>
      <w:r w:rsidRPr="008F21F1">
        <w:rPr>
          <w:rFonts w:eastAsia="Calibri"/>
        </w:rPr>
        <w:t>dopuszcza możliwoś</w:t>
      </w:r>
      <w:r w:rsidR="009810AC" w:rsidRPr="008F21F1">
        <w:rPr>
          <w:rFonts w:eastAsia="Calibri"/>
        </w:rPr>
        <w:t>ci</w:t>
      </w:r>
      <w:r w:rsidRPr="008F21F1">
        <w:rPr>
          <w:rFonts w:eastAsia="Calibri"/>
        </w:rPr>
        <w:t xml:space="preserve"> składania ofert częściowych</w:t>
      </w:r>
      <w:r w:rsidR="00907BBE">
        <w:rPr>
          <w:rFonts w:eastAsia="Calibri"/>
        </w:rPr>
        <w:t>.</w:t>
      </w:r>
    </w:p>
    <w:p w14:paraId="1B4D7AD7" w14:textId="6BD0D040" w:rsidR="009810AC" w:rsidRPr="00E177C4" w:rsidRDefault="00C77CC6" w:rsidP="00366C6F">
      <w:pPr>
        <w:pStyle w:val="Akapitzlist"/>
        <w:widowControl w:val="0"/>
        <w:numPr>
          <w:ilvl w:val="0"/>
          <w:numId w:val="48"/>
        </w:numPr>
        <w:ind w:left="567" w:hanging="283"/>
        <w:contextualSpacing w:val="0"/>
        <w:rPr>
          <w:rFonts w:eastAsia="Times New Roman"/>
          <w:bCs/>
        </w:rPr>
      </w:pPr>
      <w:r w:rsidRPr="00E177C4">
        <w:rPr>
          <w:rFonts w:eastAsia="Times New Roman" w:cs="Times New Roman"/>
          <w:bCs/>
          <w:szCs w:val="26"/>
          <w:lang w:eastAsia="x-none"/>
        </w:rPr>
        <w:t xml:space="preserve">Jeżeli chodzi o przyczyny braku podziału zamówienia na części, należy wskazać, iż co do zasady mamy do czynienia z zamówieniem jednorodnym i niepodzielnym. </w:t>
      </w:r>
      <w:r w:rsidR="00254505" w:rsidRPr="00E177C4">
        <w:rPr>
          <w:rFonts w:eastAsia="Times New Roman"/>
          <w:bCs/>
        </w:rPr>
        <w:t xml:space="preserve">Trudno byłoby znaleźć obiektywne, techniczne, merytoryczne, organizacyjne i logistyczne uzasadnienie dla jeszcze większego podziału </w:t>
      </w:r>
      <w:r w:rsidR="00254505" w:rsidRPr="00E177C4">
        <w:rPr>
          <w:rFonts w:eastAsia="Times New Roman"/>
          <w:bCs/>
        </w:rPr>
        <w:lastRenderedPageBreak/>
        <w:t xml:space="preserve">tego rodzaju zamówienia na części. </w:t>
      </w:r>
      <w:r w:rsidR="00320304" w:rsidRPr="00E177C4">
        <w:rPr>
          <w:rFonts w:eastAsia="Times New Roman" w:cs="Times New Roman"/>
          <w:bCs/>
          <w:szCs w:val="26"/>
          <w:lang w:eastAsia="x-none"/>
        </w:rPr>
        <w:t>Przedmiotowe zamówienie stanowi część większego zamówienia udzielanego w częściach.</w:t>
      </w:r>
    </w:p>
    <w:p w14:paraId="4DCC4DC4" w14:textId="4C4570C7" w:rsidR="00BA7E0B" w:rsidRPr="008F21F1" w:rsidRDefault="00BA7E0B" w:rsidP="00366C6F">
      <w:pPr>
        <w:pStyle w:val="Nagwek4"/>
        <w:widowControl w:val="0"/>
        <w:numPr>
          <w:ilvl w:val="0"/>
          <w:numId w:val="48"/>
        </w:numPr>
        <w:tabs>
          <w:tab w:val="left" w:pos="567"/>
        </w:tabs>
        <w:spacing w:before="0" w:after="0"/>
        <w:ind w:left="567" w:hanging="283"/>
        <w:contextualSpacing w:val="0"/>
        <w:rPr>
          <w:rFonts w:eastAsia="Calibri"/>
          <w:lang w:val="pl-PL"/>
        </w:rPr>
      </w:pPr>
      <w:r w:rsidRPr="008F21F1">
        <w:rPr>
          <w:rFonts w:eastAsia="Calibri"/>
        </w:rPr>
        <w:t>Zamawiający nie przewiduje możliwości składania ofert wariantowych.</w:t>
      </w:r>
    </w:p>
    <w:p w14:paraId="2BFC9E9F" w14:textId="4B92532E" w:rsidR="00F91927" w:rsidRPr="00C24D5C" w:rsidRDefault="00AF7FE4" w:rsidP="00C24D5C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</w:t>
      </w:r>
      <w:r w:rsidR="00937498">
        <w:rPr>
          <w:color w:val="auto"/>
        </w:rPr>
        <w:t>:</w:t>
      </w:r>
      <w:r w:rsidR="00FD62F5" w:rsidRPr="008F21F1">
        <w:rPr>
          <w:color w:val="auto"/>
        </w:rPr>
        <w:t xml:space="preserve"> </w:t>
      </w:r>
      <w:r w:rsidR="00FD62F5" w:rsidRPr="00C24D5C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6718DFC8" w14:textId="22FC3672" w:rsidR="00F96862" w:rsidRPr="00F96862" w:rsidRDefault="00F0343C" w:rsidP="00366C6F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FF0000"/>
        </w:rPr>
      </w:pPr>
      <w:r w:rsidRPr="008F21F1">
        <w:rPr>
          <w:color w:val="auto"/>
        </w:rPr>
        <w:t>Termin realizacji zamówienia</w:t>
      </w:r>
      <w:r w:rsidR="0033507F">
        <w:rPr>
          <w:color w:val="auto"/>
        </w:rPr>
        <w:t>:</w:t>
      </w:r>
      <w:r w:rsidR="0033507F">
        <w:rPr>
          <w:b w:val="0"/>
          <w:color w:val="auto"/>
        </w:rPr>
        <w:t xml:space="preserve"> </w:t>
      </w:r>
      <w:r w:rsidR="0033507F" w:rsidRPr="0033507F">
        <w:rPr>
          <w:b w:val="0"/>
          <w:color w:val="auto"/>
        </w:rPr>
        <w:t xml:space="preserve">Zamówienie </w:t>
      </w:r>
      <w:r w:rsidR="0033507F" w:rsidRPr="00F85948">
        <w:rPr>
          <w:color w:val="auto"/>
        </w:rPr>
        <w:t xml:space="preserve">realizowane będzie </w:t>
      </w:r>
      <w:r w:rsidR="001406F9" w:rsidRPr="00F85948">
        <w:rPr>
          <w:color w:val="auto"/>
        </w:rPr>
        <w:t>sukcesywnie</w:t>
      </w:r>
      <w:r w:rsidR="001406F9" w:rsidRPr="001406F9">
        <w:rPr>
          <w:b w:val="0"/>
          <w:color w:val="auto"/>
        </w:rPr>
        <w:t xml:space="preserve"> przez okres </w:t>
      </w:r>
      <w:r w:rsidR="001406F9" w:rsidRPr="004B5ADC">
        <w:rPr>
          <w:color w:val="auto"/>
        </w:rPr>
        <w:t>12 miesięcy</w:t>
      </w:r>
      <w:r w:rsidR="001406F9" w:rsidRPr="00704CBC">
        <w:rPr>
          <w:b w:val="0"/>
          <w:color w:val="auto"/>
        </w:rPr>
        <w:t xml:space="preserve"> od daty zawarcia umowy</w:t>
      </w:r>
      <w:r w:rsidR="00CE582C">
        <w:rPr>
          <w:color w:val="auto"/>
        </w:rPr>
        <w:t>,</w:t>
      </w:r>
      <w:r w:rsidR="008F60C9">
        <w:rPr>
          <w:color w:val="auto"/>
        </w:rPr>
        <w:t xml:space="preserve"> </w:t>
      </w:r>
      <w:r w:rsidR="002F2476">
        <w:rPr>
          <w:b w:val="0"/>
          <w:color w:val="auto"/>
        </w:rPr>
        <w:t>partiami,</w:t>
      </w:r>
      <w:r w:rsidR="002F2476" w:rsidRPr="002F2476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2F2476" w:rsidRPr="002F2476">
        <w:rPr>
          <w:b w:val="0"/>
          <w:color w:val="auto"/>
        </w:rPr>
        <w:t>według bieżących potrzeb Zamawiającego</w:t>
      </w:r>
      <w:r w:rsidR="0033507F" w:rsidRPr="0033507F">
        <w:rPr>
          <w:b w:val="0"/>
          <w:color w:val="auto"/>
        </w:rPr>
        <w:t xml:space="preserve"> </w:t>
      </w:r>
      <w:r w:rsidR="0033507F" w:rsidRPr="00F85948">
        <w:rPr>
          <w:color w:val="auto"/>
        </w:rPr>
        <w:t>bądź do momentu wyczerpania</w:t>
      </w:r>
      <w:r w:rsidR="002F2476" w:rsidRPr="00F85948">
        <w:rPr>
          <w:color w:val="auto"/>
        </w:rPr>
        <w:t xml:space="preserve"> ilości materiałów</w:t>
      </w:r>
      <w:r w:rsidR="008F60C9" w:rsidRPr="00F85948">
        <w:rPr>
          <w:rFonts w:eastAsiaTheme="minorHAnsi" w:cstheme="minorBidi"/>
          <w:bCs w:val="0"/>
          <w:noProof w:val="0"/>
          <w:color w:val="auto"/>
          <w:szCs w:val="22"/>
          <w:lang w:eastAsia="en-US"/>
        </w:rPr>
        <w:t xml:space="preserve"> </w:t>
      </w:r>
      <w:r w:rsidR="008F60C9" w:rsidRPr="00F85948">
        <w:rPr>
          <w:b w:val="0"/>
          <w:color w:val="auto"/>
        </w:rPr>
        <w:t>przewidzianych</w:t>
      </w:r>
      <w:r w:rsidR="008F60C9" w:rsidRPr="008F60C9">
        <w:rPr>
          <w:b w:val="0"/>
          <w:color w:val="auto"/>
        </w:rPr>
        <w:t xml:space="preserve"> w Załączniku nr 2 do SWZ</w:t>
      </w:r>
      <w:r w:rsidR="006E5468">
        <w:rPr>
          <w:b w:val="0"/>
          <w:color w:val="auto"/>
        </w:rPr>
        <w:t>,</w:t>
      </w:r>
      <w:r w:rsidR="002F2476">
        <w:rPr>
          <w:b w:val="0"/>
          <w:color w:val="auto"/>
        </w:rPr>
        <w:t xml:space="preserve"> </w:t>
      </w:r>
      <w:r w:rsidR="0033507F" w:rsidRPr="0033507F">
        <w:rPr>
          <w:b w:val="0"/>
          <w:color w:val="auto"/>
        </w:rPr>
        <w:t xml:space="preserve">w zależności od tego, które </w:t>
      </w:r>
      <w:r w:rsidR="002F2476">
        <w:rPr>
          <w:b w:val="0"/>
          <w:color w:val="auto"/>
        </w:rPr>
        <w:t xml:space="preserve">        </w:t>
      </w:r>
      <w:r w:rsidR="0033507F" w:rsidRPr="0033507F">
        <w:rPr>
          <w:b w:val="0"/>
          <w:color w:val="auto"/>
        </w:rPr>
        <w:t>z wymienionych zdarzeń nastąpi wcześniej</w:t>
      </w:r>
      <w:r w:rsidR="00CE582C">
        <w:rPr>
          <w:b w:val="0"/>
          <w:color w:val="auto"/>
        </w:rPr>
        <w:t>;</w:t>
      </w:r>
    </w:p>
    <w:p w14:paraId="39D89AD5" w14:textId="56019E3C" w:rsidR="006B25DF" w:rsidRPr="00A9697E" w:rsidRDefault="0033507F" w:rsidP="00366C6F">
      <w:pPr>
        <w:pStyle w:val="Nagwek2"/>
        <w:keepNext w:val="0"/>
        <w:widowControl w:val="0"/>
        <w:numPr>
          <w:ilvl w:val="0"/>
          <w:numId w:val="64"/>
        </w:numPr>
        <w:spacing w:before="0" w:after="0" w:line="360" w:lineRule="auto"/>
        <w:ind w:left="567" w:hanging="283"/>
        <w:contextualSpacing w:val="0"/>
        <w:rPr>
          <w:b w:val="0"/>
          <w:color w:val="auto"/>
        </w:rPr>
      </w:pPr>
      <w:r w:rsidRPr="00A9697E">
        <w:rPr>
          <w:b w:val="0"/>
          <w:color w:val="auto"/>
        </w:rPr>
        <w:t xml:space="preserve">Poszczególne zamówienia (dostawy) realizowane będą w terminie </w:t>
      </w:r>
      <w:r w:rsidRPr="0079793F">
        <w:rPr>
          <w:color w:val="auto"/>
        </w:rPr>
        <w:t xml:space="preserve">do </w:t>
      </w:r>
      <w:r w:rsidR="00A9697E" w:rsidRPr="0079793F">
        <w:rPr>
          <w:color w:val="auto"/>
        </w:rPr>
        <w:t>5</w:t>
      </w:r>
      <w:r w:rsidRPr="0079793F">
        <w:rPr>
          <w:color w:val="auto"/>
        </w:rPr>
        <w:t xml:space="preserve"> dni</w:t>
      </w:r>
      <w:r w:rsidR="00A9697E" w:rsidRPr="0079793F">
        <w:rPr>
          <w:color w:val="auto"/>
        </w:rPr>
        <w:t xml:space="preserve"> roboczych</w:t>
      </w:r>
      <w:r w:rsidRPr="00A9697E">
        <w:rPr>
          <w:b w:val="0"/>
          <w:color w:val="auto"/>
        </w:rPr>
        <w:t xml:space="preserve"> </w:t>
      </w:r>
      <w:r w:rsidRPr="00F474CF">
        <w:rPr>
          <w:color w:val="auto"/>
        </w:rPr>
        <w:t>od daty otrzymania zamówienia</w:t>
      </w:r>
      <w:r w:rsidRPr="00A9697E">
        <w:rPr>
          <w:b w:val="0"/>
          <w:color w:val="auto"/>
        </w:rPr>
        <w:t xml:space="preserve"> wysłanego przez Zamawiającego</w:t>
      </w:r>
      <w:r w:rsidR="00CE582C">
        <w:rPr>
          <w:b w:val="0"/>
          <w:color w:val="auto"/>
        </w:rPr>
        <w:t>;</w:t>
      </w:r>
    </w:p>
    <w:p w14:paraId="14E749E2" w14:textId="4EB306FD" w:rsidR="0033507F" w:rsidRPr="0033507F" w:rsidRDefault="0033507F" w:rsidP="00366C6F">
      <w:pPr>
        <w:pStyle w:val="Nagwek2"/>
        <w:keepNext w:val="0"/>
        <w:widowControl w:val="0"/>
        <w:numPr>
          <w:ilvl w:val="0"/>
          <w:numId w:val="64"/>
        </w:numPr>
        <w:spacing w:before="0" w:after="0" w:line="360" w:lineRule="auto"/>
        <w:ind w:left="567" w:hanging="284"/>
        <w:contextualSpacing w:val="0"/>
        <w:rPr>
          <w:b w:val="0"/>
          <w:color w:val="auto"/>
        </w:rPr>
      </w:pPr>
      <w:r w:rsidRPr="00CE582C">
        <w:rPr>
          <w:color w:val="auto"/>
        </w:rPr>
        <w:t>Termin realizacji poszczególnych zamówień stanowi pozacenowe kryterium oceny ofert</w:t>
      </w:r>
      <w:r w:rsidR="00CE582C">
        <w:rPr>
          <w:b w:val="0"/>
          <w:color w:val="auto"/>
        </w:rPr>
        <w:t>.</w:t>
      </w:r>
      <w:r w:rsidRPr="0033507F">
        <w:rPr>
          <w:b w:val="0"/>
          <w:color w:val="auto"/>
        </w:rPr>
        <w:t xml:space="preserve"> </w:t>
      </w:r>
      <w:r w:rsidR="00F96862">
        <w:rPr>
          <w:b w:val="0"/>
          <w:color w:val="auto"/>
        </w:rPr>
        <w:t xml:space="preserve">                            </w:t>
      </w:r>
      <w:r w:rsidR="00CE582C">
        <w:rPr>
          <w:b w:val="0"/>
          <w:color w:val="auto"/>
        </w:rPr>
        <w:t>W</w:t>
      </w:r>
      <w:r w:rsidRPr="0033507F">
        <w:rPr>
          <w:b w:val="0"/>
          <w:color w:val="auto"/>
        </w:rPr>
        <w:t xml:space="preserve"> przypadku zaoferowania krótszego niż maksymalny dopuszczalny termin realizacji zamówienia, oferta Wykonawcy otrzyma dodatkowe punkty, zgodnie z zasadami określonymi w rozdz. XI</w:t>
      </w:r>
      <w:r w:rsidR="005C758D">
        <w:rPr>
          <w:b w:val="0"/>
          <w:color w:val="auto"/>
        </w:rPr>
        <w:t>II</w:t>
      </w:r>
      <w:r w:rsidRPr="0033507F">
        <w:rPr>
          <w:b w:val="0"/>
          <w:color w:val="auto"/>
        </w:rPr>
        <w:t xml:space="preserve"> niniejszej SWZ.</w:t>
      </w:r>
    </w:p>
    <w:p w14:paraId="21F074F7" w14:textId="74A32776" w:rsidR="00F0343C" w:rsidRPr="008F21F1" w:rsidRDefault="00B61F3A" w:rsidP="00366C6F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 xml:space="preserve">Warunki realizacji zamówienia, termin gwarancji, warunki płatności. </w:t>
      </w:r>
    </w:p>
    <w:p w14:paraId="157E8CFF" w14:textId="1CDA1AC2" w:rsidR="00102B94" w:rsidRPr="008F60C9" w:rsidRDefault="00F85C46" w:rsidP="00366C6F">
      <w:pPr>
        <w:pStyle w:val="Akapitzlist"/>
        <w:widowControl w:val="0"/>
        <w:numPr>
          <w:ilvl w:val="3"/>
          <w:numId w:val="44"/>
        </w:numPr>
        <w:ind w:left="567" w:hanging="283"/>
        <w:contextualSpacing w:val="0"/>
        <w:rPr>
          <w:rFonts w:eastAsia="Times New Roman" w:cs="Times New Roman"/>
          <w:b/>
          <w:bCs/>
          <w:szCs w:val="26"/>
          <w:lang w:eastAsia="x-none"/>
        </w:rPr>
      </w:pPr>
      <w:r w:rsidRPr="00DB45D6">
        <w:rPr>
          <w:b/>
        </w:rPr>
        <w:t>Adres dostawy</w:t>
      </w:r>
      <w:r w:rsidRPr="008F21F1">
        <w:t xml:space="preserve">: </w:t>
      </w:r>
      <w:r w:rsidR="008F60C9" w:rsidRPr="008F60C9">
        <w:rPr>
          <w:rFonts w:eastAsia="Times New Roman" w:cs="Times New Roman"/>
          <w:bCs/>
          <w:szCs w:val="26"/>
          <w:lang w:eastAsia="x-none"/>
        </w:rPr>
        <w:t xml:space="preserve">Uniwersytet Śląski w Katowicach, </w:t>
      </w:r>
      <w:r w:rsidR="008F60C9" w:rsidRPr="001F40B2">
        <w:rPr>
          <w:rFonts w:eastAsia="Times New Roman" w:cs="Times New Roman"/>
          <w:b/>
          <w:bCs/>
          <w:szCs w:val="26"/>
          <w:lang w:eastAsia="x-none"/>
        </w:rPr>
        <w:t>Magazyn Artykułów Różnych</w:t>
      </w:r>
      <w:r w:rsidR="008F60C9" w:rsidRPr="008F60C9">
        <w:rPr>
          <w:rFonts w:eastAsia="Times New Roman" w:cs="Times New Roman"/>
          <w:bCs/>
          <w:szCs w:val="26"/>
          <w:lang w:eastAsia="x-none"/>
        </w:rPr>
        <w:t xml:space="preserve">,  ul. Bankowa 11, </w:t>
      </w:r>
      <w:r w:rsidR="008F60C9">
        <w:rPr>
          <w:rFonts w:eastAsia="Times New Roman" w:cs="Times New Roman"/>
          <w:bCs/>
          <w:szCs w:val="26"/>
          <w:lang w:eastAsia="x-none"/>
        </w:rPr>
        <w:t xml:space="preserve">                </w:t>
      </w:r>
      <w:r w:rsidR="008F60C9" w:rsidRPr="008F60C9">
        <w:rPr>
          <w:rFonts w:eastAsia="Times New Roman" w:cs="Times New Roman"/>
          <w:bCs/>
          <w:szCs w:val="26"/>
          <w:lang w:eastAsia="x-none"/>
        </w:rPr>
        <w:t>40-007 Katowice.</w:t>
      </w:r>
    </w:p>
    <w:p w14:paraId="56E4DDBD" w14:textId="721E3D9E" w:rsidR="00934D7C" w:rsidRPr="00366C6F" w:rsidRDefault="00687243" w:rsidP="00366C6F">
      <w:pPr>
        <w:pStyle w:val="Akapitzlist"/>
        <w:widowControl w:val="0"/>
        <w:numPr>
          <w:ilvl w:val="3"/>
          <w:numId w:val="44"/>
        </w:numPr>
        <w:ind w:left="567" w:hanging="283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366C6F">
        <w:rPr>
          <w:b/>
        </w:rPr>
        <w:t>Wymagany minimalny termin gwarancji</w:t>
      </w:r>
      <w:r w:rsidR="006E7582" w:rsidRPr="006E7A2E">
        <w:t>:</w:t>
      </w:r>
      <w:r w:rsidR="00912E48" w:rsidRPr="006E7A2E">
        <w:t xml:space="preserve"> </w:t>
      </w:r>
      <w:r w:rsidR="008F60C9">
        <w:t>12</w:t>
      </w:r>
      <w:r w:rsidR="006E7A2E" w:rsidRPr="006E7A2E">
        <w:t xml:space="preserve"> m-c</w:t>
      </w:r>
      <w:r w:rsidR="008F60C9">
        <w:t>y</w:t>
      </w:r>
      <w:r w:rsidR="000237E9" w:rsidRPr="00366C6F">
        <w:rPr>
          <w:rFonts w:ascii="Arial" w:hAnsi="Arial" w:cs="Arial"/>
          <w:sz w:val="18"/>
          <w:szCs w:val="18"/>
          <w:lang w:eastAsia="pl-PL"/>
        </w:rPr>
        <w:t xml:space="preserve"> </w:t>
      </w:r>
      <w:r w:rsidR="000237E9" w:rsidRPr="000237E9">
        <w:t>od daty podpisania protokołu odbioru</w:t>
      </w:r>
      <w:r w:rsidR="006E7A2E" w:rsidRPr="006E7A2E">
        <w:t>.</w:t>
      </w:r>
      <w:r w:rsidR="00366C6F" w:rsidRPr="00366C6F">
        <w:t xml:space="preserve"> </w:t>
      </w:r>
      <w:r w:rsidR="00366C6F" w:rsidRPr="00366C6F">
        <w:rPr>
          <w:rFonts w:eastAsia="Times New Roman" w:cs="Times New Roman"/>
          <w:bCs/>
          <w:szCs w:val="26"/>
          <w:lang w:eastAsia="x-none"/>
        </w:rPr>
        <w:t>(termin ważności tuszu umieszczony przez producenta na opakowaniu)</w:t>
      </w:r>
    </w:p>
    <w:p w14:paraId="440E065C" w14:textId="6BE8D81A" w:rsidR="00F85C46" w:rsidRDefault="00F85C46" w:rsidP="00366C6F">
      <w:pPr>
        <w:pStyle w:val="Nagwek3"/>
        <w:widowControl w:val="0"/>
        <w:numPr>
          <w:ilvl w:val="3"/>
          <w:numId w:val="44"/>
        </w:numPr>
        <w:spacing w:after="120"/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43EEA720" w14:textId="41419DBE" w:rsidR="00CF6A08" w:rsidRPr="00455E04" w:rsidRDefault="00CF6A08" w:rsidP="00366C6F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t>Dodatkowe wymagania związane z realizacją zamówienia.</w:t>
      </w:r>
    </w:p>
    <w:p w14:paraId="22E0F8E8" w14:textId="01E2D3E3" w:rsidR="00586657" w:rsidRPr="00455E04" w:rsidRDefault="003B3416" w:rsidP="00366C6F">
      <w:pPr>
        <w:pStyle w:val="Nagwek3"/>
        <w:widowControl w:val="0"/>
        <w:numPr>
          <w:ilvl w:val="0"/>
          <w:numId w:val="37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366C6F">
      <w:pPr>
        <w:pStyle w:val="Nagwek3"/>
        <w:widowControl w:val="0"/>
        <w:numPr>
          <w:ilvl w:val="0"/>
          <w:numId w:val="37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>ykonawców, 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68B058F6" w14:textId="706F82BD" w:rsidR="00CF6A08" w:rsidRPr="00455E04" w:rsidRDefault="00586657" w:rsidP="00366C6F">
      <w:pPr>
        <w:pStyle w:val="Nagwek3"/>
        <w:widowControl w:val="0"/>
        <w:numPr>
          <w:ilvl w:val="0"/>
          <w:numId w:val="37"/>
        </w:numPr>
        <w:spacing w:after="120"/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44C735E2" w14:textId="77777777" w:rsidR="00FA6B17" w:rsidRPr="00455E04" w:rsidRDefault="00AF756E" w:rsidP="00366C6F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0D2ED1A9" w:rsidR="00AF756E" w:rsidRDefault="00FA6B17" w:rsidP="00F47B20">
      <w:pPr>
        <w:pStyle w:val="Nagwek2"/>
        <w:keepNext w:val="0"/>
        <w:widowControl w:val="0"/>
        <w:numPr>
          <w:ilvl w:val="0"/>
          <w:numId w:val="0"/>
        </w:numPr>
        <w:spacing w:before="0" w:after="48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39AE854C" w:rsidR="00364028" w:rsidRDefault="00593C25" w:rsidP="00366C6F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lastRenderedPageBreak/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7663A507" w14:textId="451D8F34" w:rsidR="00473D30" w:rsidRPr="005B5BDF" w:rsidRDefault="00473D30" w:rsidP="00295AAA">
      <w:pPr>
        <w:pStyle w:val="Nagwek1"/>
      </w:pPr>
      <w:bookmarkStart w:id="13" w:name="_Toc99351180"/>
      <w:r w:rsidRPr="005B5BDF">
        <w:t>Przedmiotowe środki dowodowe.</w:t>
      </w:r>
      <w:bookmarkEnd w:id="13"/>
    </w:p>
    <w:p w14:paraId="5A92E1C0" w14:textId="6D493C44" w:rsidR="00F65A36" w:rsidRDefault="00F65A36" w:rsidP="00735C9E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9B14E7">
        <w:rPr>
          <w:color w:val="auto"/>
        </w:rPr>
        <w:t>Wykaz</w:t>
      </w:r>
      <w:r w:rsidR="00C243F8" w:rsidRPr="009B14E7">
        <w:rPr>
          <w:color w:val="auto"/>
        </w:rPr>
        <w:t xml:space="preserve"> wymaganych</w:t>
      </w:r>
      <w:r w:rsidRPr="009B14E7">
        <w:rPr>
          <w:color w:val="auto"/>
        </w:rPr>
        <w:t xml:space="preserve"> przedmiotowych środków dow</w:t>
      </w:r>
      <w:r w:rsidR="00430D9E" w:rsidRPr="009B14E7">
        <w:rPr>
          <w:color w:val="auto"/>
        </w:rPr>
        <w:t>odowych</w:t>
      </w:r>
      <w:r w:rsidRPr="009B14E7">
        <w:rPr>
          <w:color w:val="auto"/>
        </w:rPr>
        <w:t>.</w:t>
      </w:r>
      <w:r w:rsidR="00FA6B17" w:rsidRPr="009B14E7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9B14E7">
        <w:rPr>
          <w:b w:val="0"/>
          <w:color w:val="auto"/>
        </w:rPr>
        <w:t xml:space="preserve">W </w:t>
      </w:r>
      <w:r w:rsidR="00FA6B17" w:rsidRPr="00455E04">
        <w:rPr>
          <w:b w:val="0"/>
          <w:color w:val="auto"/>
        </w:rPr>
        <w:t>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371"/>
        <w:gridCol w:w="5015"/>
        <w:gridCol w:w="4057"/>
      </w:tblGrid>
      <w:tr w:rsidR="00A47CC7" w:rsidRPr="00A47CC7" w14:paraId="567B66D9" w14:textId="77777777" w:rsidTr="00B51A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" w:type="dxa"/>
            <w:shd w:val="clear" w:color="auto" w:fill="323E4F" w:themeFill="text2" w:themeFillShade="BF"/>
            <w:vAlign w:val="center"/>
          </w:tcPr>
          <w:p w14:paraId="03B6CE01" w14:textId="70E104C1" w:rsidR="00A47CC7" w:rsidRPr="00A47CC7" w:rsidRDefault="00482348" w:rsidP="00A47CC7">
            <w:pPr>
              <w:ind w:left="0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    </w:t>
            </w:r>
            <w:r w:rsidR="00A47CC7" w:rsidRPr="00A47CC7">
              <w:rPr>
                <w:b w:val="0"/>
                <w:sz w:val="18"/>
                <w:szCs w:val="18"/>
              </w:rPr>
              <w:t>l.p.</w:t>
            </w:r>
          </w:p>
        </w:tc>
        <w:tc>
          <w:tcPr>
            <w:tcW w:w="5015" w:type="dxa"/>
            <w:shd w:val="clear" w:color="auto" w:fill="323E4F" w:themeFill="text2" w:themeFillShade="BF"/>
            <w:vAlign w:val="center"/>
          </w:tcPr>
          <w:p w14:paraId="1709A414" w14:textId="77777777" w:rsidR="00A47CC7" w:rsidRPr="00A47CC7" w:rsidRDefault="00A47CC7" w:rsidP="00A47CC7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A47CC7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4057" w:type="dxa"/>
            <w:shd w:val="clear" w:color="auto" w:fill="323E4F" w:themeFill="text2" w:themeFillShade="BF"/>
            <w:vAlign w:val="center"/>
          </w:tcPr>
          <w:p w14:paraId="67E85114" w14:textId="77777777" w:rsidR="00A47CC7" w:rsidRPr="00A47CC7" w:rsidRDefault="00A47CC7" w:rsidP="00A47CC7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A47CC7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A47CC7" w:rsidRPr="00A47CC7" w14:paraId="300D21CA" w14:textId="77777777" w:rsidTr="00DC6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" w:type="dxa"/>
            <w:shd w:val="clear" w:color="auto" w:fill="F2F2F2" w:themeFill="background1" w:themeFillShade="F2"/>
          </w:tcPr>
          <w:p w14:paraId="572572F7" w14:textId="77777777" w:rsidR="00A47CC7" w:rsidRPr="00A47CC7" w:rsidRDefault="00A47CC7" w:rsidP="00303535">
            <w:pPr>
              <w:spacing w:before="120"/>
              <w:ind w:left="0" w:firstLine="0"/>
              <w:rPr>
                <w:rFonts w:cs="Times New Roman"/>
                <w:b w:val="0"/>
                <w:sz w:val="18"/>
                <w:szCs w:val="18"/>
              </w:rPr>
            </w:pPr>
            <w:r w:rsidRPr="00A47CC7">
              <w:rPr>
                <w:rFonts w:cs="Times New Roman"/>
                <w:b w:val="0"/>
                <w:sz w:val="18"/>
                <w:szCs w:val="18"/>
              </w:rPr>
              <w:t>1)</w:t>
            </w:r>
          </w:p>
        </w:tc>
        <w:tc>
          <w:tcPr>
            <w:tcW w:w="5015" w:type="dxa"/>
            <w:shd w:val="clear" w:color="auto" w:fill="F2F2F2" w:themeFill="background1" w:themeFillShade="F2"/>
            <w:vAlign w:val="center"/>
          </w:tcPr>
          <w:p w14:paraId="52B8494B" w14:textId="342D63B1" w:rsidR="00A47CC7" w:rsidRPr="00835C69" w:rsidRDefault="00A47CC7" w:rsidP="00E24AE3">
            <w:pPr>
              <w:widowControl w:val="0"/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18"/>
                <w:szCs w:val="18"/>
              </w:rPr>
            </w:pPr>
            <w:r w:rsidRPr="00A47CC7">
              <w:rPr>
                <w:rFonts w:cs="Times New Roman"/>
                <w:sz w:val="18"/>
                <w:szCs w:val="18"/>
              </w:rPr>
              <w:t>W  przypadku zaoferowania materiałów równoważnych należy złożyć, w odniesieniu do każdego materiału równoważnego</w:t>
            </w:r>
            <w:r w:rsidRPr="00A47CC7">
              <w:rPr>
                <w:rFonts w:cs="Times New Roman"/>
                <w:b/>
                <w:sz w:val="18"/>
                <w:szCs w:val="18"/>
              </w:rPr>
              <w:t>: WYNIK TESTU BADAŃ WYDAJNOŚCIOWYCH – zaświadczenie wydane przez podmiot  niezależny  od producenta oferowanego materiału równoważnego</w:t>
            </w:r>
            <w:r w:rsidRPr="00A47CC7">
              <w:rPr>
                <w:rFonts w:cs="Times New Roman"/>
                <w:sz w:val="18"/>
                <w:szCs w:val="18"/>
              </w:rPr>
              <w:t xml:space="preserve">, (bez względu na miejsce przeprowadzenia badań), spełniające wszystkie wymogi norm: ISO/IEC 24711:2007, ISO/IEC 24712:2007 lub równoważnych lub zastępujących je norm, potwierdzające, że wydajność oferowanego materiału równoważnego jest taka sama lub wyższa w stosunku do oryginalnego, produkowanego przez producenta sprzętu, do którego jest przeznaczony. </w:t>
            </w:r>
          </w:p>
          <w:p w14:paraId="02E09ABE" w14:textId="77777777" w:rsidR="00A47CC7" w:rsidRPr="00A47CC7" w:rsidRDefault="00A47CC7" w:rsidP="00E24AE3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sz w:val="18"/>
                <w:szCs w:val="18"/>
              </w:rPr>
            </w:pPr>
            <w:r w:rsidRPr="00A47CC7">
              <w:rPr>
                <w:rFonts w:cs="Times New Roman"/>
                <w:sz w:val="18"/>
                <w:szCs w:val="18"/>
              </w:rPr>
              <w:t>Właściwymi normami, według których określona zostanie wydajność są stosowane przez producentów sprzętu normy:</w:t>
            </w:r>
          </w:p>
          <w:p w14:paraId="5145EB62" w14:textId="1B24A275" w:rsidR="00A47CC7" w:rsidRPr="00A47CC7" w:rsidRDefault="00A47CC7" w:rsidP="00E24AE3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sz w:val="18"/>
                <w:szCs w:val="18"/>
              </w:rPr>
            </w:pPr>
            <w:r w:rsidRPr="00A47CC7">
              <w:rPr>
                <w:rFonts w:cs="Times New Roman"/>
                <w:b/>
                <w:sz w:val="18"/>
                <w:szCs w:val="18"/>
              </w:rPr>
              <w:sym w:font="Symbol" w:char="F02D"/>
            </w:r>
            <w:r w:rsidRPr="00A47CC7">
              <w:rPr>
                <w:rFonts w:cs="Times New Roman"/>
                <w:b/>
                <w:sz w:val="18"/>
                <w:szCs w:val="18"/>
              </w:rPr>
              <w:t xml:space="preserve"> ISO/IEC 24711:2007 (lub równoważna lub zastępująca ją norma)</w:t>
            </w:r>
            <w:r w:rsidRPr="00A47CC7">
              <w:rPr>
                <w:rFonts w:cs="Times New Roman"/>
                <w:sz w:val="18"/>
                <w:szCs w:val="18"/>
              </w:rPr>
              <w:t xml:space="preserve"> – norma pomiarów wydajności dla kolorowych kartridży atramentowych oraz komponentów drukujących </w:t>
            </w:r>
            <w:r w:rsidR="00DB088A">
              <w:rPr>
                <w:rFonts w:cs="Times New Roman"/>
                <w:sz w:val="18"/>
                <w:szCs w:val="18"/>
              </w:rPr>
              <w:t xml:space="preserve">                  </w:t>
            </w:r>
            <w:r w:rsidRPr="00A47CC7">
              <w:rPr>
                <w:rFonts w:cs="Times New Roman"/>
                <w:sz w:val="18"/>
                <w:szCs w:val="18"/>
              </w:rPr>
              <w:t xml:space="preserve">w dowolnym urządzeniu wielofunkcyjnym, które posiada cyfrową ścieżkę wydruku (np.: wielofunkcyjne urządzenia posiadające komponenty drukarkowe); </w:t>
            </w:r>
          </w:p>
          <w:p w14:paraId="0263EA51" w14:textId="64077167" w:rsidR="00A47CC7" w:rsidRPr="00A47CC7" w:rsidRDefault="00A47CC7" w:rsidP="00E24AE3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sz w:val="18"/>
                <w:szCs w:val="18"/>
              </w:rPr>
            </w:pPr>
            <w:r w:rsidRPr="00A47CC7">
              <w:rPr>
                <w:rFonts w:cs="Times New Roman"/>
                <w:sz w:val="18"/>
                <w:szCs w:val="18"/>
              </w:rPr>
              <w:sym w:font="Symbol" w:char="F02D"/>
            </w:r>
            <w:r w:rsidRPr="00A47CC7">
              <w:rPr>
                <w:rFonts w:cs="Times New Roman"/>
                <w:sz w:val="18"/>
                <w:szCs w:val="18"/>
              </w:rPr>
              <w:t xml:space="preserve"> </w:t>
            </w:r>
            <w:r w:rsidRPr="00A47CC7">
              <w:rPr>
                <w:rFonts w:cs="Times New Roman"/>
                <w:b/>
                <w:sz w:val="18"/>
                <w:szCs w:val="18"/>
              </w:rPr>
              <w:t>ISO/IEC 24712:2007 (lub równoważna lub zastępująca ją norma)</w:t>
            </w:r>
            <w:r w:rsidRPr="00A47CC7">
              <w:rPr>
                <w:rFonts w:cs="Times New Roman"/>
                <w:sz w:val="18"/>
                <w:szCs w:val="18"/>
              </w:rPr>
              <w:t xml:space="preserve"> - norma pomiarów wydajności kartridży atramentowych lub tonerowych dla kolorowych drukarek atramentowych oraz komponentów drukujących </w:t>
            </w:r>
            <w:r w:rsidR="00DB088A">
              <w:rPr>
                <w:rFonts w:cs="Times New Roman"/>
                <w:sz w:val="18"/>
                <w:szCs w:val="18"/>
              </w:rPr>
              <w:t xml:space="preserve">                            </w:t>
            </w:r>
            <w:r w:rsidRPr="00A47CC7">
              <w:rPr>
                <w:rFonts w:cs="Times New Roman"/>
                <w:sz w:val="18"/>
                <w:szCs w:val="18"/>
              </w:rPr>
              <w:t>w dowolnym urządzeniu wielofunkcyjnym, które posiada cyfrową ścieżkę wydruku (np. wielofunkcyjne urządzenia posiadające komponenty drukarkowe).</w:t>
            </w:r>
          </w:p>
          <w:p w14:paraId="5F10D1DD" w14:textId="4854A8B6" w:rsidR="00A47CC7" w:rsidRPr="00A47CC7" w:rsidRDefault="00A47CC7" w:rsidP="00E24AE3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Cs/>
                <w:sz w:val="18"/>
                <w:szCs w:val="18"/>
                <w:u w:val="single"/>
              </w:rPr>
            </w:pPr>
            <w:r w:rsidRPr="00A47CC7">
              <w:rPr>
                <w:rFonts w:cs="Times New Roman"/>
                <w:sz w:val="18"/>
                <w:szCs w:val="18"/>
                <w:u w:val="single"/>
              </w:rPr>
              <w:t xml:space="preserve">Z treści zaświadczenia </w:t>
            </w:r>
            <w:r w:rsidR="00B5630C">
              <w:rPr>
                <w:rFonts w:cs="Times New Roman"/>
                <w:sz w:val="18"/>
                <w:szCs w:val="18"/>
                <w:u w:val="single"/>
              </w:rPr>
              <w:t>po</w:t>
            </w:r>
            <w:r w:rsidRPr="00A47CC7">
              <w:rPr>
                <w:rFonts w:cs="Times New Roman"/>
                <w:sz w:val="18"/>
                <w:szCs w:val="18"/>
                <w:u w:val="single"/>
              </w:rPr>
              <w:t>winna wynikać co najmniej:</w:t>
            </w:r>
          </w:p>
          <w:p w14:paraId="234FF9E2" w14:textId="77777777" w:rsidR="00A47CC7" w:rsidRPr="00A47CC7" w:rsidRDefault="00A47CC7" w:rsidP="00E24AE3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bCs/>
                <w:sz w:val="18"/>
                <w:szCs w:val="18"/>
              </w:rPr>
            </w:pPr>
            <w:r w:rsidRPr="00A47CC7">
              <w:rPr>
                <w:rFonts w:cs="Times New Roman"/>
                <w:sz w:val="18"/>
                <w:szCs w:val="18"/>
              </w:rPr>
              <w:t xml:space="preserve">- </w:t>
            </w:r>
            <w:r w:rsidRPr="00A47CC7">
              <w:rPr>
                <w:rFonts w:cs="Times New Roman"/>
                <w:b/>
                <w:sz w:val="18"/>
                <w:szCs w:val="18"/>
              </w:rPr>
              <w:t>wydajność oferowanego materiału,</w:t>
            </w:r>
          </w:p>
          <w:p w14:paraId="4E320A79" w14:textId="77777777" w:rsidR="00A47CC7" w:rsidRPr="00A47CC7" w:rsidRDefault="00A47CC7" w:rsidP="00E24AE3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bCs/>
                <w:sz w:val="18"/>
                <w:szCs w:val="18"/>
              </w:rPr>
            </w:pPr>
            <w:r w:rsidRPr="00A47CC7">
              <w:rPr>
                <w:rFonts w:cs="Times New Roman"/>
                <w:b/>
                <w:sz w:val="18"/>
                <w:szCs w:val="18"/>
              </w:rPr>
              <w:t xml:space="preserve">- fakt przeprowadzenia testu w oparciu o wskazane normy, </w:t>
            </w:r>
          </w:p>
          <w:p w14:paraId="70C8A6B6" w14:textId="77777777" w:rsidR="00A47CC7" w:rsidRPr="00A47CC7" w:rsidRDefault="00A47CC7" w:rsidP="00E24AE3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sz w:val="18"/>
                <w:szCs w:val="18"/>
              </w:rPr>
            </w:pPr>
            <w:r w:rsidRPr="00A47CC7">
              <w:rPr>
                <w:rFonts w:cs="Times New Roman"/>
                <w:b/>
                <w:sz w:val="18"/>
                <w:szCs w:val="18"/>
              </w:rPr>
              <w:t>- dane podmiotu wykonującego badania.</w:t>
            </w:r>
          </w:p>
          <w:p w14:paraId="5CB07D64" w14:textId="77777777" w:rsidR="00A47CC7" w:rsidRPr="00A47CC7" w:rsidRDefault="00A47CC7" w:rsidP="00E24AE3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  <w:bCs/>
                <w:sz w:val="18"/>
                <w:szCs w:val="18"/>
              </w:rPr>
            </w:pPr>
            <w:r w:rsidRPr="00A47CC7">
              <w:rPr>
                <w:rFonts w:cs="Times New Roman"/>
                <w:sz w:val="18"/>
                <w:szCs w:val="18"/>
              </w:rPr>
              <w:lastRenderedPageBreak/>
              <w:t>W przypadku zaoferowania przez Wykonawcę innych niż wskazanych w SWZ oryginalnych materiałów wyprodukowanych przez producenta danego urządzenia, ale o innym symbolu, nie jest wymagane załączenie do oferty wyników testów z badań wydajnościowych.</w:t>
            </w:r>
          </w:p>
        </w:tc>
        <w:tc>
          <w:tcPr>
            <w:tcW w:w="4057" w:type="dxa"/>
            <w:shd w:val="clear" w:color="auto" w:fill="F2F2F2" w:themeFill="background1" w:themeFillShade="F2"/>
          </w:tcPr>
          <w:p w14:paraId="79C7471B" w14:textId="172973A5" w:rsidR="00A47CC7" w:rsidRPr="00A47CC7" w:rsidRDefault="00A47CC7" w:rsidP="000E61D1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47CC7">
              <w:rPr>
                <w:sz w:val="18"/>
                <w:szCs w:val="18"/>
              </w:rPr>
              <w:lastRenderedPageBreak/>
              <w:t>Oryginał w formie elektronicznej,</w:t>
            </w:r>
            <w:r w:rsidR="00E24AE3">
              <w:rPr>
                <w:sz w:val="18"/>
                <w:szCs w:val="18"/>
              </w:rPr>
              <w:t xml:space="preserve"> </w:t>
            </w:r>
            <w:r w:rsidRPr="00A47CC7">
              <w:rPr>
                <w:sz w:val="18"/>
                <w:szCs w:val="18"/>
              </w:rPr>
              <w:t xml:space="preserve">w postaci elektronicznej z podpisem zaufanym lub osobistym albo kopia w postaci cyfrowego odwzorowania dokumentu papierowego, poświadczona za zgodność z oryginałem przez wykonawcę podpisem kwalifikowanym, zaufanym lub osobistym lub przez notariusza podpisem kwalifikowanym. </w:t>
            </w:r>
          </w:p>
          <w:p w14:paraId="6CFFD895" w14:textId="77777777" w:rsidR="00A47CC7" w:rsidRPr="00A47CC7" w:rsidRDefault="00A47CC7" w:rsidP="00A47CC7">
            <w:pPr>
              <w:spacing w:line="360" w:lineRule="auto"/>
              <w:ind w:left="34" w:right="172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2E24BD0C" w14:textId="77777777" w:rsidR="00A47CC7" w:rsidRPr="00A47CC7" w:rsidRDefault="00A47CC7" w:rsidP="00AF5114">
            <w:pPr>
              <w:shd w:val="clear" w:color="auto" w:fill="DEEAF6" w:themeFill="accent5" w:themeFillTint="33"/>
              <w:spacing w:line="360" w:lineRule="auto"/>
              <w:ind w:left="34" w:right="172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47CC7">
              <w:rPr>
                <w:b/>
                <w:sz w:val="18"/>
                <w:szCs w:val="18"/>
              </w:rPr>
              <w:t>Dokument składany wraz z ofertą.</w:t>
            </w:r>
          </w:p>
          <w:p w14:paraId="52754502" w14:textId="77777777" w:rsidR="00A47CC7" w:rsidRPr="00A47CC7" w:rsidRDefault="00A47CC7" w:rsidP="00A47CC7">
            <w:pPr>
              <w:spacing w:line="360" w:lineRule="auto"/>
              <w:ind w:left="34" w:right="172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</w:p>
          <w:p w14:paraId="77E53AC9" w14:textId="193C9039" w:rsidR="00A47CC7" w:rsidRPr="00A47CC7" w:rsidRDefault="00A47CC7" w:rsidP="00A47CC7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47CC7">
              <w:rPr>
                <w:b/>
                <w:sz w:val="18"/>
                <w:szCs w:val="18"/>
              </w:rPr>
              <w:t>Zamawiający zaleca oznaczenie wyników testów badań wydajnościowych</w:t>
            </w:r>
            <w:r w:rsidRPr="00A47CC7">
              <w:rPr>
                <w:sz w:val="18"/>
                <w:szCs w:val="18"/>
              </w:rPr>
              <w:t xml:space="preserve"> poprzez opatrzenie ich numerami odpowiadającymi numerom pozycji z załącznika nr 2 do SWZ, których dotyczą (np. jeśli w pozycji nr 3 Załącznika 2 do SWZ, Wykonawca oferuje materiał równoważny, dołącza do oferty wynik testu badania wydajnościowego oznaczając go nr 3, czyli numerem odpowiadającym numerowi pozycji)</w:t>
            </w:r>
            <w:r w:rsidR="00830273">
              <w:rPr>
                <w:sz w:val="18"/>
                <w:szCs w:val="18"/>
              </w:rPr>
              <w:t>.</w:t>
            </w:r>
          </w:p>
        </w:tc>
      </w:tr>
      <w:tr w:rsidR="00A47CC7" w:rsidRPr="00A47CC7" w14:paraId="430A32D8" w14:textId="77777777" w:rsidTr="00B51AC5">
        <w:trPr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" w:type="dxa"/>
            <w:shd w:val="clear" w:color="auto" w:fill="F2F2F2" w:themeFill="background1" w:themeFillShade="F2"/>
          </w:tcPr>
          <w:p w14:paraId="02D60419" w14:textId="77777777" w:rsidR="00A47CC7" w:rsidRPr="00A47CC7" w:rsidRDefault="00A47CC7" w:rsidP="00DB088A">
            <w:pPr>
              <w:spacing w:before="120"/>
              <w:ind w:left="0" w:firstLine="0"/>
              <w:rPr>
                <w:b w:val="0"/>
                <w:sz w:val="18"/>
                <w:szCs w:val="18"/>
              </w:rPr>
            </w:pPr>
            <w:r w:rsidRPr="00A47CC7">
              <w:rPr>
                <w:b w:val="0"/>
                <w:sz w:val="18"/>
                <w:szCs w:val="18"/>
              </w:rPr>
              <w:t>2)</w:t>
            </w:r>
          </w:p>
        </w:tc>
        <w:tc>
          <w:tcPr>
            <w:tcW w:w="5015" w:type="dxa"/>
            <w:shd w:val="clear" w:color="auto" w:fill="F2F2F2" w:themeFill="background1" w:themeFillShade="F2"/>
          </w:tcPr>
          <w:p w14:paraId="6767F205" w14:textId="77777777" w:rsidR="00A47CC7" w:rsidRPr="00A47CC7" w:rsidRDefault="00A47CC7" w:rsidP="00B51AC5">
            <w:pPr>
              <w:widowControl w:val="0"/>
              <w:spacing w:before="24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A47CC7">
              <w:rPr>
                <w:sz w:val="18"/>
                <w:szCs w:val="18"/>
              </w:rPr>
              <w:t>W  przypadku zaoferowania materiałów równoważnych należy złożyć, w odniesieniu do każdego materiału równoważnego:</w:t>
            </w:r>
          </w:p>
          <w:p w14:paraId="19BC99D7" w14:textId="77777777" w:rsidR="00A47CC7" w:rsidRPr="00A47CC7" w:rsidRDefault="00A47CC7" w:rsidP="00FE0EC9">
            <w:pPr>
              <w:widowControl w:val="0"/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47CC7">
              <w:rPr>
                <w:sz w:val="18"/>
                <w:szCs w:val="18"/>
              </w:rPr>
              <w:t xml:space="preserve">- </w:t>
            </w:r>
            <w:r w:rsidRPr="00A47CC7">
              <w:rPr>
                <w:b/>
                <w:sz w:val="18"/>
                <w:szCs w:val="18"/>
              </w:rPr>
              <w:t>OŚWIADCZENIE O URZĄDZENIACH KOMPATYBILNYCH</w:t>
            </w:r>
            <w:r w:rsidRPr="00A47CC7">
              <w:rPr>
                <w:sz w:val="18"/>
                <w:szCs w:val="18"/>
              </w:rPr>
              <w:t xml:space="preserve"> wraz z podaniem  typu i modelu urządzenia (niewymagane, jeżeli lista urządzeń znajduje się w badaniu wydajnościowym).</w:t>
            </w:r>
          </w:p>
        </w:tc>
        <w:tc>
          <w:tcPr>
            <w:tcW w:w="4057" w:type="dxa"/>
            <w:shd w:val="clear" w:color="auto" w:fill="F2F2F2" w:themeFill="background1" w:themeFillShade="F2"/>
          </w:tcPr>
          <w:p w14:paraId="3F3FDBB7" w14:textId="13F4CEE3" w:rsidR="00A47CC7" w:rsidRPr="00A47CC7" w:rsidRDefault="00A47CC7" w:rsidP="00B51AC5">
            <w:pPr>
              <w:widowControl w:val="0"/>
              <w:spacing w:before="24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47CC7">
              <w:rPr>
                <w:sz w:val="18"/>
                <w:szCs w:val="18"/>
              </w:rPr>
              <w:t xml:space="preserve">Oryginał w formie elektronicznej, </w:t>
            </w:r>
            <w:r w:rsidR="00DB088A">
              <w:rPr>
                <w:sz w:val="18"/>
                <w:szCs w:val="18"/>
              </w:rPr>
              <w:t xml:space="preserve">                     </w:t>
            </w:r>
            <w:r w:rsidRPr="00A47CC7">
              <w:rPr>
                <w:sz w:val="18"/>
                <w:szCs w:val="18"/>
              </w:rPr>
              <w:t xml:space="preserve">w postaci elektronicznej z podpisem zaufanym lub osobistym albo kopia w postaci cyfrowego odwzorowania dokumentu papierowego, poświadczona za zgodność z oryginałem przez wykonawcę podpisem kwalifikowanym, zaufanym lub osobistym lub przez notariusza podpisem kwalifikowanym. </w:t>
            </w:r>
          </w:p>
          <w:p w14:paraId="0FDCC656" w14:textId="133F5613" w:rsidR="00A47CC7" w:rsidRPr="00A47CC7" w:rsidRDefault="00A47CC7" w:rsidP="00A33DAB">
            <w:pPr>
              <w:widowControl w:val="0"/>
              <w:shd w:val="clear" w:color="auto" w:fill="DEEAF6" w:themeFill="accent5" w:themeFillTint="33"/>
              <w:spacing w:before="120" w:line="360" w:lineRule="auto"/>
              <w:ind w:left="0" w:right="172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47CC7">
              <w:rPr>
                <w:b/>
                <w:sz w:val="18"/>
                <w:szCs w:val="18"/>
              </w:rPr>
              <w:t>Dokument składany wraz z ofertą.</w:t>
            </w:r>
          </w:p>
          <w:p w14:paraId="431CCDA6" w14:textId="76419E7C" w:rsidR="00B51AC5" w:rsidRPr="00A47CC7" w:rsidRDefault="00A47CC7" w:rsidP="00B51AC5">
            <w:pPr>
              <w:widowControl w:val="0"/>
              <w:spacing w:before="12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47CC7">
              <w:rPr>
                <w:sz w:val="18"/>
                <w:szCs w:val="18"/>
              </w:rPr>
              <w:t xml:space="preserve">Wystarczające będzie złożenie oświadczenia </w:t>
            </w:r>
            <w:r w:rsidR="000D0F7B">
              <w:rPr>
                <w:sz w:val="18"/>
                <w:szCs w:val="18"/>
              </w:rPr>
              <w:t xml:space="preserve">            </w:t>
            </w:r>
            <w:r w:rsidRPr="00A47CC7">
              <w:rPr>
                <w:sz w:val="18"/>
                <w:szCs w:val="18"/>
              </w:rPr>
              <w:t>w kolumnie 1</w:t>
            </w:r>
            <w:r w:rsidR="00F30847">
              <w:rPr>
                <w:sz w:val="18"/>
                <w:szCs w:val="18"/>
              </w:rPr>
              <w:t>1</w:t>
            </w:r>
            <w:r w:rsidR="00211519">
              <w:rPr>
                <w:sz w:val="18"/>
                <w:szCs w:val="18"/>
              </w:rPr>
              <w:t xml:space="preserve"> </w:t>
            </w:r>
            <w:r w:rsidR="000D0F7B" w:rsidRPr="000D0F7B">
              <w:rPr>
                <w:bCs/>
                <w:iCs/>
                <w:sz w:val="18"/>
                <w:szCs w:val="18"/>
              </w:rPr>
              <w:t>Szczegółow</w:t>
            </w:r>
            <w:r w:rsidR="000D0F7B">
              <w:rPr>
                <w:bCs/>
                <w:iCs/>
                <w:sz w:val="18"/>
                <w:szCs w:val="18"/>
              </w:rPr>
              <w:t>ego</w:t>
            </w:r>
            <w:r w:rsidR="000D0F7B" w:rsidRPr="000D0F7B">
              <w:rPr>
                <w:bCs/>
                <w:iCs/>
                <w:sz w:val="18"/>
                <w:szCs w:val="18"/>
              </w:rPr>
              <w:t xml:space="preserve"> opis</w:t>
            </w:r>
            <w:r w:rsidR="000D0F7B">
              <w:rPr>
                <w:bCs/>
                <w:iCs/>
                <w:sz w:val="18"/>
                <w:szCs w:val="18"/>
              </w:rPr>
              <w:t>u</w:t>
            </w:r>
            <w:r w:rsidR="000D0F7B" w:rsidRPr="000D0F7B">
              <w:rPr>
                <w:bCs/>
                <w:iCs/>
                <w:sz w:val="18"/>
                <w:szCs w:val="18"/>
              </w:rPr>
              <w:t xml:space="preserve"> przedmiotu zamówienia - Formularz asortymentowo - cenowy</w:t>
            </w:r>
            <w:r w:rsidR="000D0F7B" w:rsidRPr="000D0F7B">
              <w:rPr>
                <w:sz w:val="18"/>
                <w:szCs w:val="18"/>
              </w:rPr>
              <w:t xml:space="preserve"> </w:t>
            </w:r>
            <w:r w:rsidRPr="00A47CC7">
              <w:rPr>
                <w:sz w:val="18"/>
                <w:szCs w:val="18"/>
              </w:rPr>
              <w:t>(załącznik nr 2 do SWZ)</w:t>
            </w:r>
          </w:p>
        </w:tc>
      </w:tr>
    </w:tbl>
    <w:p w14:paraId="597931CF" w14:textId="1BF9A744" w:rsidR="00F65A36" w:rsidRPr="00455E04" w:rsidRDefault="00C25340" w:rsidP="006E7D37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455E04">
        <w:rPr>
          <w:color w:val="auto"/>
        </w:rPr>
        <w:t>Informacja dotycząca usunięcia braków formalnych</w:t>
      </w:r>
      <w:r w:rsidR="001A0C84" w:rsidRPr="00455E04">
        <w:rPr>
          <w:color w:val="auto"/>
        </w:rPr>
        <w:t xml:space="preserve"> w</w:t>
      </w:r>
      <w:r w:rsidRPr="00455E04">
        <w:rPr>
          <w:color w:val="auto"/>
        </w:rPr>
        <w:t xml:space="preserve"> przedmiotowych środk</w:t>
      </w:r>
      <w:r w:rsidR="001A0C84" w:rsidRPr="00455E04">
        <w:rPr>
          <w:color w:val="auto"/>
        </w:rPr>
        <w:t>ach</w:t>
      </w:r>
      <w:r w:rsidRPr="00455E04">
        <w:rPr>
          <w:color w:val="auto"/>
        </w:rPr>
        <w:t xml:space="preserve"> dowodowych.</w:t>
      </w:r>
    </w:p>
    <w:p w14:paraId="14D7CE7A" w14:textId="0804C598" w:rsidR="00C25340" w:rsidRPr="00455E04" w:rsidRDefault="00C325E2" w:rsidP="00B51AC5">
      <w:pPr>
        <w:widowControl w:val="0"/>
        <w:spacing w:after="240"/>
        <w:ind w:left="284" w:firstLine="0"/>
        <w:rPr>
          <w:lang w:eastAsia="x-none"/>
        </w:rPr>
      </w:pPr>
      <w:r w:rsidRPr="00455E04">
        <w:rPr>
          <w:lang w:eastAsia="x-none"/>
        </w:rPr>
        <w:t>Zgodnie z przepisem</w:t>
      </w:r>
      <w:r w:rsidR="001A0C84" w:rsidRPr="00455E04">
        <w:rPr>
          <w:lang w:eastAsia="x-none"/>
        </w:rPr>
        <w:t xml:space="preserve"> art. 107 ust. 2</w:t>
      </w:r>
      <w:r w:rsidR="0080582A" w:rsidRPr="00455E04">
        <w:rPr>
          <w:lang w:eastAsia="x-none"/>
        </w:rPr>
        <w:t xml:space="preserve"> </w:t>
      </w:r>
      <w:r w:rsidR="001A0C84" w:rsidRPr="00455E04">
        <w:rPr>
          <w:lang w:eastAsia="x-none"/>
        </w:rPr>
        <w:t xml:space="preserve">ustawy Pzp, jeżeli </w:t>
      </w:r>
      <w:r w:rsidR="00C66027" w:rsidRPr="00455E04">
        <w:rPr>
          <w:lang w:eastAsia="x-none"/>
        </w:rPr>
        <w:t>W</w:t>
      </w:r>
      <w:r w:rsidR="001A0C84" w:rsidRPr="00455E04">
        <w:rPr>
          <w:lang w:eastAsia="x-none"/>
        </w:rPr>
        <w:t>ykonawca nie złoży wraz z</w:t>
      </w:r>
      <w:r w:rsidR="0080582A" w:rsidRPr="00455E04">
        <w:rPr>
          <w:lang w:eastAsia="x-none"/>
        </w:rPr>
        <w:t> </w:t>
      </w:r>
      <w:r w:rsidR="001A0C84" w:rsidRPr="00455E04">
        <w:rPr>
          <w:lang w:eastAsia="x-none"/>
        </w:rPr>
        <w:t>ofertą przedmiotowych środków dowodowych</w:t>
      </w:r>
      <w:r w:rsidR="00A953DB" w:rsidRPr="00455E04">
        <w:rPr>
          <w:lang w:eastAsia="x-none"/>
        </w:rPr>
        <w:t xml:space="preserve"> lub złożone przedmiotowe środki dowodowe będą niekompletne, Zamawiający wezwie </w:t>
      </w:r>
      <w:r w:rsidR="00C66027" w:rsidRPr="00455E04">
        <w:rPr>
          <w:lang w:eastAsia="x-none"/>
        </w:rPr>
        <w:t>W</w:t>
      </w:r>
      <w:r w:rsidR="00A953DB" w:rsidRPr="00455E04">
        <w:rPr>
          <w:lang w:eastAsia="x-none"/>
        </w:rPr>
        <w:t>ykonawcę do ich złożenia lub uzupełnienia w wyznaczonym terminie.</w:t>
      </w:r>
    </w:p>
    <w:p w14:paraId="4B4B5760" w14:textId="121B349F" w:rsidR="00F85C46" w:rsidRPr="005B5BDF" w:rsidRDefault="00F85C46" w:rsidP="006E7D37">
      <w:pPr>
        <w:pStyle w:val="Nagwek1"/>
        <w:widowControl w:val="0"/>
        <w:spacing w:before="0"/>
      </w:pPr>
      <w:bookmarkStart w:id="14" w:name="_Toc375581634"/>
      <w:bookmarkStart w:id="15" w:name="_Toc375581816"/>
      <w:bookmarkStart w:id="16" w:name="_Toc375582133"/>
      <w:bookmarkStart w:id="17" w:name="_Toc99351181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4"/>
      <w:bookmarkEnd w:id="15"/>
      <w:bookmarkEnd w:id="16"/>
      <w:bookmarkEnd w:id="17"/>
      <w:r w:rsidRPr="005B5BDF">
        <w:t xml:space="preserve"> </w:t>
      </w:r>
    </w:p>
    <w:p w14:paraId="55FBF8D8" w14:textId="71704F0F" w:rsidR="00A867B7" w:rsidRPr="00F82100" w:rsidRDefault="00A62353" w:rsidP="006E7D37">
      <w:pPr>
        <w:pStyle w:val="Nagwek2"/>
        <w:keepNext w:val="0"/>
        <w:widowControl w:val="0"/>
        <w:numPr>
          <w:ilvl w:val="0"/>
          <w:numId w:val="10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15B2A796" w:rsidR="00A867B7" w:rsidRPr="00F82100" w:rsidRDefault="006A1250" w:rsidP="006E7D37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6E7D37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4AAB1C4B" w:rsidR="008267E1" w:rsidRPr="00E31C47" w:rsidRDefault="007E1600" w:rsidP="006E7D37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5BBD6384" w:rsidR="007E1600" w:rsidRPr="00F82100" w:rsidRDefault="009E4BCB" w:rsidP="006E7D37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77777777" w:rsidR="00636F3B" w:rsidRDefault="009E4BCB" w:rsidP="006E7D37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77777777" w:rsidR="00636F3B" w:rsidRDefault="009E4BCB" w:rsidP="00DA40A5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lastRenderedPageBreak/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3F7DAEF" w14:textId="77777777" w:rsidR="00BC70A8" w:rsidRDefault="00BC70A8" w:rsidP="00B51AC5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7A97290E" w14:textId="000C2A2F" w:rsidR="00BC70A8" w:rsidRPr="00DB088A" w:rsidRDefault="00BC70A8" w:rsidP="00B51AC5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088A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 w:rsidRPr="00DB088A">
        <w:rPr>
          <w:rFonts w:eastAsia="Calibri"/>
          <w:color w:val="auto"/>
        </w:rPr>
        <w:t xml:space="preserve">                          </w:t>
      </w:r>
      <w:r w:rsidRPr="00DB088A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9C2DE7" w:rsidRPr="00DB088A">
        <w:rPr>
          <w:rFonts w:eastAsia="Calibri"/>
          <w:color w:val="auto"/>
        </w:rPr>
        <w:t>t.j. Dz.U. 2023 poz. 1497 ze zm</w:t>
      </w:r>
      <w:r w:rsidR="00AF41DF" w:rsidRPr="00DB088A">
        <w:rPr>
          <w:rFonts w:eastAsia="Calibri"/>
          <w:color w:val="auto"/>
        </w:rPr>
        <w:t>.</w:t>
      </w:r>
      <w:r w:rsidRPr="00DB088A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6E02282A" w:rsidR="00BC70A8" w:rsidRPr="00F82100" w:rsidRDefault="00BC70A8" w:rsidP="00B51AC5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>nr 269/2014 z dnia 17 marca 2014 r. w sprawie środków ograniczających w odniesieniu do działań 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4DAAC66A" w14:textId="2D85F60F" w:rsidR="0079075B" w:rsidRPr="0079075B" w:rsidRDefault="00BC70A8" w:rsidP="00E739CC">
      <w:pPr>
        <w:widowControl w:val="0"/>
        <w:numPr>
          <w:ilvl w:val="0"/>
          <w:numId w:val="9"/>
        </w:numPr>
        <w:ind w:left="567" w:hanging="283"/>
        <w:outlineLvl w:val="2"/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              z dnia 1 marca 2018 r. o przeciwdziałaniu praniu pieniędzy oraz finansowaniu terroryzmu (</w:t>
      </w:r>
      <w:r w:rsidR="0079075B" w:rsidRPr="0079075B">
        <w:rPr>
          <w:lang w:val="x-none"/>
        </w:rPr>
        <w:t>Dz.U. 2023 poz. 1124 ze zm.</w:t>
      </w:r>
      <w:r w:rsidR="0079075B" w:rsidRPr="0079075B">
        <w:rPr>
          <w:rFonts w:eastAsia="Times New Roman" w:cs="Times New Roman"/>
          <w:szCs w:val="20"/>
          <w:lang w:eastAsia="x-none"/>
        </w:rPr>
        <w:t xml:space="preserve"> </w:t>
      </w:r>
      <w:r w:rsidR="0079075B" w:rsidRPr="0079075B">
        <w:t>jest osoba wymieniona w wykazach określonych w rozporządzeniu 765/2006 i 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5528B8C5" w:rsidR="00BC70A8" w:rsidRPr="00F82100" w:rsidRDefault="00BC70A8" w:rsidP="00E739CC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05A97F50" w:rsidR="00BC70A8" w:rsidRDefault="00BC70A8" w:rsidP="00B51AC5">
      <w:pPr>
        <w:pStyle w:val="Akapitzlist"/>
        <w:widowControl w:val="0"/>
        <w:numPr>
          <w:ilvl w:val="0"/>
          <w:numId w:val="52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285D9E8" w14:textId="74057BCF" w:rsidR="00BF3F03" w:rsidRDefault="00BF3F03" w:rsidP="00BF3F03">
      <w:pPr>
        <w:pStyle w:val="Akapitzlist"/>
        <w:widowControl w:val="0"/>
        <w:ind w:left="284" w:firstLine="0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</w:p>
    <w:p w14:paraId="116BAEEF" w14:textId="77777777" w:rsidR="00BF3F03" w:rsidRPr="00F82100" w:rsidRDefault="00BF3F03" w:rsidP="00BF3F03">
      <w:pPr>
        <w:pStyle w:val="Akapitzlist"/>
        <w:widowControl w:val="0"/>
        <w:ind w:left="284" w:firstLine="0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</w:p>
    <w:p w14:paraId="57B9E664" w14:textId="3E3D6EE0" w:rsidR="00BC70A8" w:rsidRDefault="00BC70A8" w:rsidP="00B51AC5">
      <w:pPr>
        <w:pStyle w:val="Akapitzlist"/>
        <w:widowControl w:val="0"/>
        <w:numPr>
          <w:ilvl w:val="0"/>
          <w:numId w:val="52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lastRenderedPageBreak/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78EF96A9" w:rsidR="00BC70A8" w:rsidRPr="00F82100" w:rsidRDefault="00BC70A8" w:rsidP="00F7514B">
      <w:pPr>
        <w:pStyle w:val="Akapitzlist"/>
        <w:widowControl w:val="0"/>
        <w:numPr>
          <w:ilvl w:val="0"/>
          <w:numId w:val="52"/>
        </w:numPr>
        <w:spacing w:after="240"/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Pr="00F82100" w:rsidRDefault="007F1CC6" w:rsidP="00295AAA">
      <w:pPr>
        <w:pStyle w:val="Nagwek1"/>
      </w:pPr>
      <w:bookmarkStart w:id="18" w:name="_Toc99351182"/>
      <w:r w:rsidRPr="00F82100">
        <w:t>Kwalifikacja podmiotowa – warunki udziału w postępowaniu.</w:t>
      </w:r>
      <w:bookmarkEnd w:id="18"/>
    </w:p>
    <w:p w14:paraId="0C7E6B52" w14:textId="1EF1651C" w:rsidR="00F85C46" w:rsidRDefault="00473D30" w:rsidP="00F7514B">
      <w:pPr>
        <w:widowControl w:val="0"/>
        <w:tabs>
          <w:tab w:val="left" w:pos="142"/>
          <w:tab w:val="left" w:pos="284"/>
        </w:tabs>
        <w:spacing w:before="120" w:after="360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F82100" w:rsidRDefault="0001285D" w:rsidP="00295AAA">
      <w:pPr>
        <w:pStyle w:val="Nagwek1"/>
        <w:rPr>
          <w:noProof/>
        </w:rPr>
      </w:pPr>
      <w:bookmarkStart w:id="19" w:name="_Toc99351183"/>
      <w:r w:rsidRPr="00F82100">
        <w:rPr>
          <w:noProof/>
        </w:rPr>
        <w:t>Oświadczenie wstępne, podmiotowe środki dowodowe oraz inne dokumenty.</w:t>
      </w:r>
      <w:bookmarkEnd w:id="19"/>
    </w:p>
    <w:p w14:paraId="064F06D8" w14:textId="77777777" w:rsidR="003950B2" w:rsidRPr="00F82100" w:rsidRDefault="00B376D2" w:rsidP="00DB088A">
      <w:pPr>
        <w:pStyle w:val="Nagwek2"/>
        <w:keepNext w:val="0"/>
        <w:widowControl w:val="0"/>
        <w:numPr>
          <w:ilvl w:val="0"/>
          <w:numId w:val="13"/>
        </w:numPr>
        <w:spacing w:before="100" w:beforeAutospacing="1" w:after="0" w:line="360" w:lineRule="auto"/>
        <w:ind w:left="284" w:hanging="283"/>
        <w:contextualSpacing w:val="0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20C64DE2" w:rsidR="00B376D2" w:rsidRPr="00F82100" w:rsidRDefault="006364F5" w:rsidP="00DB088A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F82100">
        <w:rPr>
          <w:b w:val="0"/>
          <w:color w:val="auto"/>
        </w:rPr>
        <w:t>Zgodnie z dyspozycją przepisu art. 273 ust. 2 ustawy Pzp, 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F82100" w:rsidRPr="00F82100" w14:paraId="45CD50A3" w14:textId="77777777" w:rsidTr="00D461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F7514B">
            <w:pPr>
              <w:widowControl w:val="0"/>
              <w:spacing w:before="120"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F7514B">
            <w:pPr>
              <w:widowControl w:val="0"/>
              <w:spacing w:before="120" w:after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D461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0BA3CEF6" w:rsidR="00C8603B" w:rsidRPr="00F82100" w:rsidRDefault="00C8603B" w:rsidP="002472CE">
            <w:pPr>
              <w:widowControl w:val="0"/>
              <w:spacing w:before="120"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 xml:space="preserve">postępowania, </w:t>
            </w:r>
            <w:r w:rsidR="00635695" w:rsidRPr="00EC2D4E">
              <w:rPr>
                <w:sz w:val="18"/>
                <w:szCs w:val="18"/>
              </w:rPr>
              <w:t>zgodnie z treścią załącznika nr 1B do SWZ.</w:t>
            </w:r>
          </w:p>
        </w:tc>
        <w:tc>
          <w:tcPr>
            <w:tcW w:w="4677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6A9C9B" w14:textId="3BACE7F4" w:rsidR="00C8603B" w:rsidRPr="00F82100" w:rsidRDefault="00A604EE" w:rsidP="00F7514B">
            <w:pPr>
              <w:widowControl w:val="0"/>
              <w:spacing w:before="240" w:after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442FB599" w:rsidR="00021C6F" w:rsidRPr="00F82100" w:rsidRDefault="00197CBB" w:rsidP="00F7514B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3B3DB0FB" w14:textId="37F0C1DF" w:rsidR="00B376D2" w:rsidRDefault="00C035AE" w:rsidP="00DB088A">
      <w:pPr>
        <w:pStyle w:val="Nagwek3"/>
        <w:widowControl w:val="0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971C05" w:rsidRDefault="0001285D" w:rsidP="00F7514B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t xml:space="preserve">Pozostałe dokumenty wymagane przez Zamawiającego. </w:t>
      </w:r>
    </w:p>
    <w:p w14:paraId="5483FE64" w14:textId="5F416076" w:rsidR="00815FE8" w:rsidRPr="00971C05" w:rsidRDefault="00815FE8" w:rsidP="00DB088A">
      <w:pPr>
        <w:pStyle w:val="Nagwek3"/>
        <w:widowControl w:val="0"/>
        <w:numPr>
          <w:ilvl w:val="0"/>
          <w:numId w:val="43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815FE8" w:rsidRPr="005B5BDF" w14:paraId="03503A71" w14:textId="77777777" w:rsidTr="00D461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DB088A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DB088A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D461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</w:tcPr>
          <w:p w14:paraId="37DEA7F0" w14:textId="70606D84" w:rsidR="00815FE8" w:rsidRPr="00FC0CC1" w:rsidRDefault="000D4319" w:rsidP="00311413">
            <w:pPr>
              <w:pStyle w:val="Akapitzlist"/>
              <w:widowControl w:val="0"/>
              <w:tabs>
                <w:tab w:val="left" w:pos="426"/>
              </w:tabs>
              <w:spacing w:before="120" w:line="360" w:lineRule="auto"/>
              <w:ind w:left="0" w:firstLine="0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</w:t>
            </w:r>
            <w:r w:rsidR="00F7514B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i 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7DEAECA" w14:textId="77777777" w:rsidR="00E90078" w:rsidRPr="00DB088A" w:rsidRDefault="00971C05" w:rsidP="00311413">
            <w:pPr>
              <w:widowControl w:val="0"/>
              <w:tabs>
                <w:tab w:val="left" w:pos="426"/>
              </w:tabs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5B4CE1"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</w:t>
            </w:r>
            <w:r w:rsidR="00830D3F"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</w:p>
          <w:p w14:paraId="73DD8671" w14:textId="0FC15B77" w:rsidR="00815FE8" w:rsidRPr="000C43E5" w:rsidRDefault="00F10A86" w:rsidP="00DB088A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</w:pPr>
            <w:r w:rsidRPr="000C43E5"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4D8E0F0F" w:rsidR="00912E09" w:rsidRPr="00971C05" w:rsidRDefault="00815FE8" w:rsidP="000046EA">
      <w:pPr>
        <w:pStyle w:val="Nagwek3"/>
        <w:widowControl w:val="0"/>
        <w:numPr>
          <w:ilvl w:val="0"/>
          <w:numId w:val="43"/>
        </w:numPr>
        <w:spacing w:before="180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lastRenderedPageBreak/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395"/>
        <w:gridCol w:w="4677"/>
      </w:tblGrid>
      <w:tr w:rsidR="009C40E6" w:rsidRPr="005B5BDF" w14:paraId="2691B713" w14:textId="77777777" w:rsidTr="00B918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DB088A">
            <w:pPr>
              <w:pStyle w:val="Nagwek3"/>
              <w:widowControl w:val="0"/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DB088A">
            <w:pPr>
              <w:pStyle w:val="Nagwek3"/>
              <w:widowControl w:val="0"/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B918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shd w:val="clear" w:color="auto" w:fill="F2F2F2" w:themeFill="background1" w:themeFillShade="F2"/>
          </w:tcPr>
          <w:p w14:paraId="3F291E75" w14:textId="423AD2C6" w:rsidR="009C40E6" w:rsidRPr="005B5BDF" w:rsidRDefault="009C40E6" w:rsidP="00102284">
            <w:pPr>
              <w:pStyle w:val="Nagwek3"/>
              <w:widowControl w:val="0"/>
              <w:spacing w:before="120"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677" w:type="dxa"/>
            <w:shd w:val="clear" w:color="auto" w:fill="F2F2F2" w:themeFill="background1" w:themeFillShade="F2"/>
          </w:tcPr>
          <w:p w14:paraId="27823E14" w14:textId="534409DD" w:rsidR="009C40E6" w:rsidRPr="005B5BDF" w:rsidRDefault="00802322" w:rsidP="000046EA">
            <w:pPr>
              <w:pStyle w:val="Nagwek3"/>
              <w:widowControl w:val="0"/>
              <w:spacing w:before="120" w:line="360" w:lineRule="auto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  <w:r w:rsidRPr="00B70F12">
              <w:rPr>
                <w:rFonts w:eastAsia="Calibri"/>
                <w:b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971C05" w:rsidRDefault="002B20B0" w:rsidP="00391452">
      <w:pPr>
        <w:pStyle w:val="Nagwek2"/>
        <w:spacing w:before="240" w:after="0" w:line="360" w:lineRule="auto"/>
        <w:ind w:left="284" w:hanging="284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t xml:space="preserve">Forma dokumentów. </w:t>
      </w:r>
    </w:p>
    <w:p w14:paraId="67162656" w14:textId="1D109003" w:rsidR="00F85C46" w:rsidRPr="005B5BDF" w:rsidRDefault="00F85C46" w:rsidP="00C40D49">
      <w:pPr>
        <w:widowControl w:val="0"/>
        <w:spacing w:after="120"/>
        <w:ind w:left="284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C40D49">
      <w:pPr>
        <w:pStyle w:val="Nagwek1"/>
        <w:widowControl w:val="0"/>
        <w:spacing w:before="0"/>
      </w:pPr>
      <w:bookmarkStart w:id="20" w:name="_Toc99351184"/>
      <w:r w:rsidRPr="005B5BDF">
        <w:t>Wymagania dotyczące wadium.</w:t>
      </w:r>
      <w:bookmarkStart w:id="21" w:name="OLE_LINK1"/>
      <w:bookmarkEnd w:id="20"/>
      <w:r w:rsidRPr="005B5BDF">
        <w:t xml:space="preserve"> </w:t>
      </w:r>
    </w:p>
    <w:p w14:paraId="66CB1781" w14:textId="3604A22B" w:rsidR="001A32D7" w:rsidRDefault="001A32D7" w:rsidP="00C40D49">
      <w:pPr>
        <w:widowControl w:val="0"/>
        <w:spacing w:before="120" w:after="240"/>
        <w:ind w:left="567"/>
      </w:pPr>
      <w:r w:rsidRPr="005B5BDF">
        <w:t>Zamawiający nie wymaga wniesienia wadium w niniejszym postępowaniu.</w:t>
      </w:r>
    </w:p>
    <w:p w14:paraId="4043A489" w14:textId="5D7D9045" w:rsidR="00F85C46" w:rsidRPr="005B5BDF" w:rsidRDefault="004B4CE9" w:rsidP="00295AAA">
      <w:pPr>
        <w:pStyle w:val="Nagwek1"/>
      </w:pPr>
      <w:bookmarkStart w:id="22" w:name="_Toc99351185"/>
      <w:bookmarkEnd w:id="21"/>
      <w:r w:rsidRPr="005B5BDF">
        <w:rPr>
          <w:lang w:val="pl-PL"/>
        </w:rPr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2"/>
    </w:p>
    <w:p w14:paraId="618711CE" w14:textId="7B68746D" w:rsidR="00907E2D" w:rsidRPr="00307594" w:rsidRDefault="00907E2D" w:rsidP="00102B94">
      <w:pPr>
        <w:pStyle w:val="Nagwek2"/>
        <w:keepNext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22A4ED3D" w:rsidR="00D05F0F" w:rsidRPr="005B5BDF" w:rsidRDefault="00D05F0F" w:rsidP="00516A06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lang w:val="pl"/>
        </w:rPr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43A03A24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516A06">
        <w:rPr>
          <w:rFonts w:eastAsia="Calibri"/>
          <w:lang w:val="pl"/>
        </w:rPr>
        <w:t>;</w:t>
      </w:r>
    </w:p>
    <w:p w14:paraId="51FDE28B" w14:textId="301F64A9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7D018A">
        <w:rPr>
          <w:rStyle w:val="Hipercze"/>
          <w:rFonts w:eastAsia="Calibri" w:cs="Arial"/>
          <w:szCs w:val="20"/>
          <w:lang w:eastAsia="pl-PL"/>
        </w:rPr>
        <w:t>;</w:t>
      </w:r>
    </w:p>
    <w:p w14:paraId="18150DDB" w14:textId="42A01223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11E4B1D8" w14:textId="77777777" w:rsidR="00BC7167" w:rsidRPr="00BC7167" w:rsidRDefault="00BC7167" w:rsidP="00BC7167">
      <w:pPr>
        <w:pStyle w:val="Tekstpodstawowy"/>
        <w:rPr>
          <w:lang w:val="pl" w:eastAsia="x-none"/>
        </w:rPr>
      </w:pPr>
    </w:p>
    <w:p w14:paraId="74F358BE" w14:textId="77777777" w:rsidR="00636F3B" w:rsidRDefault="006727FE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lastRenderedPageBreak/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77777777" w:rsidR="00636F3B" w:rsidRDefault="00801A5D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23B5A813" w14:textId="4165356C" w:rsidR="00DC6A9F" w:rsidRDefault="006D6009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301EA8" w:rsidRPr="00DC6A9F">
        <w:rPr>
          <w:lang w:val="pl"/>
        </w:rPr>
        <w:t xml:space="preserve">mgr Kalina Rożek, </w:t>
      </w:r>
      <w:r w:rsidR="00F3361E" w:rsidRPr="00F3361E">
        <w:rPr>
          <w:lang w:val="pl"/>
        </w:rPr>
        <w:t>mgr Justyna Rutkowska – Zawada</w:t>
      </w:r>
      <w:r w:rsidR="00F4346B">
        <w:rPr>
          <w:lang w:val="pl"/>
        </w:rPr>
        <w:t xml:space="preserve">, </w:t>
      </w:r>
      <w:r w:rsidR="00F4346B" w:rsidRPr="00F4346B">
        <w:rPr>
          <w:lang w:val="pl"/>
        </w:rPr>
        <w:t>mgr Małgorzata Wróblewska</w:t>
      </w:r>
      <w:r w:rsidR="00F4346B">
        <w:rPr>
          <w:lang w:val="pl"/>
        </w:rPr>
        <w:t xml:space="preserve">, </w:t>
      </w:r>
      <w:r w:rsidR="00301EA8" w:rsidRPr="00DC6A9F">
        <w:rPr>
          <w:lang w:val="pl"/>
        </w:rPr>
        <w:t>mgr Damian Ludwikowski</w:t>
      </w:r>
      <w:r w:rsidR="00F4346B">
        <w:rPr>
          <w:lang w:val="pl"/>
        </w:rPr>
        <w:t>.</w:t>
      </w:r>
    </w:p>
    <w:p w14:paraId="3086265F" w14:textId="5C3977CC" w:rsidR="00636F3B" w:rsidRPr="00DC6A9F" w:rsidRDefault="00C540B8" w:rsidP="00516A06">
      <w:pPr>
        <w:pStyle w:val="Nagwek3"/>
        <w:widowControl w:val="0"/>
        <w:ind w:left="567"/>
        <w:contextualSpacing w:val="0"/>
        <w:rPr>
          <w:rFonts w:eastAsia="Calibri"/>
          <w:lang w:val="pl"/>
        </w:rPr>
      </w:pPr>
      <w:r w:rsidRPr="00DC6A9F">
        <w:rPr>
          <w:lang w:val="pl"/>
        </w:rPr>
        <w:t xml:space="preserve">Adres mailowy: </w:t>
      </w:r>
      <w:hyperlink r:id="rId16" w:history="1">
        <w:r w:rsidRPr="00DC6A9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Pr="00DC6A9F">
        <w:rPr>
          <w:color w:val="222A35" w:themeColor="text2" w:themeShade="80"/>
          <w:lang w:val="pl"/>
        </w:rPr>
        <w:t xml:space="preserve">. </w:t>
      </w:r>
      <w:r w:rsidRPr="00DC6A9F">
        <w:rPr>
          <w:lang w:val="pl"/>
        </w:rPr>
        <w:t>W korespondencji z Zamawiającym należy posług</w:t>
      </w:r>
      <w:r w:rsidR="00FC3A95" w:rsidRPr="00DC6A9F">
        <w:rPr>
          <w:lang w:val="pl"/>
        </w:rPr>
        <w:t>iwać się sygnaturą postępowania;</w:t>
      </w:r>
    </w:p>
    <w:p w14:paraId="5B54102A" w14:textId="257ACFF9" w:rsidR="00FC3A95" w:rsidRPr="00636F3B" w:rsidRDefault="00FC3A95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54415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54415B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54415B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6D88C61F" w:rsidR="006D6009" w:rsidRDefault="00ED5508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54415B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54415B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54415B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1B8324F0" w:rsidR="009159B0" w:rsidRPr="005B5BDF" w:rsidRDefault="009159B0" w:rsidP="0054415B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628D7B7" w:rsidR="00E93D14" w:rsidRDefault="00D05F0F" w:rsidP="0054415B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16596DA5" w14:textId="41FF6C61" w:rsidR="00D05F0F" w:rsidRPr="00307594" w:rsidRDefault="003439DD" w:rsidP="0054415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t>Rekomendacje.</w:t>
      </w:r>
    </w:p>
    <w:p w14:paraId="4CA84693" w14:textId="77777777" w:rsidR="00636F3B" w:rsidRPr="005B5BDF" w:rsidRDefault="00636F3B" w:rsidP="0054415B">
      <w:pPr>
        <w:pStyle w:val="Nagwek3"/>
        <w:widowControl w:val="0"/>
        <w:numPr>
          <w:ilvl w:val="0"/>
          <w:numId w:val="9"/>
        </w:numPr>
        <w:ind w:left="567" w:hanging="284"/>
        <w:contextualSpacing w:val="0"/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(t.j. Dz.U. z 2017 r. 2247);</w:t>
      </w:r>
    </w:p>
    <w:p w14:paraId="6EA841FA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rekomenduje wykorzystanie formatów: .pdf .doc .xls .jpg (.jpeg)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54415B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E11488" w:rsidR="00636F3B" w:rsidRDefault="00636F3B" w:rsidP="006F7C66">
      <w:pPr>
        <w:pStyle w:val="Nagwek4"/>
        <w:widowControl w:val="0"/>
        <w:numPr>
          <w:ilvl w:val="1"/>
          <w:numId w:val="8"/>
        </w:numPr>
        <w:spacing w:before="0" w:after="36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lastRenderedPageBreak/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216AE4E6" w:rsidR="00636F3B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spacing w:after="12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295AAA">
      <w:pPr>
        <w:pStyle w:val="Nagwek1"/>
      </w:pPr>
      <w:bookmarkStart w:id="23" w:name="_wp2umuqo1p7z" w:colFirst="0" w:colLast="0"/>
      <w:bookmarkStart w:id="24" w:name="_Toc99351186"/>
      <w:bookmarkEnd w:id="23"/>
      <w:r w:rsidRPr="005B5BDF">
        <w:t>Opis sposobu przygotowania ofert.</w:t>
      </w:r>
      <w:bookmarkEnd w:id="24"/>
    </w:p>
    <w:p w14:paraId="5F379EB3" w14:textId="44C82CE4" w:rsidR="00C540B8" w:rsidRPr="00307594" w:rsidRDefault="00C540B8" w:rsidP="00E31C47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58BBE376" w:rsidR="007B0947" w:rsidRPr="00307594" w:rsidRDefault="00C540B8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>Wykonawca może złożyć tylko jedną ofertę w zakresie niniejszego postępowania;</w:t>
      </w:r>
    </w:p>
    <w:p w14:paraId="065D49E4" w14:textId="63B4C6FB" w:rsidR="007B0947" w:rsidRPr="00307594" w:rsidRDefault="008B0002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7F5DF73A" w:rsidR="007B0947" w:rsidRDefault="00A57F79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lastRenderedPageBreak/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283B0575" w14:textId="77777777" w:rsidR="007B0947" w:rsidRDefault="00915A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803DDC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803DDC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29AE15F6" w:rsidR="00002F1C" w:rsidRDefault="00002F1C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168D4BEC" w14:textId="77777777" w:rsidR="00ED0771" w:rsidRPr="00ED0771" w:rsidRDefault="00ED0771" w:rsidP="00ED0771">
      <w:pPr>
        <w:rPr>
          <w:lang w:val="x-none" w:eastAsia="x-none"/>
        </w:rPr>
      </w:pPr>
    </w:p>
    <w:p w14:paraId="2A8884D5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lastRenderedPageBreak/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3CFC809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Pr="00295AAA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295AAA">
        <w:t xml:space="preserve">Podpisy kwalifikowane wykorzystywane przez </w:t>
      </w:r>
      <w:r w:rsidR="00B328AF" w:rsidRPr="00295AAA">
        <w:t>W</w:t>
      </w:r>
      <w:r w:rsidRPr="00295AAA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77777777" w:rsidR="007B0947" w:rsidRPr="00295AAA" w:rsidRDefault="007667C8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295AAA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Pr="00295AAA" w:rsidRDefault="007667C8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295AAA"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78F07ECB" w:rsidR="00390A46" w:rsidRPr="00295AAA" w:rsidRDefault="00002F1C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295AAA">
        <w:t>Oferta powinna być złożona z</w:t>
      </w:r>
      <w:r w:rsidR="00EE444D" w:rsidRPr="00295AAA">
        <w:t xml:space="preserve">godnie z treścią formularza oferty, stanowiącego załącznik nr 1A do niniejszej specyfikacji (Zamawiający dopuszcza odtworzenie tekstu formularza) z </w:t>
      </w:r>
      <w:r w:rsidR="00EE444D" w:rsidRPr="00295AAA">
        <w:rPr>
          <w:b/>
        </w:rPr>
        <w:t>podaniem cen</w:t>
      </w:r>
      <w:r w:rsidR="00E2062A" w:rsidRPr="00295AAA">
        <w:rPr>
          <w:b/>
        </w:rPr>
        <w:t>y</w:t>
      </w:r>
      <w:r w:rsidR="00657383" w:rsidRPr="00295AAA">
        <w:rPr>
          <w:b/>
        </w:rPr>
        <w:t xml:space="preserve"> </w:t>
      </w:r>
      <w:r w:rsidR="00EE444D" w:rsidRPr="00295AAA">
        <w:rPr>
          <w:b/>
        </w:rPr>
        <w:t>netto,</w:t>
      </w:r>
      <w:r w:rsidR="00536D6A" w:rsidRPr="00295AAA">
        <w:rPr>
          <w:b/>
        </w:rPr>
        <w:t xml:space="preserve"> </w:t>
      </w:r>
      <w:r w:rsidR="00EE444D" w:rsidRPr="00295AAA">
        <w:rPr>
          <w:b/>
        </w:rPr>
        <w:t xml:space="preserve">stawki i doliczonej wartości podatku VAT, ceny brutto </w:t>
      </w:r>
      <w:r w:rsidR="00390A46" w:rsidRPr="00295AAA">
        <w:rPr>
          <w:b/>
        </w:rPr>
        <w:t>oferty</w:t>
      </w:r>
      <w:r w:rsidR="00EE444D" w:rsidRPr="00295AAA">
        <w:rPr>
          <w:b/>
        </w:rPr>
        <w:t>, a także terminu, warunków realizacji zamówienia i okresu gwarancji</w:t>
      </w:r>
      <w:r w:rsidR="00EE444D" w:rsidRPr="00295AAA">
        <w:t xml:space="preserve">; </w:t>
      </w:r>
    </w:p>
    <w:p w14:paraId="5653C733" w14:textId="77777777" w:rsidR="00BB41FD" w:rsidRPr="00295AAA" w:rsidRDefault="00847F12" w:rsidP="00BB41FD">
      <w:pPr>
        <w:pStyle w:val="Nagwek3"/>
        <w:widowControl w:val="0"/>
        <w:numPr>
          <w:ilvl w:val="0"/>
          <w:numId w:val="20"/>
        </w:numPr>
        <w:ind w:left="568" w:hanging="284"/>
        <w:rPr>
          <w:rFonts w:eastAsia="Arial Unicode MS"/>
        </w:rPr>
      </w:pPr>
      <w:r w:rsidRPr="00295AAA">
        <w:rPr>
          <w:rFonts w:eastAsia="Arial Unicode MS"/>
        </w:rPr>
        <w:t>O</w:t>
      </w:r>
      <w:r w:rsidR="00EE444D" w:rsidRPr="00295AAA">
        <w:rPr>
          <w:rFonts w:eastAsia="Arial Unicode MS"/>
        </w:rPr>
        <w:t>kres gwarancji oraz term</w:t>
      </w:r>
      <w:r w:rsidR="008B0002" w:rsidRPr="00295AAA">
        <w:rPr>
          <w:rFonts w:eastAsia="Arial Unicode MS"/>
        </w:rPr>
        <w:t xml:space="preserve">in realizacji </w:t>
      </w:r>
      <w:r w:rsidR="00BB41FD" w:rsidRPr="00295AAA">
        <w:rPr>
          <w:rFonts w:eastAsia="Arial Unicode MS"/>
        </w:rPr>
        <w:t xml:space="preserve">poszczególnego </w:t>
      </w:r>
      <w:r w:rsidR="008B0002" w:rsidRPr="00295AAA">
        <w:rPr>
          <w:rFonts w:eastAsia="Arial Unicode MS"/>
        </w:rPr>
        <w:t>zamówienia powin</w:t>
      </w:r>
      <w:r w:rsidR="00EE444D" w:rsidRPr="00295AAA">
        <w:rPr>
          <w:rFonts w:eastAsia="Arial Unicode MS"/>
        </w:rPr>
        <w:t>n</w:t>
      </w:r>
      <w:r w:rsidR="008B0002" w:rsidRPr="00295AAA">
        <w:rPr>
          <w:rFonts w:eastAsia="Arial Unicode MS"/>
        </w:rPr>
        <w:t xml:space="preserve">y być podane liczbowo </w:t>
      </w:r>
      <w:r w:rsidR="00BB41FD" w:rsidRPr="00295AAA">
        <w:rPr>
          <w:rFonts w:eastAsia="Arial Unicode MS"/>
        </w:rPr>
        <w:t xml:space="preserve">               </w:t>
      </w:r>
      <w:r w:rsidR="008B0002" w:rsidRPr="00295AAA">
        <w:rPr>
          <w:rFonts w:eastAsia="Arial Unicode MS"/>
        </w:rPr>
        <w:t>i słownie. W</w:t>
      </w:r>
      <w:r w:rsidR="00EE444D" w:rsidRPr="00295AAA">
        <w:rPr>
          <w:rFonts w:eastAsia="Arial Unicode MS"/>
        </w:rPr>
        <w:t> przypadku rozbieżności pomi</w:t>
      </w:r>
      <w:r w:rsidR="008B0002" w:rsidRPr="00295AAA">
        <w:rPr>
          <w:rFonts w:eastAsia="Arial Unicode MS"/>
        </w:rPr>
        <w:t>ędzy zapisem liczbowym a</w:t>
      </w:r>
      <w:r w:rsidR="00EE444D" w:rsidRPr="00295AAA">
        <w:rPr>
          <w:rFonts w:eastAsia="Arial Unicode MS"/>
        </w:rPr>
        <w:t xml:space="preserve"> słownym, Zamawiający przyjmie zapis podany słownie;</w:t>
      </w:r>
      <w:r w:rsidR="008B7428" w:rsidRPr="00295AAA">
        <w:rPr>
          <w:rFonts w:eastAsia="Arial Unicode MS"/>
        </w:rPr>
        <w:t xml:space="preserve"> </w:t>
      </w:r>
    </w:p>
    <w:p w14:paraId="34395269" w14:textId="27DC7636" w:rsidR="009F4A4D" w:rsidRPr="00CD52AD" w:rsidRDefault="002E34D7" w:rsidP="00CD52AD">
      <w:pPr>
        <w:pStyle w:val="Nagwek3"/>
        <w:numPr>
          <w:ilvl w:val="0"/>
          <w:numId w:val="20"/>
        </w:numPr>
        <w:ind w:left="568" w:hanging="284"/>
        <w:rPr>
          <w:rFonts w:eastAsia="Arial Unicode MS"/>
        </w:rPr>
      </w:pPr>
      <w:r w:rsidRPr="00B40D10">
        <w:rPr>
          <w:rFonts w:eastAsia="Arial Unicode MS"/>
          <w:b/>
          <w:u w:val="single"/>
          <w:shd w:val="clear" w:color="auto" w:fill="DEEAF6" w:themeFill="accent5" w:themeFillTint="33"/>
        </w:rPr>
        <w:t xml:space="preserve">Wraz z ofertą należy złożyć </w:t>
      </w:r>
      <w:r w:rsidR="00BB41FD" w:rsidRPr="00B40D10">
        <w:rPr>
          <w:rFonts w:eastAsia="Arial Unicode MS"/>
          <w:b/>
          <w:u w:val="single"/>
          <w:shd w:val="clear" w:color="auto" w:fill="DEEAF6" w:themeFill="accent5" w:themeFillTint="33"/>
        </w:rPr>
        <w:t xml:space="preserve"> formularz asortymentowo- cenowy</w:t>
      </w:r>
      <w:r w:rsidR="00BB41FD" w:rsidRPr="00295AAA">
        <w:rPr>
          <w:rFonts w:eastAsia="Arial Unicode MS"/>
          <w:b/>
        </w:rPr>
        <w:t xml:space="preserve">, </w:t>
      </w:r>
      <w:r w:rsidR="00BB41FD" w:rsidRPr="009F4A4D">
        <w:rPr>
          <w:rFonts w:eastAsia="Arial Unicode MS"/>
        </w:rPr>
        <w:t>zgodn</w:t>
      </w:r>
      <w:r w:rsidR="002C4CB6" w:rsidRPr="009F4A4D">
        <w:rPr>
          <w:rFonts w:eastAsia="Arial Unicode MS"/>
        </w:rPr>
        <w:t>y</w:t>
      </w:r>
      <w:r w:rsidR="00BB41FD" w:rsidRPr="009F4A4D">
        <w:rPr>
          <w:rFonts w:eastAsia="Arial Unicode MS"/>
        </w:rPr>
        <w:t xml:space="preserve"> z załącznikiem nr 2 do SWZ</w:t>
      </w:r>
      <w:r>
        <w:rPr>
          <w:rFonts w:eastAsia="Arial Unicode MS"/>
          <w:b/>
        </w:rPr>
        <w:t xml:space="preserve"> </w:t>
      </w:r>
      <w:r w:rsidRPr="002E34D7">
        <w:rPr>
          <w:rFonts w:eastAsia="Arial Unicode MS"/>
        </w:rPr>
        <w:t>(</w:t>
      </w:r>
      <w:r w:rsidRPr="002E34D7">
        <w:rPr>
          <w:bCs w:val="0"/>
          <w:iCs/>
          <w:szCs w:val="20"/>
        </w:rPr>
        <w:t>Szczegółow</w:t>
      </w:r>
      <w:r>
        <w:rPr>
          <w:bCs w:val="0"/>
          <w:iCs/>
          <w:szCs w:val="20"/>
        </w:rPr>
        <w:t>y</w:t>
      </w:r>
      <w:r w:rsidRPr="002E34D7">
        <w:rPr>
          <w:bCs w:val="0"/>
          <w:iCs/>
          <w:szCs w:val="20"/>
        </w:rPr>
        <w:t xml:space="preserve"> opisu przedmiotu zamówienia - Formularz asortymentowo </w:t>
      </w:r>
      <w:r>
        <w:rPr>
          <w:bCs w:val="0"/>
          <w:iCs/>
          <w:szCs w:val="20"/>
        </w:rPr>
        <w:t>–</w:t>
      </w:r>
      <w:r w:rsidRPr="002E34D7">
        <w:rPr>
          <w:bCs w:val="0"/>
          <w:iCs/>
          <w:szCs w:val="20"/>
        </w:rPr>
        <w:t xml:space="preserve"> cenowy</w:t>
      </w:r>
      <w:r>
        <w:rPr>
          <w:bCs w:val="0"/>
          <w:iCs/>
          <w:szCs w:val="20"/>
        </w:rPr>
        <w:t>)</w:t>
      </w:r>
      <w:r w:rsidR="00142C1F">
        <w:rPr>
          <w:rFonts w:eastAsia="Arial Unicode MS"/>
          <w:b/>
          <w:szCs w:val="20"/>
        </w:rPr>
        <w:t xml:space="preserve">, </w:t>
      </w:r>
      <w:r w:rsidR="00BB41FD" w:rsidRPr="00295AAA">
        <w:rPr>
          <w:rFonts w:eastAsia="Arial Unicode MS"/>
          <w:b/>
        </w:rPr>
        <w:t xml:space="preserve"> stanowiący element oferty</w:t>
      </w:r>
      <w:r w:rsidR="00A520F6">
        <w:rPr>
          <w:rFonts w:eastAsia="Arial Unicode MS"/>
        </w:rPr>
        <w:t>.</w:t>
      </w:r>
      <w:r w:rsidR="00BB41FD" w:rsidRPr="00295AAA">
        <w:rPr>
          <w:rFonts w:eastAsia="Arial Unicode MS"/>
        </w:rPr>
        <w:t xml:space="preserve"> </w:t>
      </w:r>
      <w:r w:rsidR="00A520F6" w:rsidRPr="00A520F6">
        <w:rPr>
          <w:rFonts w:eastAsia="Arial Unicode MS"/>
        </w:rPr>
        <w:t xml:space="preserve">Wykonawca </w:t>
      </w:r>
      <w:r w:rsidR="00A520F6">
        <w:rPr>
          <w:rFonts w:eastAsia="Arial Unicode MS"/>
        </w:rPr>
        <w:t>po</w:t>
      </w:r>
      <w:r w:rsidR="00A520F6" w:rsidRPr="00A520F6">
        <w:rPr>
          <w:rFonts w:eastAsia="Arial Unicode MS"/>
        </w:rPr>
        <w:t>winien skonkretyzować w</w:t>
      </w:r>
      <w:r w:rsidR="00A520F6">
        <w:rPr>
          <w:rFonts w:eastAsia="Arial Unicode MS"/>
        </w:rPr>
        <w:t>w.</w:t>
      </w:r>
      <w:r w:rsidR="00A520F6" w:rsidRPr="00A520F6">
        <w:rPr>
          <w:rFonts w:eastAsia="Arial Unicode MS"/>
        </w:rPr>
        <w:t xml:space="preserve"> formularzu oferowany produkt, podając nazwę producenta, nazwę materiału, symbol/kod, jednoznacznie identyfikujące zaoferowane materiały</w:t>
      </w:r>
      <w:r w:rsidR="00A520F6">
        <w:rPr>
          <w:rFonts w:eastAsia="Arial Unicode MS"/>
        </w:rPr>
        <w:t xml:space="preserve">, </w:t>
      </w:r>
      <w:r w:rsidR="00A520F6" w:rsidRPr="00A520F6">
        <w:rPr>
          <w:rFonts w:eastAsia="Arial Unicode MS"/>
        </w:rPr>
        <w:t xml:space="preserve"> oferowane ilości poszczególnych materiałów, ceny jednostkowe netto i wartość netto</w:t>
      </w:r>
      <w:r w:rsidR="00A520F6">
        <w:rPr>
          <w:rFonts w:eastAsia="Arial Unicode MS"/>
        </w:rPr>
        <w:t xml:space="preserve">.                </w:t>
      </w:r>
      <w:r w:rsidR="00A520F6" w:rsidRPr="00A520F6">
        <w:rPr>
          <w:rFonts w:eastAsia="Arial Unicode MS"/>
        </w:rPr>
        <w:t xml:space="preserve">W przypadku zaoferowania przez Wykonawcę materiałów równoważnych lub materiałów oryginalnych, ale o innym symbolu niż wskazanym w SWZ, należy również podać nazwę producenta, nazwę materiału, symbol/kod materiału eksploatacyjnego. W kolumnie „Oryginał” należy umieścić informacje, czy jest to oryginalny materiał eksploatacyjny (tzn. wyprodukowany przez producenta sprzętu, do którego jest przeznaczony).  W przypadku odpowiedzi „nie” należy umieścić w kolumnach </w:t>
      </w:r>
      <w:r w:rsidR="00232FF4">
        <w:rPr>
          <w:rFonts w:eastAsia="Arial Unicode MS"/>
        </w:rPr>
        <w:t xml:space="preserve">8 i </w:t>
      </w:r>
      <w:r w:rsidR="00A520F6" w:rsidRPr="00A520F6">
        <w:rPr>
          <w:rFonts w:eastAsia="Arial Unicode MS"/>
        </w:rPr>
        <w:t xml:space="preserve">9  następujące informacje: nazwa producenta, nazwa, symbol/kod materiału eksploatacyjnego. </w:t>
      </w:r>
      <w:r w:rsidR="00232FF4">
        <w:rPr>
          <w:rFonts w:eastAsia="Arial Unicode MS"/>
        </w:rPr>
        <w:t xml:space="preserve">               </w:t>
      </w:r>
      <w:r w:rsidR="00A520F6" w:rsidRPr="00A520F6">
        <w:rPr>
          <w:rFonts w:eastAsia="Arial Unicode MS"/>
        </w:rPr>
        <w:t xml:space="preserve">W przypadku zaoferowania przez Wykonawcę innego, niż wskazany w SWZ, materiału, wyprodukowanego przez producenta danego urządzenia, ale o innym symbolu, Zamawiający wymaga wypełnienia przez Wykonawcę  kolumn nr </w:t>
      </w:r>
      <w:r w:rsidR="00295FDD">
        <w:rPr>
          <w:rFonts w:eastAsia="Arial Unicode MS"/>
        </w:rPr>
        <w:t>8</w:t>
      </w:r>
      <w:r w:rsidR="00A520F6" w:rsidRPr="00A520F6">
        <w:rPr>
          <w:rFonts w:eastAsia="Arial Unicode MS"/>
        </w:rPr>
        <w:t xml:space="preserve"> </w:t>
      </w:r>
      <w:r w:rsidR="00CD52AD">
        <w:rPr>
          <w:rFonts w:eastAsia="Arial Unicode MS"/>
        </w:rPr>
        <w:t>-</w:t>
      </w:r>
      <w:r w:rsidR="00A520F6" w:rsidRPr="00A520F6">
        <w:rPr>
          <w:rFonts w:eastAsia="Arial Unicode MS"/>
        </w:rPr>
        <w:t xml:space="preserve"> 1</w:t>
      </w:r>
      <w:r w:rsidR="00295FDD">
        <w:rPr>
          <w:rFonts w:eastAsia="Arial Unicode MS"/>
        </w:rPr>
        <w:t>1</w:t>
      </w:r>
      <w:r w:rsidR="00A520F6" w:rsidRPr="00A520F6">
        <w:rPr>
          <w:rFonts w:eastAsia="Arial Unicode MS"/>
        </w:rPr>
        <w:t xml:space="preserve">. Pozostałe paramenty, w szczególności wydajność oferowanego, innego niż wskazany w SWZ, materiału wyprodukowanego przez producenta danego urządzenia, ale o innym symbolu, muszą być spełnione co najmniej na poziomie minimalnym </w:t>
      </w:r>
      <w:r w:rsidR="00A520F6" w:rsidRPr="00A520F6">
        <w:rPr>
          <w:rFonts w:eastAsia="Arial Unicode MS"/>
        </w:rPr>
        <w:lastRenderedPageBreak/>
        <w:t>wskazanym w załączniku nr 2  SWZ. Wykonawca musi sprawdzić dostępność materiałów eksploatacyjnych, biorąc pod uwagę rok produkcji (lub ewentualne wycofanie z produkcji).</w:t>
      </w:r>
    </w:p>
    <w:p w14:paraId="6F32982D" w14:textId="19CC3EF0" w:rsidR="009F4A4D" w:rsidRPr="009F4A4D" w:rsidRDefault="009F4A4D" w:rsidP="009F4A4D">
      <w:pPr>
        <w:pStyle w:val="Tekstpodstawowy"/>
        <w:ind w:left="567" w:firstLine="0"/>
        <w:rPr>
          <w:rFonts w:ascii="Bahnschrift" w:hAnsi="Bahnschrift"/>
          <w:sz w:val="20"/>
          <w:lang w:val="pl-PL" w:eastAsia="x-none"/>
        </w:rPr>
      </w:pPr>
      <w:r w:rsidRPr="009F4A4D">
        <w:rPr>
          <w:rFonts w:ascii="Bahnschrift" w:hAnsi="Bahnschrift"/>
          <w:sz w:val="20"/>
          <w:lang w:val="pl-PL" w:eastAsia="x-none"/>
        </w:rPr>
        <w:t>Wykonawca musi sprawdzić dostępność materiałów eksploatacyjnych, biorąc pod uwagę rok produkcji (lub ewentualne wycofanie z produkcji). W przypadku wycofania z produkcji materiałów eksploatacyjnych oryginalnych, Zamawiający dopuszcza równoważne.</w:t>
      </w:r>
    </w:p>
    <w:p w14:paraId="5D9CFD05" w14:textId="5CFC8F08" w:rsidR="00BC7F92" w:rsidRPr="009F4A4D" w:rsidRDefault="00BC7F92" w:rsidP="009F4A4D">
      <w:pPr>
        <w:pStyle w:val="Nagwek3"/>
        <w:ind w:left="568"/>
      </w:pPr>
      <w:r w:rsidRPr="009F4A4D">
        <w:rPr>
          <w:b/>
          <w:u w:val="single"/>
        </w:rPr>
        <w:t xml:space="preserve">W związku </w:t>
      </w:r>
      <w:r w:rsidR="004161BF" w:rsidRPr="009F4A4D">
        <w:rPr>
          <w:b/>
          <w:u w:val="single"/>
        </w:rPr>
        <w:t xml:space="preserve"> </w:t>
      </w:r>
      <w:r w:rsidRPr="009F4A4D">
        <w:rPr>
          <w:b/>
          <w:u w:val="single"/>
        </w:rPr>
        <w:t xml:space="preserve">z tym, iż formularz </w:t>
      </w:r>
      <w:r w:rsidR="004161BF" w:rsidRPr="009F4A4D">
        <w:rPr>
          <w:b/>
          <w:u w:val="single"/>
        </w:rPr>
        <w:t>asortymentowo-</w:t>
      </w:r>
      <w:r w:rsidRPr="009F4A4D">
        <w:rPr>
          <w:b/>
          <w:u w:val="single"/>
        </w:rPr>
        <w:t>cenowy stanowi</w:t>
      </w:r>
      <w:r w:rsidR="004161BF" w:rsidRPr="009F4A4D">
        <w:rPr>
          <w:b/>
          <w:u w:val="single"/>
        </w:rPr>
        <w:t xml:space="preserve"> treść oferty, należy go złożyć </w:t>
      </w:r>
      <w:r w:rsidR="00142C1F" w:rsidRPr="009F4A4D">
        <w:rPr>
          <w:b/>
          <w:u w:val="single"/>
        </w:rPr>
        <w:t xml:space="preserve">                     </w:t>
      </w:r>
      <w:r w:rsidR="004161BF" w:rsidRPr="009F4A4D">
        <w:rPr>
          <w:b/>
          <w:u w:val="single"/>
        </w:rPr>
        <w:t>w formie przewidzianej dla oferty</w:t>
      </w:r>
      <w:r w:rsidR="004161BF" w:rsidRPr="004161BF">
        <w:t xml:space="preserve">, pod rygorem odrzucenia oferty. </w:t>
      </w:r>
      <w:r w:rsidR="004161BF" w:rsidRPr="009F4A4D">
        <w:rPr>
          <w:b/>
        </w:rPr>
        <w:t>F</w:t>
      </w:r>
      <w:r w:rsidRPr="009F4A4D">
        <w:rPr>
          <w:b/>
        </w:rPr>
        <w:t xml:space="preserve">ormularz </w:t>
      </w:r>
      <w:r w:rsidR="004161BF" w:rsidRPr="009F4A4D">
        <w:rPr>
          <w:b/>
        </w:rPr>
        <w:t>asortymentowo-</w:t>
      </w:r>
      <w:r w:rsidRPr="009F4A4D">
        <w:rPr>
          <w:b/>
        </w:rPr>
        <w:t>cenowy</w:t>
      </w:r>
      <w:r w:rsidR="004161BF" w:rsidRPr="009F4A4D">
        <w:rPr>
          <w:b/>
        </w:rPr>
        <w:t xml:space="preserve"> nie podlega uzupełnieniu</w:t>
      </w:r>
      <w:r w:rsidR="004161BF" w:rsidRPr="004161BF">
        <w:t>,</w:t>
      </w:r>
      <w:r w:rsidR="00142C1F">
        <w:t xml:space="preserve"> </w:t>
      </w:r>
      <w:r w:rsidR="004161BF" w:rsidRPr="009F4A4D">
        <w:rPr>
          <w:b/>
          <w:u w:val="single"/>
        </w:rPr>
        <w:t>z zastrzeżeniem oświadczenia dotyczącego urządzeń kompatybilnych składanego w kolumnie 11 formularza cenowego, które stanowi przedmiotowy środek dowodowy</w:t>
      </w:r>
      <w:r w:rsidR="008902FE" w:rsidRPr="009F4A4D">
        <w:rPr>
          <w:b/>
          <w:u w:val="single"/>
        </w:rPr>
        <w:t xml:space="preserve"> </w:t>
      </w:r>
      <w:r w:rsidR="004161BF" w:rsidRPr="009F4A4D">
        <w:rPr>
          <w:b/>
          <w:u w:val="single"/>
        </w:rPr>
        <w:t xml:space="preserve">i jako taki podlega uzupełnieniu </w:t>
      </w:r>
      <w:r w:rsidR="009F4A4D" w:rsidRPr="009F4A4D">
        <w:rPr>
          <w:b/>
          <w:u w:val="single"/>
        </w:rPr>
        <w:t xml:space="preserve">, </w:t>
      </w:r>
    </w:p>
    <w:p w14:paraId="1D73CE36" w14:textId="1F6A584F" w:rsidR="00C540B8" w:rsidRPr="00A14570" w:rsidRDefault="00915A9C" w:rsidP="00C67A0B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Pr="00A14570">
        <w:t>, sporządzone w języku obcym przekazuje się wraz z</w:t>
      </w:r>
      <w:r w:rsidR="005B5BA7" w:rsidRPr="00A14570">
        <w:t> </w:t>
      </w:r>
      <w:r w:rsidRPr="00A14570">
        <w:t>tłumaczeniem na język polski;</w:t>
      </w:r>
    </w:p>
    <w:p w14:paraId="1EDC20D0" w14:textId="073D6CED" w:rsidR="00E23287" w:rsidRPr="002815DF" w:rsidRDefault="00E23287" w:rsidP="00C67A0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C67A0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6288BC24" w:rsidR="007B0947" w:rsidRDefault="00A57F79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r w:rsidR="00CC568A" w:rsidRPr="00CC568A">
        <w:rPr>
          <w:b/>
        </w:rPr>
        <w:t xml:space="preserve">koszt </w:t>
      </w:r>
      <w:r w:rsidR="00A233A5">
        <w:rPr>
          <w:b/>
        </w:rPr>
        <w:t>materiałów</w:t>
      </w:r>
      <w:r w:rsidR="00CC568A" w:rsidRPr="00CC568A">
        <w:rPr>
          <w:b/>
        </w:rPr>
        <w:t xml:space="preserve"> wraz z dostawą, koszt rozładunku i wniesienia </w:t>
      </w:r>
      <w:r w:rsidR="00A233A5">
        <w:rPr>
          <w:b/>
        </w:rPr>
        <w:t xml:space="preserve">do </w:t>
      </w:r>
      <w:r w:rsidR="00CC568A" w:rsidRPr="00CC568A">
        <w:rPr>
          <w:b/>
        </w:rPr>
        <w:t>miejsc</w:t>
      </w:r>
      <w:r w:rsidR="00A233A5">
        <w:rPr>
          <w:b/>
        </w:rPr>
        <w:t>a</w:t>
      </w:r>
      <w:r w:rsidR="00CC568A" w:rsidRPr="00CC568A">
        <w:rPr>
          <w:b/>
        </w:rPr>
        <w:t xml:space="preserve"> wskazane</w:t>
      </w:r>
      <w:r w:rsidR="00A233A5">
        <w:rPr>
          <w:b/>
        </w:rPr>
        <w:t>go</w:t>
      </w:r>
      <w:r w:rsidR="00CC568A" w:rsidRPr="00CC568A">
        <w:rPr>
          <w:b/>
        </w:rPr>
        <w:t xml:space="preserve"> przez Zamawiającego,</w:t>
      </w:r>
      <w:r w:rsidR="009054DB">
        <w:rPr>
          <w:b/>
        </w:rPr>
        <w:t xml:space="preserve"> koszt gwarancji,</w:t>
      </w:r>
      <w:r w:rsidR="00A7468E" w:rsidRPr="00A748A6">
        <w:rPr>
          <w:rFonts w:cs="Arial"/>
          <w:szCs w:val="20"/>
          <w:lang w:eastAsia="pl-PL"/>
        </w:rPr>
        <w:t xml:space="preserve"> </w:t>
      </w:r>
      <w:r w:rsidR="00066CCC" w:rsidRPr="005B5BDF">
        <w:t>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77777777" w:rsidR="007B0947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67C95473" w14:textId="77777777" w:rsidR="00A9298D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4E9739A2" w14:textId="77777777" w:rsidR="00A9298D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19A8E86F" w14:textId="77777777" w:rsidR="00A9298D" w:rsidRDefault="00473F6B" w:rsidP="00C67A0B">
      <w:pPr>
        <w:pStyle w:val="Nagwek3"/>
        <w:widowControl w:val="0"/>
        <w:ind w:left="567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4618D082" w:rsidR="007B0947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3DFB0603" w:rsidR="00A57F79" w:rsidRPr="003B60BF" w:rsidRDefault="00214CE5" w:rsidP="00D133CC">
      <w:pPr>
        <w:pStyle w:val="Tekstpodstawowy"/>
        <w:widowControl w:val="0"/>
        <w:ind w:left="567" w:hanging="283"/>
        <w:rPr>
          <w:rFonts w:ascii="Bahnschrift" w:hAnsi="Bahnschrift"/>
          <w:sz w:val="20"/>
        </w:rPr>
      </w:pPr>
      <w:r w:rsidRPr="00214CE5">
        <w:rPr>
          <w:rFonts w:ascii="Bahnschrift" w:hAnsi="Bahnschrift"/>
          <w:sz w:val="20"/>
          <w:lang w:val="pl-PL" w:eastAsia="x-none"/>
        </w:rPr>
        <w:t>7)</w:t>
      </w:r>
      <w:r w:rsidRPr="00214CE5">
        <w:rPr>
          <w:rFonts w:ascii="Bahnschrift" w:hAnsi="Bahnschrift"/>
          <w:sz w:val="20"/>
          <w:lang w:val="pl-PL" w:eastAsia="x-none"/>
        </w:rPr>
        <w:tab/>
      </w:r>
      <w:r w:rsidR="00473F6B" w:rsidRPr="003B60BF">
        <w:rPr>
          <w:rFonts w:ascii="Bahnschrift" w:hAnsi="Bahnschrift"/>
          <w:sz w:val="20"/>
        </w:rPr>
        <w:t>J</w:t>
      </w:r>
      <w:r w:rsidR="00A57F79" w:rsidRPr="003B60BF">
        <w:rPr>
          <w:rFonts w:ascii="Bahnschrift" w:hAnsi="Bahnschrift"/>
          <w:sz w:val="20"/>
        </w:rPr>
        <w:t xml:space="preserve">eżeli zostanie złożona oferta, której wybór prowadziłby do powstania u Zamawiającego obowiązku </w:t>
      </w:r>
      <w:r w:rsidR="00AD7B52" w:rsidRPr="003B60BF">
        <w:rPr>
          <w:rFonts w:ascii="Bahnschrift" w:hAnsi="Bahnschrift"/>
          <w:sz w:val="20"/>
        </w:rPr>
        <w:t>podatkowego zgodnie z ustawą z 11 marca 2004 r. o podatku od towarów i usług, Z</w:t>
      </w:r>
      <w:r w:rsidR="00A57F79" w:rsidRPr="003B60BF">
        <w:rPr>
          <w:rFonts w:ascii="Bahnschrift" w:hAnsi="Bahnschrift"/>
          <w:sz w:val="20"/>
        </w:rPr>
        <w:t>amawiaj</w:t>
      </w:r>
      <w:r w:rsidR="00AD7B52" w:rsidRPr="003B60BF">
        <w:rPr>
          <w:rFonts w:ascii="Bahnschrift" w:hAnsi="Bahnschrift"/>
          <w:sz w:val="20"/>
        </w:rPr>
        <w:t>ący dla celów zastosowania kryterium ceny lub kosztu</w:t>
      </w:r>
      <w:r w:rsidR="00A57F79" w:rsidRPr="003B60BF">
        <w:rPr>
          <w:rFonts w:ascii="Bahnschrift" w:hAnsi="Bahnschrift"/>
          <w:sz w:val="20"/>
        </w:rPr>
        <w:t xml:space="preserve"> dolicza do przedstawionej w niej ceny </w:t>
      </w:r>
      <w:r w:rsidR="00AD7B52" w:rsidRPr="003B60BF">
        <w:rPr>
          <w:rFonts w:ascii="Bahnschrift" w:hAnsi="Bahnschrift"/>
          <w:sz w:val="20"/>
        </w:rPr>
        <w:t>kwotę podatku</w:t>
      </w:r>
      <w:r w:rsidR="00A57F79" w:rsidRPr="003B60BF">
        <w:rPr>
          <w:rFonts w:ascii="Bahnschrift" w:hAnsi="Bahnschrift"/>
          <w:sz w:val="20"/>
        </w:rPr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 w:rsidRPr="003B60BF">
        <w:rPr>
          <w:rFonts w:ascii="Bahnschrift" w:hAnsi="Bahnschrift"/>
          <w:sz w:val="20"/>
        </w:rPr>
        <w:t xml:space="preserve">                        </w:t>
      </w:r>
      <w:r w:rsidR="00A57F79" w:rsidRPr="003B60BF">
        <w:rPr>
          <w:rFonts w:ascii="Bahnschrift" w:hAnsi="Bahnschrift"/>
          <w:sz w:val="20"/>
        </w:rPr>
        <w:t>u Zamawiającego obowiązku podatkowego, wskazując nazwę (rodzaj) towaru lub usługi, których dostawa lub świadczenie będzie prowadzić do jego powstania, oraz wskazują</w:t>
      </w:r>
      <w:r w:rsidR="00AD7B52" w:rsidRPr="003B60BF">
        <w:rPr>
          <w:rFonts w:ascii="Bahnschrift" w:hAnsi="Bahnschrift"/>
          <w:sz w:val="20"/>
        </w:rPr>
        <w:t xml:space="preserve">c ich wartość bez kwoty </w:t>
      </w:r>
      <w:r w:rsidR="00AD7B52" w:rsidRPr="003B60BF">
        <w:rPr>
          <w:rFonts w:ascii="Bahnschrift" w:hAnsi="Bahnschrift"/>
          <w:sz w:val="20"/>
        </w:rPr>
        <w:lastRenderedPageBreak/>
        <w:t xml:space="preserve">podatku, a także stawkę podatku, która według wiedzy </w:t>
      </w:r>
      <w:r w:rsidR="0027702E" w:rsidRPr="003B60BF">
        <w:rPr>
          <w:rFonts w:ascii="Bahnschrift" w:hAnsi="Bahnschrift"/>
          <w:sz w:val="20"/>
        </w:rPr>
        <w:t>W</w:t>
      </w:r>
      <w:r w:rsidR="00AD7B52" w:rsidRPr="003B60BF">
        <w:rPr>
          <w:rFonts w:ascii="Bahnschrift" w:hAnsi="Bahnschrift"/>
          <w:sz w:val="20"/>
        </w:rPr>
        <w:t>ykonawcy, będzie miała w tym wypadku zastosowanie.</w:t>
      </w:r>
    </w:p>
    <w:p w14:paraId="51DED062" w14:textId="178FE07C" w:rsidR="00CF4850" w:rsidRPr="00A14570" w:rsidRDefault="00CF4850" w:rsidP="00D133C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Tajemnica przedsiębiorstwa.</w:t>
      </w:r>
    </w:p>
    <w:p w14:paraId="5DA06910" w14:textId="3F2B5F08" w:rsidR="007B0947" w:rsidRDefault="00CF4850" w:rsidP="00D133CC">
      <w:pPr>
        <w:pStyle w:val="Nagwek3"/>
        <w:widowControl w:val="0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D133CC">
      <w:pPr>
        <w:pStyle w:val="Nagwek3"/>
        <w:widowControl w:val="0"/>
        <w:numPr>
          <w:ilvl w:val="0"/>
          <w:numId w:val="23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D133CC">
      <w:pPr>
        <w:pStyle w:val="Nagwek3"/>
        <w:widowControl w:val="0"/>
        <w:numPr>
          <w:ilvl w:val="0"/>
          <w:numId w:val="23"/>
        </w:numPr>
        <w:spacing w:after="240"/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D133CC">
      <w:pPr>
        <w:pStyle w:val="Nagwek1"/>
        <w:widowControl w:val="0"/>
        <w:spacing w:before="0"/>
      </w:pPr>
      <w:bookmarkStart w:id="25" w:name="_Toc99351187"/>
      <w:r w:rsidRPr="005B5BDF">
        <w:t>Sposób oraz termin składania ofert.</w:t>
      </w:r>
      <w:bookmarkEnd w:id="25"/>
    </w:p>
    <w:p w14:paraId="57903697" w14:textId="77777777" w:rsidR="007B0947" w:rsidRPr="00A14570" w:rsidRDefault="007B0947" w:rsidP="00D133CC">
      <w:pPr>
        <w:pStyle w:val="Nagwek2"/>
        <w:keepNext w:val="0"/>
        <w:widowControl w:val="0"/>
        <w:numPr>
          <w:ilvl w:val="0"/>
          <w:numId w:val="45"/>
        </w:numPr>
        <w:spacing w:before="100" w:beforeAutospacing="1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42088A7F" w:rsidR="007B0947" w:rsidRDefault="007B0947" w:rsidP="00D133CC">
      <w:pPr>
        <w:widowControl w:val="0"/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FF6FA9">
        <w:rPr>
          <w:b/>
          <w:shd w:val="clear" w:color="auto" w:fill="D9E2F3" w:themeFill="accent1" w:themeFillTint="33"/>
          <w:lang w:eastAsia="x-none"/>
        </w:rPr>
        <w:t>15.04.</w:t>
      </w:r>
      <w:r w:rsidR="000C0355">
        <w:rPr>
          <w:b/>
          <w:shd w:val="clear" w:color="auto" w:fill="D9E2F3" w:themeFill="accent1" w:themeFillTint="33"/>
          <w:lang w:eastAsia="x-none"/>
        </w:rPr>
        <w:t>2024</w:t>
      </w:r>
      <w:r w:rsidR="002815DF">
        <w:rPr>
          <w:b/>
          <w:shd w:val="clear" w:color="auto" w:fill="D9E2F3" w:themeFill="accent1" w:themeFillTint="33"/>
          <w:lang w:eastAsia="x-none"/>
        </w:rPr>
        <w:t xml:space="preserve"> r.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 xml:space="preserve"> </w:t>
      </w:r>
      <w:r w:rsidRPr="00C162C0">
        <w:rPr>
          <w:b/>
          <w:shd w:val="clear" w:color="auto" w:fill="D9E2F3" w:themeFill="accent1" w:themeFillTint="33"/>
          <w:lang w:eastAsia="x-none"/>
        </w:rPr>
        <w:t>do godziny</w:t>
      </w:r>
      <w:r w:rsidRPr="00C162C0">
        <w:rPr>
          <w:b/>
          <w:lang w:eastAsia="x-none"/>
        </w:rPr>
        <w:t xml:space="preserve"> 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>09:30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3C3F61D9" w14:textId="77777777" w:rsidR="007B0947" w:rsidRPr="00A14570" w:rsidRDefault="007B0947" w:rsidP="00D133C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Sposób złożenia oferty.</w:t>
      </w:r>
    </w:p>
    <w:p w14:paraId="66998A5C" w14:textId="77777777" w:rsidR="007B0947" w:rsidRPr="005B5BDF" w:rsidRDefault="007B0947" w:rsidP="00D133CC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D133CC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D133CC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372474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</w:t>
      </w:r>
      <w:r w:rsidRPr="005B5BDF">
        <w:rPr>
          <w:rFonts w:eastAsia="Calibri"/>
        </w:rPr>
        <w:lastRenderedPageBreak/>
        <w:t xml:space="preserve">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372474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72FDD79E" w14:textId="051128E1" w:rsidR="009F7A41" w:rsidRDefault="007B0947" w:rsidP="00372474">
      <w:pPr>
        <w:pStyle w:val="Nagwek3"/>
        <w:widowControl w:val="0"/>
        <w:numPr>
          <w:ilvl w:val="0"/>
          <w:numId w:val="46"/>
        </w:numPr>
        <w:spacing w:after="120"/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372474">
      <w:pPr>
        <w:pStyle w:val="Nagwek1"/>
        <w:widowControl w:val="0"/>
        <w:spacing w:before="0"/>
      </w:pPr>
      <w:bookmarkStart w:id="26" w:name="_Toc99351188"/>
      <w:r w:rsidRPr="005B5BDF">
        <w:t>Termin i tryb otwarcia ofert.</w:t>
      </w:r>
      <w:bookmarkEnd w:id="26"/>
    </w:p>
    <w:p w14:paraId="7D3146F9" w14:textId="4946C3EC" w:rsidR="0003593D" w:rsidRPr="00A14570" w:rsidRDefault="0003593D" w:rsidP="00372474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otwarcia ofert.</w:t>
      </w:r>
    </w:p>
    <w:p w14:paraId="79D90EF1" w14:textId="59C1F140" w:rsidR="007B0947" w:rsidRPr="00A14570" w:rsidRDefault="0003593D" w:rsidP="00372474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2822F4">
        <w:rPr>
          <w:rFonts w:eastAsia="Calibri"/>
          <w:b/>
          <w:shd w:val="clear" w:color="auto" w:fill="DEEAF6" w:themeFill="accent5" w:themeFillTint="33"/>
        </w:rPr>
        <w:t>15.04.</w:t>
      </w:r>
      <w:r w:rsidR="00EB2BB5" w:rsidRPr="00EB2BB5">
        <w:rPr>
          <w:rFonts w:eastAsia="Calibri"/>
          <w:b/>
          <w:shd w:val="clear" w:color="auto" w:fill="DEEAF6" w:themeFill="accent5" w:themeFillTint="33"/>
        </w:rPr>
        <w:t xml:space="preserve">2024 </w:t>
      </w:r>
      <w:r w:rsidR="007B0947" w:rsidRPr="00A14570">
        <w:rPr>
          <w:b/>
          <w:shd w:val="clear" w:color="auto" w:fill="D9E2F3" w:themeFill="accent1" w:themeFillTint="33"/>
        </w:rPr>
        <w:t>r.</w:t>
      </w:r>
      <w:r w:rsidR="00C13AFF" w:rsidRPr="00A14570">
        <w:rPr>
          <w:b/>
          <w:shd w:val="clear" w:color="auto" w:fill="D9E2F3" w:themeFill="accent1" w:themeFillTint="33"/>
        </w:rPr>
        <w:t xml:space="preserve">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10:00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>;</w:t>
      </w:r>
    </w:p>
    <w:p w14:paraId="432E902E" w14:textId="4C26866D" w:rsidR="007B0947" w:rsidRPr="00A14570" w:rsidRDefault="009A7AB0" w:rsidP="00372474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6C5E1AD6" w:rsidR="0003593D" w:rsidRPr="00A14570" w:rsidRDefault="0003593D" w:rsidP="00372474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37247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Tryb otwarcia ofert.</w:t>
      </w:r>
    </w:p>
    <w:p w14:paraId="71C13679" w14:textId="77777777" w:rsidR="007B0947" w:rsidRDefault="0003593D" w:rsidP="00372474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372474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372474">
      <w:pPr>
        <w:pStyle w:val="Nagwek4"/>
        <w:widowControl w:val="0"/>
        <w:numPr>
          <w:ilvl w:val="0"/>
          <w:numId w:val="39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372474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372474">
      <w:pPr>
        <w:pStyle w:val="Nagwek3"/>
        <w:widowControl w:val="0"/>
        <w:numPr>
          <w:ilvl w:val="0"/>
          <w:numId w:val="26"/>
        </w:numPr>
        <w:spacing w:after="12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372474">
      <w:pPr>
        <w:pStyle w:val="Nagwek1"/>
        <w:widowControl w:val="0"/>
        <w:spacing w:before="0"/>
      </w:pPr>
      <w:bookmarkStart w:id="27" w:name="_Toc99351189"/>
      <w:r w:rsidRPr="005B5BDF">
        <w:t>Termin związania ofertą.</w:t>
      </w:r>
      <w:bookmarkEnd w:id="27"/>
      <w:r w:rsidRPr="005B5BDF">
        <w:t xml:space="preserve"> </w:t>
      </w:r>
    </w:p>
    <w:p w14:paraId="2B839405" w14:textId="0FA7F6F1" w:rsidR="00D06776" w:rsidRPr="00A14570" w:rsidRDefault="00D06776" w:rsidP="00372474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38F09F84" w:rsidR="00D06776" w:rsidRPr="00A14570" w:rsidRDefault="00D06776" w:rsidP="00372474">
      <w:pPr>
        <w:pStyle w:val="Nagwek3"/>
        <w:widowControl w:val="0"/>
        <w:ind w:left="284"/>
        <w:contextualSpacing w:val="0"/>
      </w:pPr>
      <w:r w:rsidRPr="00A14570">
        <w:t>Wykonawca będzie związany złożoną przez siebie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D85749">
        <w:rPr>
          <w:b/>
          <w:shd w:val="clear" w:color="auto" w:fill="D9E2F3" w:themeFill="accent1" w:themeFillTint="33"/>
        </w:rPr>
        <w:t>14.05</w:t>
      </w:r>
      <w:bookmarkStart w:id="28" w:name="_GoBack"/>
      <w:bookmarkEnd w:id="28"/>
      <w:r w:rsidR="00722104">
        <w:rPr>
          <w:b/>
          <w:shd w:val="clear" w:color="auto" w:fill="D9E2F3" w:themeFill="accent1" w:themeFillTint="33"/>
        </w:rPr>
        <w:t>.2024</w:t>
      </w:r>
      <w:r w:rsidR="00A73910" w:rsidRPr="00A14570">
        <w:rPr>
          <w:b/>
          <w:shd w:val="clear" w:color="auto" w:fill="D9E2F3" w:themeFill="accent1" w:themeFillTint="33"/>
        </w:rPr>
        <w:t xml:space="preserve"> </w:t>
      </w:r>
      <w:r w:rsidR="00A53226" w:rsidRPr="00A14570">
        <w:rPr>
          <w:b/>
          <w:shd w:val="clear" w:color="auto" w:fill="D9E2F3" w:themeFill="accent1" w:themeFillTint="33"/>
        </w:rPr>
        <w:t>r.</w:t>
      </w:r>
    </w:p>
    <w:p w14:paraId="2A2BB542" w14:textId="5D40E593" w:rsidR="00782008" w:rsidRPr="00A14570" w:rsidRDefault="00782008" w:rsidP="00372474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t>Przedłużenie terminu związania ofertą.</w:t>
      </w:r>
    </w:p>
    <w:p w14:paraId="54916018" w14:textId="77777777" w:rsidR="007B0947" w:rsidRDefault="00782008" w:rsidP="00372474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372474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lastRenderedPageBreak/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5B55DC57" w:rsidR="009F7A41" w:rsidRDefault="003636A2" w:rsidP="00372474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295AAA">
      <w:pPr>
        <w:pStyle w:val="Nagwek1"/>
      </w:pPr>
      <w:bookmarkStart w:id="29" w:name="_Toc99351190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9"/>
    </w:p>
    <w:p w14:paraId="60A11A2F" w14:textId="1EF2A4B7" w:rsidR="00F85C46" w:rsidRPr="00F74066" w:rsidRDefault="00D00A2F" w:rsidP="00F74066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1A6F9AFE" w14:textId="7EDC7901" w:rsidR="00F85C46" w:rsidRPr="005B5BDF" w:rsidRDefault="003C094D" w:rsidP="006B25DF">
      <w:pPr>
        <w:pStyle w:val="Nagwek3"/>
        <w:numPr>
          <w:ilvl w:val="0"/>
          <w:numId w:val="31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9E363B">
        <w:t xml:space="preserve">, </w:t>
      </w:r>
      <w:r w:rsidR="00F85C46" w:rsidRPr="005B5BDF">
        <w:t>postępowania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789E295B" w:rsidR="003C3AC5" w:rsidRPr="005B5BDF" w:rsidRDefault="00A34CBE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A34CBE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 poszczególnych zamówień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234C53D1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01486EDE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5B5BDF" w:rsidRDefault="003C094D" w:rsidP="00EB3C7D">
      <w:pPr>
        <w:pStyle w:val="Nagwek3"/>
        <w:keepNext/>
        <w:numPr>
          <w:ilvl w:val="0"/>
          <w:numId w:val="29"/>
        </w:numPr>
        <w:spacing w:before="240"/>
        <w:ind w:left="851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8827BB">
      <w:pPr>
        <w:pStyle w:val="Nagwek4"/>
        <w:widowControl w:val="0"/>
        <w:numPr>
          <w:ilvl w:val="0"/>
          <w:numId w:val="66"/>
        </w:numPr>
        <w:spacing w:before="120" w:after="0"/>
        <w:ind w:left="1134" w:hanging="283"/>
        <w:contextualSpacing w:val="0"/>
      </w:pPr>
      <w:r w:rsidRPr="005B5BDF">
        <w:t>zasady przyznawania punktów w kryterium</w:t>
      </w:r>
      <w:r w:rsidRPr="008827BB">
        <w:rPr>
          <w:b/>
        </w:rPr>
        <w:t xml:space="preserve"> „cena brutto” (C):</w:t>
      </w:r>
    </w:p>
    <w:p w14:paraId="7B6F40D5" w14:textId="66F89B4E" w:rsidR="00F85C46" w:rsidRPr="005B5BDF" w:rsidRDefault="00F85C46" w:rsidP="008827BB">
      <w:pPr>
        <w:pStyle w:val="Akapitzlist"/>
        <w:widowControl w:val="0"/>
        <w:numPr>
          <w:ilvl w:val="0"/>
          <w:numId w:val="30"/>
        </w:numPr>
        <w:ind w:left="1418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8827BB">
      <w:pPr>
        <w:widowControl w:val="0"/>
        <w:tabs>
          <w:tab w:val="left" w:pos="5103"/>
        </w:tabs>
        <w:ind w:left="1418" w:right="1983"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8827BB">
      <w:pPr>
        <w:pStyle w:val="Akapitzlist"/>
        <w:widowControl w:val="0"/>
        <w:numPr>
          <w:ilvl w:val="0"/>
          <w:numId w:val="30"/>
        </w:numPr>
        <w:ind w:left="1418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901CB5B" w:rsidR="00F85C46" w:rsidRDefault="00F85C46" w:rsidP="008827BB">
      <w:pPr>
        <w:pStyle w:val="Akapitzlist"/>
        <w:widowControl w:val="0"/>
        <w:numPr>
          <w:ilvl w:val="0"/>
          <w:numId w:val="30"/>
        </w:numPr>
        <w:ind w:left="1418" w:hanging="284"/>
        <w:contextualSpacing w:val="0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AE6F012" w14:textId="4B9B3532" w:rsidR="00A34CBE" w:rsidRPr="00171347" w:rsidRDefault="00B4713F" w:rsidP="007D7103">
      <w:pPr>
        <w:pStyle w:val="Nagwek4"/>
        <w:widowControl w:val="0"/>
        <w:spacing w:before="120" w:after="0"/>
        <w:ind w:left="1134" w:hanging="283"/>
        <w:contextualSpacing w:val="0"/>
      </w:pPr>
      <w:r w:rsidRPr="00171347">
        <w:t>Zasady przyznawania punktów w kryterium „</w:t>
      </w:r>
      <w:r w:rsidR="00195E74" w:rsidRPr="00171347">
        <w:rPr>
          <w:b/>
          <w:lang w:val="pl-PL"/>
        </w:rPr>
        <w:t>Termin realizacji poszczególnych zamówień</w:t>
      </w:r>
      <w:r w:rsidRPr="00171347">
        <w:t>”:</w:t>
      </w:r>
      <w:r w:rsidR="002C0900" w:rsidRPr="00171347">
        <w:t xml:space="preserve"> </w:t>
      </w:r>
      <w:r w:rsidR="00775075" w:rsidRPr="00171347">
        <w:rPr>
          <w:lang w:val="pl-PL"/>
        </w:rPr>
        <w:t xml:space="preserve">Zamawiający  w ramach tego kryterium przyzna maksymalnie 40 pkt. </w:t>
      </w:r>
      <w:r w:rsidR="00775075" w:rsidRPr="00171347">
        <w:t xml:space="preserve">Zgodnie z warunkami SWZ, maksymalny wymagany termin realizacji poszczególnych zamówień wynosi </w:t>
      </w:r>
      <w:r w:rsidR="00775075" w:rsidRPr="007D7103">
        <w:rPr>
          <w:b/>
        </w:rPr>
        <w:t xml:space="preserve">do </w:t>
      </w:r>
      <w:r w:rsidR="00171347" w:rsidRPr="007D7103">
        <w:rPr>
          <w:b/>
          <w:lang w:val="pl-PL"/>
        </w:rPr>
        <w:t>5</w:t>
      </w:r>
      <w:r w:rsidR="00775075" w:rsidRPr="007D7103">
        <w:rPr>
          <w:b/>
        </w:rPr>
        <w:t xml:space="preserve"> dni </w:t>
      </w:r>
      <w:r w:rsidR="00171347" w:rsidRPr="007D7103">
        <w:rPr>
          <w:b/>
          <w:lang w:val="pl-PL"/>
        </w:rPr>
        <w:t xml:space="preserve">roboczych </w:t>
      </w:r>
      <w:r w:rsidR="00775075" w:rsidRPr="007D7103">
        <w:rPr>
          <w:b/>
        </w:rPr>
        <w:t>od daty otrzymania zamówienia</w:t>
      </w:r>
      <w:r w:rsidR="00775075" w:rsidRPr="00171347">
        <w:t>. Ocena dla tego kryterium będzie obliczana na podstawie złożonego przez Wykonawcę oświadczenia w formularzu oferty, stanowiącym załącznik nr 1A do SWZ.</w:t>
      </w:r>
      <w:r w:rsidR="00775075" w:rsidRPr="00171347">
        <w:rPr>
          <w:lang w:val="pl-PL"/>
        </w:rPr>
        <w:t xml:space="preserve"> </w:t>
      </w:r>
      <w:r w:rsidR="00A34CBE" w:rsidRPr="00171347">
        <w:t>Punkty za kryterium „</w:t>
      </w:r>
      <w:r w:rsidR="00775075" w:rsidRPr="00171347">
        <w:rPr>
          <w:b/>
          <w:lang w:val="pl-PL"/>
        </w:rPr>
        <w:t>Termin realizacji poszczególnych zamówień</w:t>
      </w:r>
      <w:r w:rsidR="00A34CBE" w:rsidRPr="00171347">
        <w:t>” zostaną przyznane w następujący sposób</w:t>
      </w:r>
      <w:r w:rsidR="00775075" w:rsidRPr="00171347">
        <w:rPr>
          <w:lang w:val="pl-PL"/>
        </w:rPr>
        <w:t xml:space="preserve">: </w:t>
      </w:r>
      <w:r w:rsidR="00A34CBE" w:rsidRPr="00171347">
        <w:t>Jeżeli Wykonawca zaoferuje termin realizacji</w:t>
      </w:r>
      <w:r w:rsidR="00E6081F">
        <w:rPr>
          <w:lang w:val="pl-PL"/>
        </w:rPr>
        <w:t xml:space="preserve">                   ( w dniach roboczych)</w:t>
      </w:r>
      <w:r w:rsidR="00A34CBE" w:rsidRPr="00171347">
        <w:t>:</w:t>
      </w:r>
    </w:p>
    <w:p w14:paraId="7576F56B" w14:textId="6B7A6B6E" w:rsidR="004E7F8E" w:rsidRPr="00171347" w:rsidRDefault="004E7F8E" w:rsidP="007D7103">
      <w:pPr>
        <w:pStyle w:val="Nagwek4"/>
        <w:widowControl w:val="0"/>
        <w:numPr>
          <w:ilvl w:val="0"/>
          <w:numId w:val="62"/>
        </w:numPr>
        <w:spacing w:before="0" w:after="0"/>
        <w:ind w:hanging="306"/>
        <w:contextualSpacing w:val="0"/>
      </w:pPr>
      <w:r w:rsidRPr="00171347">
        <w:rPr>
          <w:lang w:val="pl-PL"/>
        </w:rPr>
        <w:t xml:space="preserve">do </w:t>
      </w:r>
      <w:r w:rsidR="00171347" w:rsidRPr="00171347">
        <w:rPr>
          <w:lang w:val="pl-PL"/>
        </w:rPr>
        <w:t>5</w:t>
      </w:r>
      <w:r w:rsidR="00A34CBE" w:rsidRPr="00171347">
        <w:t xml:space="preserve"> dni – otrzyma 0 pkt.</w:t>
      </w:r>
      <w:r w:rsidRPr="00171347">
        <w:rPr>
          <w:lang w:val="pl-PL"/>
        </w:rPr>
        <w:t>;</w:t>
      </w:r>
    </w:p>
    <w:p w14:paraId="04CA2C34" w14:textId="04D47AA5" w:rsidR="004E7F8E" w:rsidRPr="007F0851" w:rsidRDefault="004E7F8E" w:rsidP="007D7103">
      <w:pPr>
        <w:pStyle w:val="Nagwek4"/>
        <w:widowControl w:val="0"/>
        <w:numPr>
          <w:ilvl w:val="0"/>
          <w:numId w:val="62"/>
        </w:numPr>
        <w:spacing w:before="0" w:after="0"/>
        <w:ind w:hanging="306"/>
        <w:contextualSpacing w:val="0"/>
      </w:pPr>
      <w:r w:rsidRPr="007F0851">
        <w:rPr>
          <w:lang w:val="pl-PL"/>
        </w:rPr>
        <w:t xml:space="preserve">do </w:t>
      </w:r>
      <w:r w:rsidR="00171347" w:rsidRPr="007F0851">
        <w:rPr>
          <w:lang w:val="pl-PL"/>
        </w:rPr>
        <w:t>4</w:t>
      </w:r>
      <w:r w:rsidRPr="007F0851">
        <w:rPr>
          <w:lang w:val="pl-PL"/>
        </w:rPr>
        <w:t xml:space="preserve"> dni- </w:t>
      </w:r>
      <w:r w:rsidR="00A34CBE" w:rsidRPr="007F0851">
        <w:t xml:space="preserve">otrzyma </w:t>
      </w:r>
      <w:r w:rsidR="002E2599">
        <w:rPr>
          <w:lang w:val="pl-PL"/>
        </w:rPr>
        <w:t>2</w:t>
      </w:r>
      <w:r w:rsidR="00A1172C" w:rsidRPr="007F0851">
        <w:rPr>
          <w:lang w:val="pl-PL"/>
        </w:rPr>
        <w:t>0</w:t>
      </w:r>
      <w:r w:rsidR="00A34CBE" w:rsidRPr="007F0851">
        <w:t xml:space="preserve"> pkt.</w:t>
      </w:r>
      <w:r w:rsidRPr="007F0851">
        <w:rPr>
          <w:lang w:val="pl-PL"/>
        </w:rPr>
        <w:t>;</w:t>
      </w:r>
      <w:r w:rsidR="00A34CBE" w:rsidRPr="007F0851">
        <w:t xml:space="preserve"> </w:t>
      </w:r>
    </w:p>
    <w:p w14:paraId="70A5B4CC" w14:textId="34A3DF3A" w:rsidR="004E7F8E" w:rsidRPr="007F0851" w:rsidRDefault="004E7F8E" w:rsidP="007D7103">
      <w:pPr>
        <w:pStyle w:val="Nagwek4"/>
        <w:widowControl w:val="0"/>
        <w:numPr>
          <w:ilvl w:val="0"/>
          <w:numId w:val="62"/>
        </w:numPr>
        <w:spacing w:before="0" w:after="0"/>
        <w:ind w:hanging="306"/>
        <w:contextualSpacing w:val="0"/>
      </w:pPr>
      <w:r w:rsidRPr="007F0851">
        <w:t xml:space="preserve">do </w:t>
      </w:r>
      <w:r w:rsidR="00171347" w:rsidRPr="007F0851">
        <w:rPr>
          <w:lang w:val="pl-PL"/>
        </w:rPr>
        <w:t>3</w:t>
      </w:r>
      <w:r w:rsidRPr="007F0851">
        <w:t xml:space="preserve"> dni- otrzyma </w:t>
      </w:r>
      <w:r w:rsidR="002E2599">
        <w:rPr>
          <w:lang w:val="pl-PL"/>
        </w:rPr>
        <w:t>4</w:t>
      </w:r>
      <w:r w:rsidR="00A1172C" w:rsidRPr="007F0851">
        <w:rPr>
          <w:lang w:val="pl-PL"/>
        </w:rPr>
        <w:t>0</w:t>
      </w:r>
      <w:r w:rsidRPr="007F0851">
        <w:t xml:space="preserve"> pkt.;</w:t>
      </w:r>
    </w:p>
    <w:p w14:paraId="0DC18C22" w14:textId="0EFEE7B1" w:rsidR="00CC568A" w:rsidRPr="00E955C4" w:rsidRDefault="00A34CBE" w:rsidP="007D7103">
      <w:pPr>
        <w:widowControl w:val="0"/>
        <w:numPr>
          <w:ilvl w:val="0"/>
          <w:numId w:val="62"/>
        </w:numPr>
        <w:ind w:hanging="306"/>
        <w:rPr>
          <w:bCs/>
          <w:iCs/>
          <w:lang w:val="x-none" w:eastAsia="x-none"/>
        </w:rPr>
      </w:pPr>
      <w:r w:rsidRPr="007F0851">
        <w:t>brak oświadczenia lub dłuższy termin realizacji (tj. &gt;</w:t>
      </w:r>
      <w:r w:rsidR="007F0851" w:rsidRPr="007F0851">
        <w:t>5</w:t>
      </w:r>
      <w:r w:rsidRPr="007F0851">
        <w:t xml:space="preserve"> dni roboczych) – oferta zostanie odrzucona,</w:t>
      </w:r>
      <w:r w:rsidR="00AC4F5B" w:rsidRPr="007F0851">
        <w:t xml:space="preserve"> </w:t>
      </w:r>
      <w:r w:rsidR="00CC568A" w:rsidRPr="007F0851">
        <w:rPr>
          <w:rFonts w:eastAsia="Palatino Linotype" w:cs="Arial"/>
          <w:szCs w:val="20"/>
          <w:lang w:eastAsia="pl-PL"/>
        </w:rPr>
        <w:t>jako niezgodna z warunkami zamówienia na podstawie art. 226 ust. 1 pkt 5 ustawy Pzp;</w:t>
      </w:r>
    </w:p>
    <w:p w14:paraId="2E4A2F60" w14:textId="170C7F80" w:rsidR="00E955C4" w:rsidRPr="00E955C4" w:rsidRDefault="00E955C4" w:rsidP="007D7103">
      <w:pPr>
        <w:pStyle w:val="Akapitzlist"/>
        <w:widowControl w:val="0"/>
        <w:numPr>
          <w:ilvl w:val="0"/>
          <w:numId w:val="56"/>
        </w:numPr>
        <w:ind w:left="1418" w:hanging="284"/>
        <w:contextualSpacing w:val="0"/>
        <w:rPr>
          <w:rFonts w:eastAsia="Palatino Linotype" w:cs="Arial"/>
          <w:szCs w:val="20"/>
          <w:lang w:eastAsia="pl-PL"/>
        </w:rPr>
      </w:pPr>
      <w:r w:rsidRPr="00E955C4">
        <w:rPr>
          <w:rFonts w:eastAsia="Palatino Linotype" w:cs="Arial"/>
          <w:szCs w:val="20"/>
          <w:lang w:eastAsia="pl-PL"/>
        </w:rPr>
        <w:t xml:space="preserve">zaoferowanie terminu krótszego niż </w:t>
      </w:r>
      <w:r>
        <w:rPr>
          <w:rFonts w:eastAsia="Palatino Linotype" w:cs="Arial"/>
          <w:szCs w:val="20"/>
          <w:lang w:eastAsia="pl-PL"/>
        </w:rPr>
        <w:t>3 dni</w:t>
      </w:r>
      <w:r w:rsidR="001E6955">
        <w:rPr>
          <w:rFonts w:eastAsia="Palatino Linotype" w:cs="Arial"/>
          <w:szCs w:val="20"/>
          <w:lang w:eastAsia="pl-PL"/>
        </w:rPr>
        <w:t xml:space="preserve"> robocze</w:t>
      </w:r>
      <w:r w:rsidRPr="00E955C4">
        <w:rPr>
          <w:rFonts w:eastAsia="Palatino Linotype" w:cs="Arial"/>
          <w:szCs w:val="20"/>
          <w:lang w:eastAsia="pl-PL"/>
        </w:rPr>
        <w:t xml:space="preserve"> nie spowoduje otrzymania większej ilości punktów niż 40; </w:t>
      </w:r>
    </w:p>
    <w:p w14:paraId="5529A641" w14:textId="31C40B9E" w:rsidR="00CC568A" w:rsidRPr="007F0851" w:rsidRDefault="00CC568A" w:rsidP="008827BB">
      <w:pPr>
        <w:widowControl w:val="0"/>
        <w:numPr>
          <w:ilvl w:val="0"/>
          <w:numId w:val="56"/>
        </w:numPr>
        <w:ind w:left="1418" w:hanging="284"/>
        <w:rPr>
          <w:rFonts w:eastAsia="Palatino Linotype" w:cs="Arial"/>
          <w:szCs w:val="20"/>
          <w:lang w:eastAsia="pl-PL"/>
        </w:rPr>
      </w:pPr>
      <w:r w:rsidRPr="007F0851">
        <w:rPr>
          <w:rFonts w:eastAsia="Palatino Linotype" w:cs="Arial"/>
          <w:szCs w:val="20"/>
          <w:lang w:eastAsia="pl-PL"/>
        </w:rPr>
        <w:lastRenderedPageBreak/>
        <w:t>termin realizacji należy podać liczbowo i słownie (w przypadku rozbieżności w zakresie terminu realizacji podanego liczbowo i słownie, Zamawiający za obowiązujący uzna termin realizacji podany słownie);</w:t>
      </w:r>
    </w:p>
    <w:p w14:paraId="39DBE467" w14:textId="678F142F" w:rsidR="00CC568A" w:rsidRPr="007F0851" w:rsidRDefault="00CC568A" w:rsidP="008827BB">
      <w:pPr>
        <w:widowControl w:val="0"/>
        <w:numPr>
          <w:ilvl w:val="0"/>
          <w:numId w:val="56"/>
        </w:numPr>
        <w:ind w:left="1418" w:hanging="284"/>
        <w:rPr>
          <w:rFonts w:eastAsia="Palatino Linotype" w:cs="Arial"/>
          <w:szCs w:val="20"/>
          <w:lang w:eastAsia="pl-PL"/>
        </w:rPr>
      </w:pPr>
      <w:r w:rsidRPr="007F0851">
        <w:rPr>
          <w:rFonts w:eastAsia="Palatino Linotype" w:cs="Arial"/>
          <w:szCs w:val="20"/>
        </w:rPr>
        <w:t>Wykonawca podając termin</w:t>
      </w:r>
      <w:r w:rsidRPr="007F0851">
        <w:rPr>
          <w:rFonts w:eastAsia="Palatino Linotype" w:cs="Arial"/>
          <w:szCs w:val="20"/>
          <w:lang w:eastAsia="pl-PL"/>
        </w:rPr>
        <w:t xml:space="preserve"> realizacji zamówienia po</w:t>
      </w:r>
      <w:r w:rsidRPr="007F0851">
        <w:rPr>
          <w:rFonts w:eastAsia="Palatino Linotype" w:cs="Arial"/>
          <w:szCs w:val="20"/>
        </w:rPr>
        <w:t>winien określić pełne dni potrzebne na zrealizowanie zamówienia, licząc od daty otrzymania zamówienia</w:t>
      </w:r>
      <w:r w:rsidR="00537F41">
        <w:rPr>
          <w:rFonts w:eastAsia="Palatino Linotype" w:cs="Arial"/>
          <w:szCs w:val="20"/>
        </w:rPr>
        <w:t>;</w:t>
      </w:r>
    </w:p>
    <w:p w14:paraId="24935EF6" w14:textId="59F81EAE" w:rsidR="00CC568A" w:rsidRPr="007F0851" w:rsidRDefault="00CC568A" w:rsidP="008827BB">
      <w:pPr>
        <w:widowControl w:val="0"/>
        <w:numPr>
          <w:ilvl w:val="0"/>
          <w:numId w:val="56"/>
        </w:numPr>
        <w:ind w:left="1418" w:hanging="284"/>
        <w:rPr>
          <w:rFonts w:eastAsia="Palatino Linotype" w:cs="Arial"/>
          <w:szCs w:val="20"/>
          <w:lang w:eastAsia="pl-PL"/>
        </w:rPr>
      </w:pPr>
      <w:r w:rsidRPr="007F0851">
        <w:rPr>
          <w:rFonts w:eastAsia="Palatino Linotype" w:cs="Arial"/>
          <w:szCs w:val="20"/>
        </w:rPr>
        <w:t xml:space="preserve">W przypadku podania terminu w niepełnych dniach np. </w:t>
      </w:r>
      <w:r w:rsidR="007F0851" w:rsidRPr="007F0851">
        <w:rPr>
          <w:rFonts w:eastAsia="Palatino Linotype" w:cs="Arial"/>
          <w:szCs w:val="20"/>
        </w:rPr>
        <w:t>4</w:t>
      </w:r>
      <w:r w:rsidRPr="007F0851">
        <w:rPr>
          <w:rFonts w:eastAsia="Palatino Linotype" w:cs="Arial"/>
          <w:szCs w:val="20"/>
        </w:rPr>
        <w:t xml:space="preserve">,5 dnia, Zamawiający do celów punktacji zaokrągli podany termin w górę do pełnych dni (np. podanie terminu </w:t>
      </w:r>
      <w:r w:rsidR="007F0851" w:rsidRPr="007F0851">
        <w:rPr>
          <w:rFonts w:eastAsia="Palatino Linotype" w:cs="Arial"/>
          <w:szCs w:val="20"/>
        </w:rPr>
        <w:t>4</w:t>
      </w:r>
      <w:r w:rsidRPr="007F0851">
        <w:rPr>
          <w:rFonts w:eastAsia="Palatino Linotype" w:cs="Arial"/>
          <w:szCs w:val="20"/>
        </w:rPr>
        <w:t xml:space="preserve">,5 dni – Zamawiający zaokrągli termin w górę do </w:t>
      </w:r>
      <w:r w:rsidR="007F0851" w:rsidRPr="007F0851">
        <w:rPr>
          <w:rFonts w:eastAsia="Palatino Linotype" w:cs="Arial"/>
          <w:szCs w:val="20"/>
        </w:rPr>
        <w:t>5</w:t>
      </w:r>
      <w:r w:rsidRPr="007F0851">
        <w:rPr>
          <w:rFonts w:eastAsia="Palatino Linotype" w:cs="Arial"/>
          <w:szCs w:val="20"/>
        </w:rPr>
        <w:t xml:space="preserve"> dni)</w:t>
      </w:r>
      <w:r w:rsidR="00E07E4E">
        <w:rPr>
          <w:rFonts w:eastAsia="Palatino Linotype" w:cs="Arial"/>
          <w:szCs w:val="20"/>
        </w:rPr>
        <w:t>.</w:t>
      </w:r>
    </w:p>
    <w:p w14:paraId="31CFC1C5" w14:textId="4207B79E" w:rsidR="009E363B" w:rsidRPr="00971D51" w:rsidRDefault="000A37EA" w:rsidP="006B4A5B">
      <w:pPr>
        <w:pStyle w:val="Nagwek3"/>
        <w:widowControl w:val="0"/>
        <w:numPr>
          <w:ilvl w:val="0"/>
          <w:numId w:val="47"/>
        </w:numPr>
        <w:spacing w:before="120"/>
        <w:ind w:left="567" w:hanging="283"/>
        <w:contextualSpacing w:val="0"/>
        <w:rPr>
          <w:b/>
        </w:rPr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F85C46" w:rsidRPr="000B1A68">
        <w:rPr>
          <w:b/>
        </w:rPr>
        <w:t>cena brutto + term</w:t>
      </w:r>
      <w:r w:rsidRPr="000B1A68">
        <w:rPr>
          <w:b/>
        </w:rPr>
        <w:t>in realizacji</w:t>
      </w:r>
      <w:r w:rsidR="00BE41E2" w:rsidRPr="00BE41E2">
        <w:t xml:space="preserve"> </w:t>
      </w:r>
      <w:r w:rsidR="00971D51" w:rsidRPr="00971D51">
        <w:rPr>
          <w:b/>
        </w:rPr>
        <w:t>poszczególnych zamówień</w:t>
      </w:r>
      <w:r w:rsidRPr="00971D51">
        <w:rPr>
          <w:b/>
        </w:rPr>
        <w:t>;</w:t>
      </w:r>
    </w:p>
    <w:p w14:paraId="6C565FB5" w14:textId="77777777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16727835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,  </w:t>
      </w:r>
      <w:r w:rsidR="00657596">
        <w:t xml:space="preserve">w niniejszym postępowaniu, 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1772DFE3" w:rsidR="00F85C46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595F35C5" w:rsidR="00F85C46" w:rsidRPr="00334D54" w:rsidRDefault="00F85C46" w:rsidP="002C2D35">
      <w:pPr>
        <w:pStyle w:val="Nagwek2"/>
        <w:keepNext w:val="0"/>
        <w:widowControl w:val="0"/>
        <w:numPr>
          <w:ilvl w:val="0"/>
          <w:numId w:val="6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t>Zawiadomienie o wyborze najkorzystniejszej oferty.</w:t>
      </w:r>
    </w:p>
    <w:p w14:paraId="37CCE3CB" w14:textId="3AFC6D79" w:rsidR="003636A2" w:rsidRPr="00334D54" w:rsidRDefault="003636A2" w:rsidP="002C2D35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</w:pPr>
      <w:r w:rsidRPr="00334D54">
        <w:t>Niezwłocznie po wyborze najkorzystniejszej oferty</w:t>
      </w:r>
      <w:r w:rsidR="0053656A" w:rsidRPr="00334D54">
        <w:t xml:space="preserve"> </w:t>
      </w:r>
      <w:r w:rsidR="00DD1CDA" w:rsidRPr="00334D54"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1354B36D" w:rsidR="003636A2" w:rsidRPr="00334D54" w:rsidRDefault="003636A2" w:rsidP="002C2D35">
      <w:pPr>
        <w:pStyle w:val="Nagwek4"/>
        <w:widowControl w:val="0"/>
        <w:numPr>
          <w:ilvl w:val="0"/>
          <w:numId w:val="40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2C2D35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t>W</w:t>
      </w:r>
      <w:r w:rsidR="003636A2" w:rsidRPr="00334D54">
        <w:t xml:space="preserve">ykonawcach, których oferty zostały odrzucone </w:t>
      </w:r>
    </w:p>
    <w:p w14:paraId="1C0C9412" w14:textId="2559A6A5" w:rsidR="003636A2" w:rsidRPr="00334D54" w:rsidRDefault="003636A2" w:rsidP="002C2D35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6C99EAEE" w14:textId="28A74B4F" w:rsidR="00F85C46" w:rsidRDefault="00F85C46" w:rsidP="006B4A5B">
      <w:pPr>
        <w:pStyle w:val="Nagwek3"/>
        <w:widowControl w:val="0"/>
        <w:numPr>
          <w:ilvl w:val="0"/>
          <w:numId w:val="61"/>
        </w:numPr>
        <w:spacing w:after="1800"/>
        <w:ind w:left="567" w:hanging="283"/>
        <w:contextualSpacing w:val="0"/>
      </w:pPr>
      <w:r w:rsidRPr="00334D54"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302F5894" w14:textId="510B492E" w:rsidR="00F85C46" w:rsidRPr="005B5BDF" w:rsidRDefault="00F85C46" w:rsidP="002C2D35">
      <w:pPr>
        <w:pStyle w:val="Nagwek1"/>
        <w:widowControl w:val="0"/>
        <w:spacing w:before="0"/>
      </w:pPr>
      <w:bookmarkStart w:id="30" w:name="_Toc99351191"/>
      <w:r w:rsidRPr="005B5BDF">
        <w:lastRenderedPageBreak/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30"/>
      <w:r w:rsidRPr="005B5BDF">
        <w:t xml:space="preserve"> </w:t>
      </w:r>
    </w:p>
    <w:p w14:paraId="46297F5C" w14:textId="77777777" w:rsidR="001A3180" w:rsidRPr="001A3180" w:rsidRDefault="001A3180" w:rsidP="002C2D35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59486240" w:rsid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DB17BD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7A6EB3C6" w:rsidR="001A3180" w:rsidRP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2C2D35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3D1C0DB4" w:rsidR="001A3180" w:rsidRDefault="001A3180" w:rsidP="002C2D35">
      <w:pPr>
        <w:pStyle w:val="Nagwek3"/>
        <w:widowControl w:val="0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2C2D35">
      <w:pPr>
        <w:pStyle w:val="Nagwek2"/>
        <w:keepNext w:val="0"/>
        <w:widowControl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76B32FCF" w14:textId="04C4EBDB" w:rsidR="001A3180" w:rsidRDefault="001A3180" w:rsidP="0074429B">
      <w:pPr>
        <w:pStyle w:val="Nagwek3"/>
        <w:widowControl w:val="0"/>
        <w:spacing w:after="120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774FCD">
      <w:pPr>
        <w:pStyle w:val="Nagwek1"/>
        <w:widowControl w:val="0"/>
        <w:spacing w:before="0"/>
      </w:pPr>
      <w:bookmarkStart w:id="31" w:name="_Toc99351192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31"/>
    </w:p>
    <w:p w14:paraId="78D2F2E9" w14:textId="77777777" w:rsidR="00762B2C" w:rsidRPr="009B3970" w:rsidRDefault="00762B2C" w:rsidP="00774FCD">
      <w:pPr>
        <w:pStyle w:val="Nagwek2"/>
        <w:keepNext w:val="0"/>
        <w:widowControl w:val="0"/>
        <w:numPr>
          <w:ilvl w:val="0"/>
          <w:numId w:val="49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4FBDD2C0" w14:textId="77777777" w:rsidR="00762B2C" w:rsidRPr="009B3970" w:rsidRDefault="00762B2C" w:rsidP="00774FCD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9B3970" w:rsidRDefault="00762B2C" w:rsidP="00774FCD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Pr="009B3970" w:rsidRDefault="00762B2C" w:rsidP="00774FCD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>Odwołanie.</w:t>
      </w:r>
    </w:p>
    <w:p w14:paraId="23A008B9" w14:textId="77777777" w:rsidR="00762B2C" w:rsidRDefault="00762B2C" w:rsidP="00774FCD">
      <w:pPr>
        <w:widowControl w:val="0"/>
        <w:ind w:left="567" w:hanging="283"/>
        <w:rPr>
          <w:lang w:eastAsia="x-none"/>
        </w:rPr>
      </w:pPr>
      <w:r w:rsidRPr="009B3970">
        <w:rPr>
          <w:lang w:eastAsia="x-none"/>
        </w:rPr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74429B">
      <w:pPr>
        <w:widowControl w:val="0"/>
        <w:spacing w:after="600"/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774FCD">
      <w:pPr>
        <w:widowControl w:val="0"/>
        <w:ind w:left="567"/>
        <w:rPr>
          <w:lang w:eastAsia="x-none"/>
        </w:rPr>
      </w:pPr>
      <w:r>
        <w:rPr>
          <w:lang w:eastAsia="x-none"/>
        </w:rPr>
        <w:lastRenderedPageBreak/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774FCD">
      <w:pPr>
        <w:widowControl w:val="0"/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774FCD">
      <w:pPr>
        <w:widowControl w:val="0"/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9B3970" w:rsidRDefault="00762B2C" w:rsidP="00774FCD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Skarga. </w:t>
      </w:r>
    </w:p>
    <w:p w14:paraId="188AD9A4" w14:textId="77777777" w:rsidR="00762B2C" w:rsidRPr="009B3970" w:rsidRDefault="00762B2C" w:rsidP="00774FCD">
      <w:pPr>
        <w:widowControl w:val="0"/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4311A10A" w:rsidR="00762B2C" w:rsidRDefault="00762B2C" w:rsidP="00774FCD">
      <w:pPr>
        <w:pStyle w:val="Akapitzlist"/>
        <w:widowControl w:val="0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295AAA">
      <w:pPr>
        <w:pStyle w:val="Nagwek1"/>
      </w:pPr>
      <w:bookmarkStart w:id="32" w:name="_Toc99351193"/>
      <w:r w:rsidRPr="005B5BDF">
        <w:t>Informacje dodatkowe.</w:t>
      </w:r>
      <w:bookmarkEnd w:id="32"/>
    </w:p>
    <w:p w14:paraId="5B19376B" w14:textId="59623ABD" w:rsidR="00F85C46" w:rsidRPr="00DB17BD" w:rsidRDefault="00FE10A7" w:rsidP="006B25DF">
      <w:pPr>
        <w:pStyle w:val="Nagwek2"/>
        <w:keepNext w:val="0"/>
        <w:numPr>
          <w:ilvl w:val="0"/>
          <w:numId w:val="34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6B25DF">
      <w:pPr>
        <w:pStyle w:val="Nagwek2"/>
        <w:numPr>
          <w:ilvl w:val="0"/>
          <w:numId w:val="57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94D40F9" w:rsidR="00BD1DFF" w:rsidRPr="00DB17BD" w:rsidRDefault="00F85C46" w:rsidP="006B25DF">
      <w:pPr>
        <w:pStyle w:val="Nagwek2"/>
        <w:numPr>
          <w:ilvl w:val="0"/>
          <w:numId w:val="57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6B25DF">
      <w:pPr>
        <w:pStyle w:val="Nagwek2"/>
        <w:keepNext w:val="0"/>
        <w:numPr>
          <w:ilvl w:val="0"/>
          <w:numId w:val="57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6B25DF">
      <w:pPr>
        <w:pStyle w:val="Nagwek3"/>
        <w:numPr>
          <w:ilvl w:val="0"/>
          <w:numId w:val="41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5A657DA0" w:rsidR="00F85C46" w:rsidRPr="00DB17BD" w:rsidRDefault="00F85C46" w:rsidP="006B25DF">
      <w:pPr>
        <w:pStyle w:val="Nagwek3"/>
        <w:numPr>
          <w:ilvl w:val="0"/>
          <w:numId w:val="41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77777777" w:rsidR="00F85C46" w:rsidRPr="00DB17BD" w:rsidRDefault="00F85C46" w:rsidP="006B25DF">
      <w:pPr>
        <w:pStyle w:val="Nagwek2"/>
        <w:keepNext w:val="0"/>
        <w:numPr>
          <w:ilvl w:val="0"/>
          <w:numId w:val="57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t>Ochrona danych osobowych.</w:t>
      </w:r>
    </w:p>
    <w:p w14:paraId="39DDDF9C" w14:textId="2A10ABBC" w:rsidR="00F85C46" w:rsidRPr="00DB17BD" w:rsidRDefault="00F85C46" w:rsidP="006B25DF">
      <w:pPr>
        <w:pStyle w:val="Nagwek3"/>
        <w:numPr>
          <w:ilvl w:val="0"/>
          <w:numId w:val="35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6B25DF">
      <w:pPr>
        <w:pStyle w:val="Nagwek4"/>
        <w:numPr>
          <w:ilvl w:val="0"/>
          <w:numId w:val="42"/>
        </w:numPr>
        <w:spacing w:before="0" w:after="0"/>
        <w:ind w:left="851" w:hanging="284"/>
        <w:contextualSpacing w:val="0"/>
      </w:pPr>
      <w:r w:rsidRPr="00DB17BD">
        <w:rPr>
          <w:b/>
        </w:rPr>
        <w:t>Administrator danych osobowych</w:t>
      </w:r>
      <w:r w:rsidRPr="00DB17BD">
        <w:t xml:space="preserve">. Administratorem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lastRenderedPageBreak/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091453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7F8B3AE5" w:rsidR="00F85C46" w:rsidRPr="005B5BDF" w:rsidRDefault="00F85C46" w:rsidP="00DB17BD">
      <w:pPr>
        <w:pStyle w:val="Nagwek4"/>
        <w:spacing w:before="0" w:after="0"/>
        <w:ind w:left="851" w:hanging="284"/>
        <w:contextualSpacing w:val="0"/>
        <w:rPr>
          <w:b/>
        </w:rPr>
      </w:pPr>
      <w:r w:rsidRPr="00DB17BD">
        <w:rPr>
          <w:b/>
        </w:rPr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6C6DEC">
        <w:rPr>
          <w:b/>
          <w:lang w:val="pl-PL"/>
        </w:rPr>
        <w:t>1</w:t>
      </w:r>
      <w:r w:rsidR="00613ECC">
        <w:rPr>
          <w:b/>
          <w:lang w:val="pl-PL"/>
        </w:rPr>
        <w:t>9.</w:t>
      </w:r>
      <w:r w:rsidR="00FD3DAE" w:rsidRPr="00FD3DAE">
        <w:rPr>
          <w:b/>
        </w:rPr>
        <w:t>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5B5BDF">
        <w:rPr>
          <w:lang w:val="pl-PL"/>
        </w:rPr>
        <w:t>„</w:t>
      </w:r>
      <w:r w:rsidR="006C6DEC" w:rsidRPr="006C6DEC">
        <w:rPr>
          <w:b/>
          <w:lang w:val="pl-PL"/>
        </w:rPr>
        <w:t>Dostawa materiałów eksploatacyjnych- tusze</w:t>
      </w:r>
      <w:r w:rsidR="00AE4CD2" w:rsidRPr="005B5BDF">
        <w:rPr>
          <w:b/>
          <w:lang w:val="pl-PL"/>
        </w:rPr>
        <w:t>”</w:t>
      </w:r>
      <w:r w:rsidRPr="005B5BDF">
        <w:rPr>
          <w:b/>
        </w:rPr>
        <w:t xml:space="preserve"> </w:t>
      </w:r>
      <w:r w:rsidR="00F23854">
        <w:t>prowadzonym</w:t>
      </w:r>
      <w:r w:rsidR="00F23854">
        <w:rPr>
          <w:lang w:val="pl-PL"/>
        </w:rPr>
        <w:t xml:space="preserve"> </w:t>
      </w:r>
      <w:r w:rsidR="00E127DF">
        <w:rPr>
          <w:lang w:val="pl-PL"/>
        </w:rPr>
        <w:t xml:space="preserve">                  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52CB9F5A" w14:textId="31A7F38F" w:rsidR="005766D5" w:rsidRPr="00CF2D5E" w:rsidRDefault="00F85C46" w:rsidP="00CF2D5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CF2D5E" w:rsidRPr="00CF2D5E">
        <w:rPr>
          <w:lang w:val="pl-PL"/>
        </w:rPr>
        <w:t>Dz.U. 2023 poz. 1605</w:t>
      </w:r>
      <w:r w:rsidR="00CD1205">
        <w:rPr>
          <w:lang w:val="pl-PL"/>
        </w:rPr>
        <w:t xml:space="preserve"> ze zm.</w:t>
      </w:r>
      <w:r w:rsidR="0061008C" w:rsidRPr="005B5BDF">
        <w:t>)</w:t>
      </w:r>
      <w:r w:rsidR="007F153F" w:rsidRPr="005B5BDF">
        <w:t>,</w:t>
      </w:r>
      <w:r w:rsidR="00F57C56">
        <w:rPr>
          <w:lang w:val="pl-PL"/>
        </w:rPr>
        <w:t xml:space="preserve"> </w:t>
      </w:r>
      <w:r w:rsidR="007F153F" w:rsidRPr="005B5BDF">
        <w:t xml:space="preserve">a także </w:t>
      </w:r>
      <w:r w:rsidR="00CD1205">
        <w:rPr>
          <w:lang w:val="pl-PL"/>
        </w:rPr>
        <w:t xml:space="preserve">                      </w:t>
      </w:r>
      <w:r w:rsidR="007F153F" w:rsidRPr="005B5BDF">
        <w:t>w oparciu o przepis art. 6 ustawy z dnia 6 września 2001 r. o dostępie do informacji publicznej 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 xml:space="preserve">. Udostępnianie danych ma zastosowanie do wszystkich danych osobowych, </w:t>
      </w:r>
      <w:r w:rsidR="00CF2D5E">
        <w:rPr>
          <w:lang w:val="pl-PL"/>
        </w:rPr>
        <w:t xml:space="preserve">                            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41710E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41710E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41710E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F633C8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F633C8">
      <w:pPr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lastRenderedPageBreak/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B4713F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F633C8">
      <w:pPr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6B25DF">
      <w:pPr>
        <w:pStyle w:val="Nagwek3"/>
        <w:numPr>
          <w:ilvl w:val="0"/>
          <w:numId w:val="35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E31C47">
      <w:footerReference w:type="default" r:id="rId34"/>
      <w:headerReference w:type="first" r:id="rId35"/>
      <w:footerReference w:type="first" r:id="rId36"/>
      <w:pgSz w:w="11906" w:h="16838" w:code="9"/>
      <w:pgMar w:top="993" w:right="1134" w:bottom="567" w:left="1134" w:header="33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15943" w:rsidRDefault="00615943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15943" w:rsidRDefault="00615943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EndPr/>
    <w:sdtContent>
      <w:p w14:paraId="1BAA90CA" w14:textId="4440452B" w:rsidR="00615943" w:rsidRPr="00901724" w:rsidRDefault="00615943" w:rsidP="008D0712">
        <w:pPr>
          <w:pStyle w:val="Stopka"/>
          <w:spacing w:before="240" w:after="120"/>
          <w:jc w:val="right"/>
          <w:rPr>
            <w:rFonts w:eastAsiaTheme="majorEastAsia" w:cstheme="majorBidi"/>
            <w:sz w:val="16"/>
            <w:szCs w:val="16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 w:rsidR="00416AED">
          <w:rPr>
            <w:rFonts w:eastAsiaTheme="majorEastAsia" w:cstheme="majorBidi"/>
            <w:sz w:val="16"/>
            <w:szCs w:val="16"/>
          </w:rPr>
          <w:t>5</w:t>
        </w:r>
      </w:p>
    </w:sdtContent>
  </w:sdt>
  <w:p w14:paraId="59907D2F" w14:textId="77777777" w:rsidR="00615943" w:rsidRPr="006B318B" w:rsidRDefault="00615943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DD393" w14:textId="373EE495" w:rsidR="00615943" w:rsidRPr="00F84EF3" w:rsidRDefault="00615943" w:rsidP="00C0411E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4416" behindDoc="1" locked="0" layoutInCell="1" allowOverlap="1" wp14:anchorId="396CDC2E" wp14:editId="6BDB9042">
          <wp:simplePos x="0" y="0"/>
          <wp:positionH relativeFrom="page">
            <wp:posOffset>79375</wp:posOffset>
          </wp:positionH>
          <wp:positionV relativeFrom="page">
            <wp:posOffset>9457690</wp:posOffset>
          </wp:positionV>
          <wp:extent cx="3259455" cy="10668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54656" behindDoc="1" locked="0" layoutInCell="1" allowOverlap="1" wp14:anchorId="039F3E32" wp14:editId="30D580E8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0DA5C42" w14:textId="70A913D6" w:rsidR="00615943" w:rsidRPr="00602A59" w:rsidRDefault="00615943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412301C" w14:textId="77777777" w:rsidR="00615943" w:rsidRPr="00602A59" w:rsidRDefault="00615943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CC7DBD" w14:textId="2B1871E7" w:rsidR="00615943" w:rsidRPr="00602A59" w:rsidRDefault="00615943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28006DCA" w14:textId="77777777" w:rsidR="00615943" w:rsidRPr="00602A59" w:rsidRDefault="00615943" w:rsidP="00C0411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6AB2AD74" w14:textId="097F4CF1" w:rsidR="00615943" w:rsidRDefault="00D85749" w:rsidP="00C0411E">
    <w:pPr>
      <w:pStyle w:val="Stopka"/>
      <w:ind w:hanging="567"/>
      <w:rPr>
        <w:color w:val="002D59"/>
        <w:sz w:val="16"/>
        <w:szCs w:val="16"/>
      </w:rPr>
    </w:pPr>
    <w:hyperlink r:id="rId2" w:history="1">
      <w:r w:rsidR="00615943" w:rsidRPr="00E517F1">
        <w:rPr>
          <w:rStyle w:val="Hipercze"/>
          <w:sz w:val="16"/>
          <w:szCs w:val="16"/>
        </w:rPr>
        <w:t>www.</w:t>
      </w:r>
      <w:r w:rsidR="00615943" w:rsidRPr="00E517F1">
        <w:rPr>
          <w:rStyle w:val="Hipercze"/>
          <w:b/>
          <w:bCs/>
          <w:sz w:val="16"/>
          <w:szCs w:val="16"/>
        </w:rPr>
        <w:t>us.</w:t>
      </w:r>
      <w:r w:rsidR="00615943" w:rsidRPr="00E517F1">
        <w:rPr>
          <w:rStyle w:val="Hipercze"/>
          <w:sz w:val="16"/>
          <w:szCs w:val="16"/>
        </w:rPr>
        <w:t>edu.pl</w:t>
      </w:r>
    </w:hyperlink>
  </w:p>
  <w:p w14:paraId="72289625" w14:textId="47B43BDE" w:rsidR="00615943" w:rsidRDefault="00615943" w:rsidP="00C0411E">
    <w:pPr>
      <w:pStyle w:val="Stopka"/>
      <w:ind w:hanging="567"/>
    </w:pPr>
  </w:p>
  <w:p w14:paraId="68698B03" w14:textId="3406EA5A" w:rsidR="00615943" w:rsidRDefault="00615943" w:rsidP="00C0411E">
    <w:pPr>
      <w:pStyle w:val="Stopka"/>
      <w:ind w:hanging="567"/>
    </w:pPr>
  </w:p>
  <w:p w14:paraId="085946A1" w14:textId="77777777" w:rsidR="00615943" w:rsidRDefault="00615943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15943" w:rsidRDefault="00615943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615943" w:rsidRDefault="00615943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1124D" w14:textId="11144680" w:rsidR="00615943" w:rsidRDefault="00615943" w:rsidP="00297357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33" w:name="_Hlk109991209"/>
    <w:bookmarkStart w:id="34" w:name="_Hlk109991210"/>
  </w:p>
  <w:p w14:paraId="51E14962" w14:textId="4AC906DF" w:rsidR="00615943" w:rsidRDefault="00615943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D1983C9" w14:textId="76E189A3" w:rsidR="00615943" w:rsidRDefault="00615943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456A2754" w14:textId="147397C3" w:rsidR="00615943" w:rsidRDefault="00615943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6059B8D5" w14:textId="6BAF6F03" w:rsidR="00615943" w:rsidRPr="00FC4A04" w:rsidRDefault="00615943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  <w:r>
      <w:rPr>
        <w:noProof/>
        <w:lang w:eastAsia="pl-PL"/>
      </w:rPr>
      <w:drawing>
        <wp:anchor distT="0" distB="0" distL="114300" distR="114300" simplePos="0" relativeHeight="251651584" behindDoc="1" locked="1" layoutInCell="1" allowOverlap="1" wp14:anchorId="51A96193" wp14:editId="490793D2">
          <wp:simplePos x="0" y="0"/>
          <wp:positionH relativeFrom="page">
            <wp:posOffset>3810</wp:posOffset>
          </wp:positionH>
          <wp:positionV relativeFrom="page">
            <wp:posOffset>-288925</wp:posOffset>
          </wp:positionV>
          <wp:extent cx="7559675" cy="1181100"/>
          <wp:effectExtent l="0" t="0" r="317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3"/>
    <w:bookmarkEnd w:id="3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8B9415C"/>
    <w:multiLevelType w:val="hybridMultilevel"/>
    <w:tmpl w:val="464E7B04"/>
    <w:lvl w:ilvl="0" w:tplc="377A9E0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A0E65"/>
    <w:multiLevelType w:val="hybridMultilevel"/>
    <w:tmpl w:val="0070212E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D54A41"/>
    <w:multiLevelType w:val="hybridMultilevel"/>
    <w:tmpl w:val="EC80844A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789C6B22">
      <w:start w:val="2"/>
      <w:numFmt w:val="decimal"/>
      <w:lvlText w:val="%4)"/>
      <w:lvlJc w:val="left"/>
      <w:pPr>
        <w:ind w:left="266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76011C9"/>
    <w:multiLevelType w:val="hybridMultilevel"/>
    <w:tmpl w:val="98B86638"/>
    <w:lvl w:ilvl="0" w:tplc="E8049C4E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3" w15:restartNumberingAfterBreak="0">
    <w:nsid w:val="38FB4339"/>
    <w:multiLevelType w:val="hybridMultilevel"/>
    <w:tmpl w:val="A7B20C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79D6890"/>
    <w:multiLevelType w:val="hybridMultilevel"/>
    <w:tmpl w:val="92821B62"/>
    <w:lvl w:ilvl="0" w:tplc="CD5601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D0C2D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D22D9"/>
    <w:multiLevelType w:val="hybridMultilevel"/>
    <w:tmpl w:val="297C0692"/>
    <w:lvl w:ilvl="0" w:tplc="377A9E0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6172E58"/>
    <w:multiLevelType w:val="hybridMultilevel"/>
    <w:tmpl w:val="EA987E5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4C794A"/>
    <w:multiLevelType w:val="hybridMultilevel"/>
    <w:tmpl w:val="BA54C548"/>
    <w:lvl w:ilvl="0" w:tplc="B35A37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17"/>
  </w:num>
  <w:num w:numId="5">
    <w:abstractNumId w:val="16"/>
  </w:num>
  <w:num w:numId="6">
    <w:abstractNumId w:val="23"/>
  </w:num>
  <w:num w:numId="7">
    <w:abstractNumId w:val="9"/>
  </w:num>
  <w:num w:numId="8">
    <w:abstractNumId w:val="4"/>
  </w:num>
  <w:num w:numId="9">
    <w:abstractNumId w:val="4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4"/>
    <w:lvlOverride w:ilvl="0">
      <w:startOverride w:val="2"/>
    </w:lvlOverride>
  </w:num>
  <w:num w:numId="16">
    <w:abstractNumId w:val="4"/>
    <w:lvlOverride w:ilvl="0">
      <w:startOverride w:val="1"/>
    </w:lvlOverride>
  </w:num>
  <w:num w:numId="17">
    <w:abstractNumId w:val="18"/>
    <w:lvlOverride w:ilvl="0">
      <w:startOverride w:val="1"/>
    </w:lvlOverride>
  </w:num>
  <w:num w:numId="18">
    <w:abstractNumId w:val="18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18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4"/>
    <w:lvlOverride w:ilvl="0">
      <w:startOverride w:val="2"/>
    </w:lvlOverride>
  </w:num>
  <w:num w:numId="30">
    <w:abstractNumId w:val="8"/>
  </w:num>
  <w:num w:numId="31">
    <w:abstractNumId w:val="4"/>
    <w:lvlOverride w:ilvl="0">
      <w:startOverride w:val="1"/>
    </w:lvlOverride>
  </w:num>
  <w:num w:numId="32">
    <w:abstractNumId w:val="9"/>
  </w:num>
  <w:num w:numId="33">
    <w:abstractNumId w:val="4"/>
    <w:lvlOverride w:ilvl="0">
      <w:startOverride w:val="1"/>
    </w:lvlOverride>
  </w:num>
  <w:num w:numId="34">
    <w:abstractNumId w:val="9"/>
    <w:lvlOverride w:ilvl="0">
      <w:startOverride w:val="1"/>
    </w:lvlOverride>
  </w:num>
  <w:num w:numId="35">
    <w:abstractNumId w:val="4"/>
    <w:lvlOverride w:ilvl="0">
      <w:startOverride w:val="1"/>
    </w:lvlOverride>
  </w:num>
  <w:num w:numId="36">
    <w:abstractNumId w:val="4"/>
    <w:lvlOverride w:ilvl="0">
      <w:startOverride w:val="1"/>
    </w:lvlOverride>
  </w:num>
  <w:num w:numId="37">
    <w:abstractNumId w:val="15"/>
  </w:num>
  <w:num w:numId="38">
    <w:abstractNumId w:val="4"/>
    <w:lvlOverride w:ilvl="0">
      <w:startOverride w:val="1"/>
    </w:lvlOverride>
  </w:num>
  <w:num w:numId="39">
    <w:abstractNumId w:val="18"/>
    <w:lvlOverride w:ilvl="0">
      <w:startOverride w:val="1"/>
    </w:lvlOverride>
  </w:num>
  <w:num w:numId="40">
    <w:abstractNumId w:val="18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18"/>
    <w:lvlOverride w:ilvl="0">
      <w:startOverride w:val="1"/>
    </w:lvlOverride>
  </w:num>
  <w:num w:numId="43">
    <w:abstractNumId w:val="4"/>
    <w:lvlOverride w:ilvl="0">
      <w:startOverride w:val="1"/>
    </w:lvlOverride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5">
    <w:abstractNumId w:val="9"/>
    <w:lvlOverride w:ilvl="0">
      <w:startOverride w:val="1"/>
    </w:lvlOverride>
  </w:num>
  <w:num w:numId="46">
    <w:abstractNumId w:val="0"/>
  </w:num>
  <w:num w:numId="47">
    <w:abstractNumId w:val="12"/>
  </w:num>
  <w:num w:numId="48">
    <w:abstractNumId w:val="5"/>
  </w:num>
  <w:num w:numId="49">
    <w:abstractNumId w:val="9"/>
    <w:lvlOverride w:ilvl="0">
      <w:startOverride w:val="1"/>
    </w:lvlOverride>
  </w:num>
  <w:num w:numId="50">
    <w:abstractNumId w:val="6"/>
  </w:num>
  <w:num w:numId="51">
    <w:abstractNumId w:val="20"/>
  </w:num>
  <w:num w:numId="52">
    <w:abstractNumId w:val="3"/>
  </w:num>
  <w:num w:numId="53">
    <w:abstractNumId w:val="9"/>
    <w:lvlOverride w:ilvl="0">
      <w:startOverride w:val="1"/>
    </w:lvlOverride>
  </w:num>
  <w:num w:numId="54">
    <w:abstractNumId w:val="18"/>
  </w:num>
  <w:num w:numId="55">
    <w:abstractNumId w:val="19"/>
  </w:num>
  <w:num w:numId="56">
    <w:abstractNumId w:val="1"/>
  </w:num>
  <w:num w:numId="57">
    <w:abstractNumId w:val="21"/>
  </w:num>
  <w:num w:numId="58">
    <w:abstractNumId w:val="24"/>
  </w:num>
  <w:num w:numId="59">
    <w:abstractNumId w:val="25"/>
  </w:num>
  <w:num w:numId="60">
    <w:abstractNumId w:val="7"/>
  </w:num>
  <w:num w:numId="61">
    <w:abstractNumId w:val="26"/>
  </w:num>
  <w:num w:numId="62">
    <w:abstractNumId w:val="22"/>
  </w:num>
  <w:num w:numId="63">
    <w:abstractNumId w:val="27"/>
  </w:num>
  <w:num w:numId="64">
    <w:abstractNumId w:val="13"/>
  </w:num>
  <w:num w:numId="65">
    <w:abstractNumId w:val="2"/>
  </w:num>
  <w:num w:numId="66">
    <w:abstractNumId w:val="18"/>
    <w:lvlOverride w:ilvl="0">
      <w:startOverride w:val="1"/>
    </w:lvlOverride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CB3"/>
    <w:rsid w:val="00002F1C"/>
    <w:rsid w:val="000046EA"/>
    <w:rsid w:val="00004C8F"/>
    <w:rsid w:val="000051AC"/>
    <w:rsid w:val="0001285D"/>
    <w:rsid w:val="000168A7"/>
    <w:rsid w:val="00017990"/>
    <w:rsid w:val="00021C6F"/>
    <w:rsid w:val="00022D0A"/>
    <w:rsid w:val="00023162"/>
    <w:rsid w:val="000237E9"/>
    <w:rsid w:val="00023CE7"/>
    <w:rsid w:val="00023D51"/>
    <w:rsid w:val="00026F96"/>
    <w:rsid w:val="00034894"/>
    <w:rsid w:val="000355F2"/>
    <w:rsid w:val="0003593D"/>
    <w:rsid w:val="00037193"/>
    <w:rsid w:val="00040931"/>
    <w:rsid w:val="000431C2"/>
    <w:rsid w:val="00044129"/>
    <w:rsid w:val="00046B19"/>
    <w:rsid w:val="000479C6"/>
    <w:rsid w:val="000518A0"/>
    <w:rsid w:val="00052289"/>
    <w:rsid w:val="0005542E"/>
    <w:rsid w:val="00057273"/>
    <w:rsid w:val="00060C2D"/>
    <w:rsid w:val="00062715"/>
    <w:rsid w:val="00062F8E"/>
    <w:rsid w:val="0006396E"/>
    <w:rsid w:val="000649CD"/>
    <w:rsid w:val="00065E6E"/>
    <w:rsid w:val="00066CCC"/>
    <w:rsid w:val="00070C25"/>
    <w:rsid w:val="00072653"/>
    <w:rsid w:val="000729DF"/>
    <w:rsid w:val="00072A6B"/>
    <w:rsid w:val="00072E33"/>
    <w:rsid w:val="00075867"/>
    <w:rsid w:val="00080C23"/>
    <w:rsid w:val="00081FD8"/>
    <w:rsid w:val="00083060"/>
    <w:rsid w:val="000836B7"/>
    <w:rsid w:val="000842B1"/>
    <w:rsid w:val="000906ED"/>
    <w:rsid w:val="00091453"/>
    <w:rsid w:val="00096054"/>
    <w:rsid w:val="00097E19"/>
    <w:rsid w:val="000A0EF4"/>
    <w:rsid w:val="000A1A47"/>
    <w:rsid w:val="000A2883"/>
    <w:rsid w:val="000A37EA"/>
    <w:rsid w:val="000A3D64"/>
    <w:rsid w:val="000A5BCB"/>
    <w:rsid w:val="000A5EBA"/>
    <w:rsid w:val="000A67D8"/>
    <w:rsid w:val="000B0AAE"/>
    <w:rsid w:val="000B1A68"/>
    <w:rsid w:val="000B3940"/>
    <w:rsid w:val="000B7064"/>
    <w:rsid w:val="000B7668"/>
    <w:rsid w:val="000C0355"/>
    <w:rsid w:val="000C2CDC"/>
    <w:rsid w:val="000C43E5"/>
    <w:rsid w:val="000C5435"/>
    <w:rsid w:val="000C5ABC"/>
    <w:rsid w:val="000C5AE1"/>
    <w:rsid w:val="000C5B6C"/>
    <w:rsid w:val="000C767C"/>
    <w:rsid w:val="000D0F7B"/>
    <w:rsid w:val="000D1F37"/>
    <w:rsid w:val="000D4319"/>
    <w:rsid w:val="000D5B1F"/>
    <w:rsid w:val="000E1856"/>
    <w:rsid w:val="000E587B"/>
    <w:rsid w:val="000E5D19"/>
    <w:rsid w:val="000E615E"/>
    <w:rsid w:val="000E61D1"/>
    <w:rsid w:val="000E72E3"/>
    <w:rsid w:val="000F3806"/>
    <w:rsid w:val="00101FDD"/>
    <w:rsid w:val="00102284"/>
    <w:rsid w:val="00102B94"/>
    <w:rsid w:val="001031BE"/>
    <w:rsid w:val="00103256"/>
    <w:rsid w:val="001068E0"/>
    <w:rsid w:val="00110217"/>
    <w:rsid w:val="00111FD4"/>
    <w:rsid w:val="00113823"/>
    <w:rsid w:val="00115A66"/>
    <w:rsid w:val="00120605"/>
    <w:rsid w:val="00120932"/>
    <w:rsid w:val="00120996"/>
    <w:rsid w:val="00125FCF"/>
    <w:rsid w:val="0013760F"/>
    <w:rsid w:val="001406F9"/>
    <w:rsid w:val="0014174C"/>
    <w:rsid w:val="00141DDE"/>
    <w:rsid w:val="00142C1F"/>
    <w:rsid w:val="001463E7"/>
    <w:rsid w:val="00147280"/>
    <w:rsid w:val="00147A15"/>
    <w:rsid w:val="001509D7"/>
    <w:rsid w:val="001511F6"/>
    <w:rsid w:val="00153116"/>
    <w:rsid w:val="00153931"/>
    <w:rsid w:val="00154FCE"/>
    <w:rsid w:val="00155256"/>
    <w:rsid w:val="00155A33"/>
    <w:rsid w:val="00156FE8"/>
    <w:rsid w:val="0016280F"/>
    <w:rsid w:val="00170642"/>
    <w:rsid w:val="00171347"/>
    <w:rsid w:val="001769D9"/>
    <w:rsid w:val="001814C5"/>
    <w:rsid w:val="001841BC"/>
    <w:rsid w:val="001855EF"/>
    <w:rsid w:val="00185D48"/>
    <w:rsid w:val="001863EA"/>
    <w:rsid w:val="001902EC"/>
    <w:rsid w:val="0019081E"/>
    <w:rsid w:val="0019238D"/>
    <w:rsid w:val="00195E74"/>
    <w:rsid w:val="00197885"/>
    <w:rsid w:val="00197CBB"/>
    <w:rsid w:val="001A0C84"/>
    <w:rsid w:val="001A3180"/>
    <w:rsid w:val="001A32D7"/>
    <w:rsid w:val="001A761D"/>
    <w:rsid w:val="001A7E1C"/>
    <w:rsid w:val="001B14FD"/>
    <w:rsid w:val="001B1AC0"/>
    <w:rsid w:val="001B3427"/>
    <w:rsid w:val="001B6A6B"/>
    <w:rsid w:val="001C071B"/>
    <w:rsid w:val="001C43D0"/>
    <w:rsid w:val="001C5BCD"/>
    <w:rsid w:val="001D0571"/>
    <w:rsid w:val="001D05CD"/>
    <w:rsid w:val="001D0AD6"/>
    <w:rsid w:val="001D40CF"/>
    <w:rsid w:val="001E144B"/>
    <w:rsid w:val="001E5A79"/>
    <w:rsid w:val="001E6955"/>
    <w:rsid w:val="001F40B2"/>
    <w:rsid w:val="001F5B52"/>
    <w:rsid w:val="001F63FD"/>
    <w:rsid w:val="001F7C7D"/>
    <w:rsid w:val="00200A27"/>
    <w:rsid w:val="00201257"/>
    <w:rsid w:val="002013DC"/>
    <w:rsid w:val="00204EFA"/>
    <w:rsid w:val="00211519"/>
    <w:rsid w:val="00213D90"/>
    <w:rsid w:val="00214CE5"/>
    <w:rsid w:val="002212A7"/>
    <w:rsid w:val="00221638"/>
    <w:rsid w:val="00223DE3"/>
    <w:rsid w:val="00226310"/>
    <w:rsid w:val="002278D2"/>
    <w:rsid w:val="00230DE9"/>
    <w:rsid w:val="002318AB"/>
    <w:rsid w:val="00231C06"/>
    <w:rsid w:val="00232FF4"/>
    <w:rsid w:val="002419C2"/>
    <w:rsid w:val="00241D9C"/>
    <w:rsid w:val="00243910"/>
    <w:rsid w:val="00244022"/>
    <w:rsid w:val="002472CE"/>
    <w:rsid w:val="00253B06"/>
    <w:rsid w:val="00254505"/>
    <w:rsid w:val="00262207"/>
    <w:rsid w:val="0026325C"/>
    <w:rsid w:val="002638DD"/>
    <w:rsid w:val="00266DE7"/>
    <w:rsid w:val="00267BD1"/>
    <w:rsid w:val="00272E3F"/>
    <w:rsid w:val="002767DF"/>
    <w:rsid w:val="0027702E"/>
    <w:rsid w:val="002815DF"/>
    <w:rsid w:val="002822F4"/>
    <w:rsid w:val="00286153"/>
    <w:rsid w:val="00295AAA"/>
    <w:rsid w:val="00295FDD"/>
    <w:rsid w:val="00297357"/>
    <w:rsid w:val="00297EB3"/>
    <w:rsid w:val="002A27D2"/>
    <w:rsid w:val="002A3574"/>
    <w:rsid w:val="002A4316"/>
    <w:rsid w:val="002A50F6"/>
    <w:rsid w:val="002B14D8"/>
    <w:rsid w:val="002B20B0"/>
    <w:rsid w:val="002B3B39"/>
    <w:rsid w:val="002B5872"/>
    <w:rsid w:val="002B6782"/>
    <w:rsid w:val="002B7AF4"/>
    <w:rsid w:val="002B7C12"/>
    <w:rsid w:val="002C0900"/>
    <w:rsid w:val="002C2D35"/>
    <w:rsid w:val="002C3360"/>
    <w:rsid w:val="002C4CB6"/>
    <w:rsid w:val="002C65E9"/>
    <w:rsid w:val="002D273D"/>
    <w:rsid w:val="002D2F12"/>
    <w:rsid w:val="002D38E0"/>
    <w:rsid w:val="002D5043"/>
    <w:rsid w:val="002D64F0"/>
    <w:rsid w:val="002E2599"/>
    <w:rsid w:val="002E34D7"/>
    <w:rsid w:val="002E4CF0"/>
    <w:rsid w:val="002E660F"/>
    <w:rsid w:val="002E7A53"/>
    <w:rsid w:val="002F18BA"/>
    <w:rsid w:val="002F2476"/>
    <w:rsid w:val="002F2988"/>
    <w:rsid w:val="002F5524"/>
    <w:rsid w:val="002F56CF"/>
    <w:rsid w:val="00301EA8"/>
    <w:rsid w:val="00302CE1"/>
    <w:rsid w:val="00303535"/>
    <w:rsid w:val="00304E24"/>
    <w:rsid w:val="00305AB1"/>
    <w:rsid w:val="00305D5C"/>
    <w:rsid w:val="00307451"/>
    <w:rsid w:val="00307594"/>
    <w:rsid w:val="00310759"/>
    <w:rsid w:val="0031115A"/>
    <w:rsid w:val="00311413"/>
    <w:rsid w:val="00313037"/>
    <w:rsid w:val="00313A0F"/>
    <w:rsid w:val="00313E0B"/>
    <w:rsid w:val="003144B0"/>
    <w:rsid w:val="0031456F"/>
    <w:rsid w:val="00314C92"/>
    <w:rsid w:val="00315FAD"/>
    <w:rsid w:val="003172B5"/>
    <w:rsid w:val="00317F1D"/>
    <w:rsid w:val="00320304"/>
    <w:rsid w:val="00321B53"/>
    <w:rsid w:val="00326D54"/>
    <w:rsid w:val="003322E2"/>
    <w:rsid w:val="003327C2"/>
    <w:rsid w:val="0033399A"/>
    <w:rsid w:val="00333F25"/>
    <w:rsid w:val="00334D54"/>
    <w:rsid w:val="0033507F"/>
    <w:rsid w:val="00336E33"/>
    <w:rsid w:val="00340EF8"/>
    <w:rsid w:val="00341DCF"/>
    <w:rsid w:val="003428CA"/>
    <w:rsid w:val="003439DD"/>
    <w:rsid w:val="00343B22"/>
    <w:rsid w:val="0035176B"/>
    <w:rsid w:val="003539CA"/>
    <w:rsid w:val="00354EEE"/>
    <w:rsid w:val="00357892"/>
    <w:rsid w:val="00357D01"/>
    <w:rsid w:val="003605F4"/>
    <w:rsid w:val="00362694"/>
    <w:rsid w:val="003636A2"/>
    <w:rsid w:val="00364028"/>
    <w:rsid w:val="00366C6F"/>
    <w:rsid w:val="00372474"/>
    <w:rsid w:val="0038099A"/>
    <w:rsid w:val="00380E62"/>
    <w:rsid w:val="00381133"/>
    <w:rsid w:val="00381E7D"/>
    <w:rsid w:val="00382315"/>
    <w:rsid w:val="0038272F"/>
    <w:rsid w:val="003827DB"/>
    <w:rsid w:val="003835A5"/>
    <w:rsid w:val="00383972"/>
    <w:rsid w:val="0038419F"/>
    <w:rsid w:val="00384DA3"/>
    <w:rsid w:val="00385E23"/>
    <w:rsid w:val="00390A46"/>
    <w:rsid w:val="00391452"/>
    <w:rsid w:val="003925AC"/>
    <w:rsid w:val="003944EC"/>
    <w:rsid w:val="003950B2"/>
    <w:rsid w:val="003A0DD4"/>
    <w:rsid w:val="003B293E"/>
    <w:rsid w:val="003B3416"/>
    <w:rsid w:val="003B60BF"/>
    <w:rsid w:val="003B7C5A"/>
    <w:rsid w:val="003C094D"/>
    <w:rsid w:val="003C0C2B"/>
    <w:rsid w:val="003C28F4"/>
    <w:rsid w:val="003C3587"/>
    <w:rsid w:val="003C3A48"/>
    <w:rsid w:val="003C3AC5"/>
    <w:rsid w:val="003C461B"/>
    <w:rsid w:val="003C53A8"/>
    <w:rsid w:val="003C6D2D"/>
    <w:rsid w:val="003C6FE1"/>
    <w:rsid w:val="003C734C"/>
    <w:rsid w:val="003D5902"/>
    <w:rsid w:val="003E021C"/>
    <w:rsid w:val="003E05AE"/>
    <w:rsid w:val="003E1DB0"/>
    <w:rsid w:val="003E36AD"/>
    <w:rsid w:val="003E3BDD"/>
    <w:rsid w:val="003E4451"/>
    <w:rsid w:val="003E59ED"/>
    <w:rsid w:val="003E6CB0"/>
    <w:rsid w:val="003F405A"/>
    <w:rsid w:val="003F6B8F"/>
    <w:rsid w:val="003F714C"/>
    <w:rsid w:val="0040396D"/>
    <w:rsid w:val="00404C44"/>
    <w:rsid w:val="004054BE"/>
    <w:rsid w:val="00410DFD"/>
    <w:rsid w:val="00412239"/>
    <w:rsid w:val="0041333E"/>
    <w:rsid w:val="004148B2"/>
    <w:rsid w:val="004161BF"/>
    <w:rsid w:val="00416AED"/>
    <w:rsid w:val="00416D5A"/>
    <w:rsid w:val="0041710E"/>
    <w:rsid w:val="00421F39"/>
    <w:rsid w:val="00425F59"/>
    <w:rsid w:val="00430D9E"/>
    <w:rsid w:val="0043134E"/>
    <w:rsid w:val="00432A69"/>
    <w:rsid w:val="00434029"/>
    <w:rsid w:val="00434214"/>
    <w:rsid w:val="00436F8D"/>
    <w:rsid w:val="00441EC0"/>
    <w:rsid w:val="0044253C"/>
    <w:rsid w:val="0044755A"/>
    <w:rsid w:val="004516FA"/>
    <w:rsid w:val="00455B33"/>
    <w:rsid w:val="00455E04"/>
    <w:rsid w:val="00456A60"/>
    <w:rsid w:val="00457D79"/>
    <w:rsid w:val="00462255"/>
    <w:rsid w:val="0046749E"/>
    <w:rsid w:val="00467882"/>
    <w:rsid w:val="00467EE3"/>
    <w:rsid w:val="00470C6B"/>
    <w:rsid w:val="00471B27"/>
    <w:rsid w:val="00473D30"/>
    <w:rsid w:val="00473F6B"/>
    <w:rsid w:val="00475AAC"/>
    <w:rsid w:val="00477FA3"/>
    <w:rsid w:val="00481E07"/>
    <w:rsid w:val="00482348"/>
    <w:rsid w:val="004837D8"/>
    <w:rsid w:val="00487501"/>
    <w:rsid w:val="00490CBC"/>
    <w:rsid w:val="0049133C"/>
    <w:rsid w:val="0049284A"/>
    <w:rsid w:val="004949E2"/>
    <w:rsid w:val="0049570C"/>
    <w:rsid w:val="00495F83"/>
    <w:rsid w:val="004960E1"/>
    <w:rsid w:val="004A2029"/>
    <w:rsid w:val="004A2812"/>
    <w:rsid w:val="004A2BDB"/>
    <w:rsid w:val="004A5DB6"/>
    <w:rsid w:val="004B08EE"/>
    <w:rsid w:val="004B4CE9"/>
    <w:rsid w:val="004B5ADC"/>
    <w:rsid w:val="004C0E1D"/>
    <w:rsid w:val="004C1290"/>
    <w:rsid w:val="004C15D4"/>
    <w:rsid w:val="004C1B2D"/>
    <w:rsid w:val="004C589D"/>
    <w:rsid w:val="004C6AAD"/>
    <w:rsid w:val="004D142D"/>
    <w:rsid w:val="004D18BA"/>
    <w:rsid w:val="004D22E3"/>
    <w:rsid w:val="004D297B"/>
    <w:rsid w:val="004D2D43"/>
    <w:rsid w:val="004E0BD8"/>
    <w:rsid w:val="004E75B8"/>
    <w:rsid w:val="004E7F8E"/>
    <w:rsid w:val="004F088D"/>
    <w:rsid w:val="004F1481"/>
    <w:rsid w:val="004F19BB"/>
    <w:rsid w:val="004F4FF8"/>
    <w:rsid w:val="004F5927"/>
    <w:rsid w:val="004F634F"/>
    <w:rsid w:val="004F683C"/>
    <w:rsid w:val="004F77CC"/>
    <w:rsid w:val="00514240"/>
    <w:rsid w:val="005149DB"/>
    <w:rsid w:val="00515101"/>
    <w:rsid w:val="00516A06"/>
    <w:rsid w:val="00526131"/>
    <w:rsid w:val="00530CAA"/>
    <w:rsid w:val="0053656A"/>
    <w:rsid w:val="00536D6A"/>
    <w:rsid w:val="00537F41"/>
    <w:rsid w:val="00540C8C"/>
    <w:rsid w:val="005416E8"/>
    <w:rsid w:val="005418FF"/>
    <w:rsid w:val="005425C4"/>
    <w:rsid w:val="0054333A"/>
    <w:rsid w:val="0054415B"/>
    <w:rsid w:val="00546965"/>
    <w:rsid w:val="0055201D"/>
    <w:rsid w:val="0055317F"/>
    <w:rsid w:val="00553D74"/>
    <w:rsid w:val="00556B41"/>
    <w:rsid w:val="00556CD9"/>
    <w:rsid w:val="00557CB8"/>
    <w:rsid w:val="00562402"/>
    <w:rsid w:val="005625C2"/>
    <w:rsid w:val="00562870"/>
    <w:rsid w:val="0057335E"/>
    <w:rsid w:val="00575EC4"/>
    <w:rsid w:val="005766D5"/>
    <w:rsid w:val="00583761"/>
    <w:rsid w:val="00584E90"/>
    <w:rsid w:val="00586657"/>
    <w:rsid w:val="00587476"/>
    <w:rsid w:val="00590944"/>
    <w:rsid w:val="00593C25"/>
    <w:rsid w:val="00594E26"/>
    <w:rsid w:val="005968E9"/>
    <w:rsid w:val="005A09E5"/>
    <w:rsid w:val="005A19CF"/>
    <w:rsid w:val="005A269D"/>
    <w:rsid w:val="005A5BA2"/>
    <w:rsid w:val="005A7D90"/>
    <w:rsid w:val="005B1032"/>
    <w:rsid w:val="005B34FE"/>
    <w:rsid w:val="005B4CE1"/>
    <w:rsid w:val="005B5871"/>
    <w:rsid w:val="005B5BA7"/>
    <w:rsid w:val="005B5BDF"/>
    <w:rsid w:val="005B6ACD"/>
    <w:rsid w:val="005B7245"/>
    <w:rsid w:val="005C144F"/>
    <w:rsid w:val="005C5184"/>
    <w:rsid w:val="005C754A"/>
    <w:rsid w:val="005C758D"/>
    <w:rsid w:val="005D09DD"/>
    <w:rsid w:val="005D2930"/>
    <w:rsid w:val="005D4747"/>
    <w:rsid w:val="005D4855"/>
    <w:rsid w:val="005D608D"/>
    <w:rsid w:val="005D63CD"/>
    <w:rsid w:val="005D6C45"/>
    <w:rsid w:val="005D75BF"/>
    <w:rsid w:val="005D7EA1"/>
    <w:rsid w:val="005E29BA"/>
    <w:rsid w:val="005E3058"/>
    <w:rsid w:val="005E50DB"/>
    <w:rsid w:val="005E7B56"/>
    <w:rsid w:val="005F0C33"/>
    <w:rsid w:val="005F1183"/>
    <w:rsid w:val="005F2A5F"/>
    <w:rsid w:val="005F3A4A"/>
    <w:rsid w:val="006013D3"/>
    <w:rsid w:val="00602534"/>
    <w:rsid w:val="00602A59"/>
    <w:rsid w:val="00603309"/>
    <w:rsid w:val="00603445"/>
    <w:rsid w:val="00604E32"/>
    <w:rsid w:val="00606935"/>
    <w:rsid w:val="0061008C"/>
    <w:rsid w:val="00610A45"/>
    <w:rsid w:val="00613ECC"/>
    <w:rsid w:val="00614792"/>
    <w:rsid w:val="00615943"/>
    <w:rsid w:val="0061721E"/>
    <w:rsid w:val="0062488A"/>
    <w:rsid w:val="00626BD0"/>
    <w:rsid w:val="006271CB"/>
    <w:rsid w:val="00627500"/>
    <w:rsid w:val="006307B4"/>
    <w:rsid w:val="006346FC"/>
    <w:rsid w:val="00634714"/>
    <w:rsid w:val="00634A56"/>
    <w:rsid w:val="00635695"/>
    <w:rsid w:val="006364F5"/>
    <w:rsid w:val="00636BE3"/>
    <w:rsid w:val="00636F3B"/>
    <w:rsid w:val="00637464"/>
    <w:rsid w:val="006378CF"/>
    <w:rsid w:val="00641342"/>
    <w:rsid w:val="00642C54"/>
    <w:rsid w:val="00642C9E"/>
    <w:rsid w:val="0064551C"/>
    <w:rsid w:val="00650C43"/>
    <w:rsid w:val="006510FD"/>
    <w:rsid w:val="00654848"/>
    <w:rsid w:val="00656AE8"/>
    <w:rsid w:val="00657383"/>
    <w:rsid w:val="00657596"/>
    <w:rsid w:val="006575D5"/>
    <w:rsid w:val="00657F66"/>
    <w:rsid w:val="00660080"/>
    <w:rsid w:val="00660E10"/>
    <w:rsid w:val="0066172A"/>
    <w:rsid w:val="00663D66"/>
    <w:rsid w:val="00664C40"/>
    <w:rsid w:val="006675AE"/>
    <w:rsid w:val="00670A95"/>
    <w:rsid w:val="006727FE"/>
    <w:rsid w:val="006730D7"/>
    <w:rsid w:val="00673F0B"/>
    <w:rsid w:val="0067762A"/>
    <w:rsid w:val="00677C4F"/>
    <w:rsid w:val="00677D1C"/>
    <w:rsid w:val="00677F63"/>
    <w:rsid w:val="00687243"/>
    <w:rsid w:val="006873D8"/>
    <w:rsid w:val="006911E1"/>
    <w:rsid w:val="0069154A"/>
    <w:rsid w:val="00692680"/>
    <w:rsid w:val="00696973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25DF"/>
    <w:rsid w:val="006B318B"/>
    <w:rsid w:val="006B4A5B"/>
    <w:rsid w:val="006B5EE9"/>
    <w:rsid w:val="006B713E"/>
    <w:rsid w:val="006C251D"/>
    <w:rsid w:val="006C2988"/>
    <w:rsid w:val="006C5845"/>
    <w:rsid w:val="006C6DEC"/>
    <w:rsid w:val="006C76A2"/>
    <w:rsid w:val="006C7D33"/>
    <w:rsid w:val="006D0AED"/>
    <w:rsid w:val="006D3219"/>
    <w:rsid w:val="006D37E6"/>
    <w:rsid w:val="006D4E1B"/>
    <w:rsid w:val="006D6009"/>
    <w:rsid w:val="006D70D4"/>
    <w:rsid w:val="006D7102"/>
    <w:rsid w:val="006E1313"/>
    <w:rsid w:val="006E2700"/>
    <w:rsid w:val="006E2F4A"/>
    <w:rsid w:val="006E33C4"/>
    <w:rsid w:val="006E5468"/>
    <w:rsid w:val="006E7582"/>
    <w:rsid w:val="006E7A2E"/>
    <w:rsid w:val="006E7D37"/>
    <w:rsid w:val="006F2012"/>
    <w:rsid w:val="006F2450"/>
    <w:rsid w:val="006F384A"/>
    <w:rsid w:val="006F7C66"/>
    <w:rsid w:val="00701774"/>
    <w:rsid w:val="00701D7F"/>
    <w:rsid w:val="00704665"/>
    <w:rsid w:val="00704CBC"/>
    <w:rsid w:val="007051BA"/>
    <w:rsid w:val="00706464"/>
    <w:rsid w:val="0070662F"/>
    <w:rsid w:val="007124B4"/>
    <w:rsid w:val="00713493"/>
    <w:rsid w:val="0071379B"/>
    <w:rsid w:val="00713C2D"/>
    <w:rsid w:val="007141E0"/>
    <w:rsid w:val="00714D12"/>
    <w:rsid w:val="00715211"/>
    <w:rsid w:val="007155B6"/>
    <w:rsid w:val="007166B4"/>
    <w:rsid w:val="00716C6E"/>
    <w:rsid w:val="007206AE"/>
    <w:rsid w:val="00720816"/>
    <w:rsid w:val="007213C6"/>
    <w:rsid w:val="0072185C"/>
    <w:rsid w:val="00722104"/>
    <w:rsid w:val="00722392"/>
    <w:rsid w:val="00722CFD"/>
    <w:rsid w:val="00724933"/>
    <w:rsid w:val="007306FF"/>
    <w:rsid w:val="00730968"/>
    <w:rsid w:val="00731A2C"/>
    <w:rsid w:val="007326C4"/>
    <w:rsid w:val="00733EB6"/>
    <w:rsid w:val="007347EC"/>
    <w:rsid w:val="00735C9E"/>
    <w:rsid w:val="007375BD"/>
    <w:rsid w:val="00743CB0"/>
    <w:rsid w:val="0074429B"/>
    <w:rsid w:val="00744AFF"/>
    <w:rsid w:val="0074586F"/>
    <w:rsid w:val="00747C84"/>
    <w:rsid w:val="00750B5F"/>
    <w:rsid w:val="0075198E"/>
    <w:rsid w:val="00751D66"/>
    <w:rsid w:val="00753946"/>
    <w:rsid w:val="00762783"/>
    <w:rsid w:val="00762B2C"/>
    <w:rsid w:val="00765CD8"/>
    <w:rsid w:val="007667C8"/>
    <w:rsid w:val="00770FAD"/>
    <w:rsid w:val="00771B19"/>
    <w:rsid w:val="007736C6"/>
    <w:rsid w:val="00774987"/>
    <w:rsid w:val="00774FCD"/>
    <w:rsid w:val="00775075"/>
    <w:rsid w:val="00781509"/>
    <w:rsid w:val="00781B28"/>
    <w:rsid w:val="00782008"/>
    <w:rsid w:val="00783769"/>
    <w:rsid w:val="0078474C"/>
    <w:rsid w:val="007905BE"/>
    <w:rsid w:val="0079075B"/>
    <w:rsid w:val="00791BE2"/>
    <w:rsid w:val="00791FB0"/>
    <w:rsid w:val="0079207F"/>
    <w:rsid w:val="007920DF"/>
    <w:rsid w:val="00792DEE"/>
    <w:rsid w:val="007932C4"/>
    <w:rsid w:val="00794699"/>
    <w:rsid w:val="00794879"/>
    <w:rsid w:val="00794FEA"/>
    <w:rsid w:val="0079793F"/>
    <w:rsid w:val="007A06EE"/>
    <w:rsid w:val="007A26D0"/>
    <w:rsid w:val="007A413D"/>
    <w:rsid w:val="007A6B6C"/>
    <w:rsid w:val="007A751D"/>
    <w:rsid w:val="007B0947"/>
    <w:rsid w:val="007B1224"/>
    <w:rsid w:val="007B2F96"/>
    <w:rsid w:val="007B551E"/>
    <w:rsid w:val="007B66D6"/>
    <w:rsid w:val="007C52C3"/>
    <w:rsid w:val="007C7952"/>
    <w:rsid w:val="007D018A"/>
    <w:rsid w:val="007D67F0"/>
    <w:rsid w:val="007D7103"/>
    <w:rsid w:val="007D749B"/>
    <w:rsid w:val="007D7658"/>
    <w:rsid w:val="007E1600"/>
    <w:rsid w:val="007E1CA4"/>
    <w:rsid w:val="007E1EB6"/>
    <w:rsid w:val="007E4D21"/>
    <w:rsid w:val="007F028D"/>
    <w:rsid w:val="007F0851"/>
    <w:rsid w:val="007F0A9D"/>
    <w:rsid w:val="007F153F"/>
    <w:rsid w:val="007F1CC6"/>
    <w:rsid w:val="007F3813"/>
    <w:rsid w:val="007F7191"/>
    <w:rsid w:val="007F728E"/>
    <w:rsid w:val="00801A5D"/>
    <w:rsid w:val="00802322"/>
    <w:rsid w:val="00803842"/>
    <w:rsid w:val="00803DDC"/>
    <w:rsid w:val="0080582A"/>
    <w:rsid w:val="0081100D"/>
    <w:rsid w:val="008132A7"/>
    <w:rsid w:val="00813F59"/>
    <w:rsid w:val="00815FE8"/>
    <w:rsid w:val="008165D7"/>
    <w:rsid w:val="00822550"/>
    <w:rsid w:val="0082259F"/>
    <w:rsid w:val="00823444"/>
    <w:rsid w:val="00823803"/>
    <w:rsid w:val="008267E1"/>
    <w:rsid w:val="008278FB"/>
    <w:rsid w:val="00830250"/>
    <w:rsid w:val="00830273"/>
    <w:rsid w:val="00830D3F"/>
    <w:rsid w:val="008325FA"/>
    <w:rsid w:val="0083320F"/>
    <w:rsid w:val="00834DBB"/>
    <w:rsid w:val="00835C69"/>
    <w:rsid w:val="00842750"/>
    <w:rsid w:val="008452D9"/>
    <w:rsid w:val="00845B0F"/>
    <w:rsid w:val="00847F12"/>
    <w:rsid w:val="00847FAB"/>
    <w:rsid w:val="00850558"/>
    <w:rsid w:val="00853907"/>
    <w:rsid w:val="0085594C"/>
    <w:rsid w:val="00855E93"/>
    <w:rsid w:val="008614DC"/>
    <w:rsid w:val="008657DF"/>
    <w:rsid w:val="008676DB"/>
    <w:rsid w:val="0087379E"/>
    <w:rsid w:val="00876189"/>
    <w:rsid w:val="00877825"/>
    <w:rsid w:val="008827BB"/>
    <w:rsid w:val="008843DF"/>
    <w:rsid w:val="00884A25"/>
    <w:rsid w:val="00886073"/>
    <w:rsid w:val="008902FE"/>
    <w:rsid w:val="00891B36"/>
    <w:rsid w:val="00891C1C"/>
    <w:rsid w:val="00896AA9"/>
    <w:rsid w:val="008974DB"/>
    <w:rsid w:val="008976EB"/>
    <w:rsid w:val="008A30C3"/>
    <w:rsid w:val="008A431F"/>
    <w:rsid w:val="008A72DD"/>
    <w:rsid w:val="008B0002"/>
    <w:rsid w:val="008B6820"/>
    <w:rsid w:val="008B7428"/>
    <w:rsid w:val="008C0FA1"/>
    <w:rsid w:val="008C1EDD"/>
    <w:rsid w:val="008C67C1"/>
    <w:rsid w:val="008D0712"/>
    <w:rsid w:val="008D2094"/>
    <w:rsid w:val="008D5E0B"/>
    <w:rsid w:val="008D6FBC"/>
    <w:rsid w:val="008D76EF"/>
    <w:rsid w:val="008E0881"/>
    <w:rsid w:val="008E3FCF"/>
    <w:rsid w:val="008E7BEC"/>
    <w:rsid w:val="008F1477"/>
    <w:rsid w:val="008F21F1"/>
    <w:rsid w:val="008F2B8E"/>
    <w:rsid w:val="008F5F0E"/>
    <w:rsid w:val="008F60C9"/>
    <w:rsid w:val="00901724"/>
    <w:rsid w:val="0090256D"/>
    <w:rsid w:val="00902E0C"/>
    <w:rsid w:val="009054DB"/>
    <w:rsid w:val="009055D5"/>
    <w:rsid w:val="00907BBE"/>
    <w:rsid w:val="00907E2D"/>
    <w:rsid w:val="009111F1"/>
    <w:rsid w:val="00912E09"/>
    <w:rsid w:val="00912E48"/>
    <w:rsid w:val="009159B0"/>
    <w:rsid w:val="00915A9C"/>
    <w:rsid w:val="0091618D"/>
    <w:rsid w:val="009161D6"/>
    <w:rsid w:val="00916BA2"/>
    <w:rsid w:val="009179B8"/>
    <w:rsid w:val="00923402"/>
    <w:rsid w:val="00923BE0"/>
    <w:rsid w:val="00924D2D"/>
    <w:rsid w:val="009263C3"/>
    <w:rsid w:val="00927660"/>
    <w:rsid w:val="00932595"/>
    <w:rsid w:val="0093436C"/>
    <w:rsid w:val="00934D7C"/>
    <w:rsid w:val="00937498"/>
    <w:rsid w:val="00942EA5"/>
    <w:rsid w:val="00943AC0"/>
    <w:rsid w:val="009455C3"/>
    <w:rsid w:val="00946DE1"/>
    <w:rsid w:val="00947ED0"/>
    <w:rsid w:val="00950990"/>
    <w:rsid w:val="00953442"/>
    <w:rsid w:val="009550A3"/>
    <w:rsid w:val="00956290"/>
    <w:rsid w:val="00957171"/>
    <w:rsid w:val="00957C9F"/>
    <w:rsid w:val="00961A75"/>
    <w:rsid w:val="00961D5D"/>
    <w:rsid w:val="009707C0"/>
    <w:rsid w:val="00971C05"/>
    <w:rsid w:val="00971D51"/>
    <w:rsid w:val="0097493E"/>
    <w:rsid w:val="00977FDD"/>
    <w:rsid w:val="009810AC"/>
    <w:rsid w:val="009820FB"/>
    <w:rsid w:val="00982B66"/>
    <w:rsid w:val="0098442D"/>
    <w:rsid w:val="00985869"/>
    <w:rsid w:val="00985E0D"/>
    <w:rsid w:val="00986270"/>
    <w:rsid w:val="00986324"/>
    <w:rsid w:val="00987CE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3127"/>
    <w:rsid w:val="009A4890"/>
    <w:rsid w:val="009A55D3"/>
    <w:rsid w:val="009A798F"/>
    <w:rsid w:val="009A7AB0"/>
    <w:rsid w:val="009B14E7"/>
    <w:rsid w:val="009B3970"/>
    <w:rsid w:val="009B3DBC"/>
    <w:rsid w:val="009B5DBA"/>
    <w:rsid w:val="009B64C5"/>
    <w:rsid w:val="009B6F9C"/>
    <w:rsid w:val="009B75B3"/>
    <w:rsid w:val="009C0358"/>
    <w:rsid w:val="009C2DE7"/>
    <w:rsid w:val="009C3B9A"/>
    <w:rsid w:val="009C40E6"/>
    <w:rsid w:val="009C4387"/>
    <w:rsid w:val="009C673B"/>
    <w:rsid w:val="009D33A0"/>
    <w:rsid w:val="009D4ED5"/>
    <w:rsid w:val="009D7BC2"/>
    <w:rsid w:val="009E363B"/>
    <w:rsid w:val="009E4BCB"/>
    <w:rsid w:val="009E516E"/>
    <w:rsid w:val="009E68C1"/>
    <w:rsid w:val="009F21F0"/>
    <w:rsid w:val="009F3985"/>
    <w:rsid w:val="009F4A4D"/>
    <w:rsid w:val="009F4AE3"/>
    <w:rsid w:val="009F5C6B"/>
    <w:rsid w:val="009F6A1C"/>
    <w:rsid w:val="009F6B67"/>
    <w:rsid w:val="009F79A4"/>
    <w:rsid w:val="009F7A41"/>
    <w:rsid w:val="00A017E6"/>
    <w:rsid w:val="00A01872"/>
    <w:rsid w:val="00A026EE"/>
    <w:rsid w:val="00A0368D"/>
    <w:rsid w:val="00A1172C"/>
    <w:rsid w:val="00A14570"/>
    <w:rsid w:val="00A151A8"/>
    <w:rsid w:val="00A17229"/>
    <w:rsid w:val="00A233A5"/>
    <w:rsid w:val="00A23C51"/>
    <w:rsid w:val="00A2561E"/>
    <w:rsid w:val="00A26D36"/>
    <w:rsid w:val="00A33DAB"/>
    <w:rsid w:val="00A34CBE"/>
    <w:rsid w:val="00A35784"/>
    <w:rsid w:val="00A35F73"/>
    <w:rsid w:val="00A362D4"/>
    <w:rsid w:val="00A4029E"/>
    <w:rsid w:val="00A40377"/>
    <w:rsid w:val="00A40575"/>
    <w:rsid w:val="00A42E37"/>
    <w:rsid w:val="00A446AE"/>
    <w:rsid w:val="00A45576"/>
    <w:rsid w:val="00A47B20"/>
    <w:rsid w:val="00A47CC7"/>
    <w:rsid w:val="00A520F6"/>
    <w:rsid w:val="00A53226"/>
    <w:rsid w:val="00A57F79"/>
    <w:rsid w:val="00A604EE"/>
    <w:rsid w:val="00A62353"/>
    <w:rsid w:val="00A6294C"/>
    <w:rsid w:val="00A62983"/>
    <w:rsid w:val="00A62DD6"/>
    <w:rsid w:val="00A65F25"/>
    <w:rsid w:val="00A73910"/>
    <w:rsid w:val="00A7468E"/>
    <w:rsid w:val="00A748A6"/>
    <w:rsid w:val="00A75B53"/>
    <w:rsid w:val="00A813D4"/>
    <w:rsid w:val="00A85BCC"/>
    <w:rsid w:val="00A867B7"/>
    <w:rsid w:val="00A87177"/>
    <w:rsid w:val="00A91F66"/>
    <w:rsid w:val="00A9298D"/>
    <w:rsid w:val="00A93480"/>
    <w:rsid w:val="00A953B6"/>
    <w:rsid w:val="00A953DB"/>
    <w:rsid w:val="00A9697E"/>
    <w:rsid w:val="00AB0A45"/>
    <w:rsid w:val="00AB29F6"/>
    <w:rsid w:val="00AB4777"/>
    <w:rsid w:val="00AB5F93"/>
    <w:rsid w:val="00AB7B80"/>
    <w:rsid w:val="00AC2BC6"/>
    <w:rsid w:val="00AC4774"/>
    <w:rsid w:val="00AC4F5B"/>
    <w:rsid w:val="00AD1DEF"/>
    <w:rsid w:val="00AD3495"/>
    <w:rsid w:val="00AD4C8A"/>
    <w:rsid w:val="00AD7B52"/>
    <w:rsid w:val="00AE0D46"/>
    <w:rsid w:val="00AE0E55"/>
    <w:rsid w:val="00AE0FC0"/>
    <w:rsid w:val="00AE4CD2"/>
    <w:rsid w:val="00AF09ED"/>
    <w:rsid w:val="00AF1669"/>
    <w:rsid w:val="00AF41DF"/>
    <w:rsid w:val="00AF5114"/>
    <w:rsid w:val="00AF5333"/>
    <w:rsid w:val="00AF6E83"/>
    <w:rsid w:val="00AF756E"/>
    <w:rsid w:val="00AF7FE4"/>
    <w:rsid w:val="00B01AF8"/>
    <w:rsid w:val="00B037A1"/>
    <w:rsid w:val="00B03D29"/>
    <w:rsid w:val="00B1250E"/>
    <w:rsid w:val="00B15A1F"/>
    <w:rsid w:val="00B15A5E"/>
    <w:rsid w:val="00B16EC9"/>
    <w:rsid w:val="00B173C4"/>
    <w:rsid w:val="00B21686"/>
    <w:rsid w:val="00B241D6"/>
    <w:rsid w:val="00B262D1"/>
    <w:rsid w:val="00B271AF"/>
    <w:rsid w:val="00B27DC7"/>
    <w:rsid w:val="00B27E97"/>
    <w:rsid w:val="00B3055B"/>
    <w:rsid w:val="00B328AF"/>
    <w:rsid w:val="00B3356E"/>
    <w:rsid w:val="00B340B0"/>
    <w:rsid w:val="00B35BC4"/>
    <w:rsid w:val="00B372C1"/>
    <w:rsid w:val="00B376D2"/>
    <w:rsid w:val="00B379A9"/>
    <w:rsid w:val="00B40D10"/>
    <w:rsid w:val="00B4634A"/>
    <w:rsid w:val="00B4713F"/>
    <w:rsid w:val="00B47A18"/>
    <w:rsid w:val="00B51AC5"/>
    <w:rsid w:val="00B53EEB"/>
    <w:rsid w:val="00B5630C"/>
    <w:rsid w:val="00B60066"/>
    <w:rsid w:val="00B61F3A"/>
    <w:rsid w:val="00B66BD4"/>
    <w:rsid w:val="00B70F12"/>
    <w:rsid w:val="00B73B67"/>
    <w:rsid w:val="00B75EAD"/>
    <w:rsid w:val="00B7608D"/>
    <w:rsid w:val="00B76598"/>
    <w:rsid w:val="00B77470"/>
    <w:rsid w:val="00B80A4E"/>
    <w:rsid w:val="00B82F36"/>
    <w:rsid w:val="00B91851"/>
    <w:rsid w:val="00B9221C"/>
    <w:rsid w:val="00B92777"/>
    <w:rsid w:val="00B9344D"/>
    <w:rsid w:val="00B945EF"/>
    <w:rsid w:val="00B947E3"/>
    <w:rsid w:val="00BA153A"/>
    <w:rsid w:val="00BA4B90"/>
    <w:rsid w:val="00BA4C2B"/>
    <w:rsid w:val="00BA4FE0"/>
    <w:rsid w:val="00BA558B"/>
    <w:rsid w:val="00BA5E6A"/>
    <w:rsid w:val="00BA7E0B"/>
    <w:rsid w:val="00BA7E64"/>
    <w:rsid w:val="00BB03DF"/>
    <w:rsid w:val="00BB2E53"/>
    <w:rsid w:val="00BB33A4"/>
    <w:rsid w:val="00BB41FD"/>
    <w:rsid w:val="00BB4D7A"/>
    <w:rsid w:val="00BB50C1"/>
    <w:rsid w:val="00BC3260"/>
    <w:rsid w:val="00BC3F37"/>
    <w:rsid w:val="00BC70A8"/>
    <w:rsid w:val="00BC7167"/>
    <w:rsid w:val="00BC7F92"/>
    <w:rsid w:val="00BD036E"/>
    <w:rsid w:val="00BD0D8F"/>
    <w:rsid w:val="00BD1DFF"/>
    <w:rsid w:val="00BD253E"/>
    <w:rsid w:val="00BD5069"/>
    <w:rsid w:val="00BE07E2"/>
    <w:rsid w:val="00BE41E2"/>
    <w:rsid w:val="00BE4D9A"/>
    <w:rsid w:val="00BE6C50"/>
    <w:rsid w:val="00BE7EB1"/>
    <w:rsid w:val="00BF0118"/>
    <w:rsid w:val="00BF0E7D"/>
    <w:rsid w:val="00BF120E"/>
    <w:rsid w:val="00BF1A47"/>
    <w:rsid w:val="00BF34AC"/>
    <w:rsid w:val="00BF3F03"/>
    <w:rsid w:val="00BF4BB9"/>
    <w:rsid w:val="00BF716F"/>
    <w:rsid w:val="00BF747F"/>
    <w:rsid w:val="00BF753A"/>
    <w:rsid w:val="00C02047"/>
    <w:rsid w:val="00C035AE"/>
    <w:rsid w:val="00C0411E"/>
    <w:rsid w:val="00C06319"/>
    <w:rsid w:val="00C06BAC"/>
    <w:rsid w:val="00C12F23"/>
    <w:rsid w:val="00C1345F"/>
    <w:rsid w:val="00C13AFF"/>
    <w:rsid w:val="00C14A8D"/>
    <w:rsid w:val="00C162C0"/>
    <w:rsid w:val="00C21B89"/>
    <w:rsid w:val="00C22F77"/>
    <w:rsid w:val="00C243F8"/>
    <w:rsid w:val="00C24D5C"/>
    <w:rsid w:val="00C25340"/>
    <w:rsid w:val="00C25837"/>
    <w:rsid w:val="00C315F2"/>
    <w:rsid w:val="00C32131"/>
    <w:rsid w:val="00C32198"/>
    <w:rsid w:val="00C32488"/>
    <w:rsid w:val="00C325E2"/>
    <w:rsid w:val="00C35370"/>
    <w:rsid w:val="00C366EF"/>
    <w:rsid w:val="00C40D49"/>
    <w:rsid w:val="00C43E3C"/>
    <w:rsid w:val="00C4409F"/>
    <w:rsid w:val="00C470E9"/>
    <w:rsid w:val="00C504BD"/>
    <w:rsid w:val="00C525F3"/>
    <w:rsid w:val="00C540B8"/>
    <w:rsid w:val="00C60853"/>
    <w:rsid w:val="00C60D12"/>
    <w:rsid w:val="00C6398C"/>
    <w:rsid w:val="00C65FD5"/>
    <w:rsid w:val="00C66027"/>
    <w:rsid w:val="00C66B22"/>
    <w:rsid w:val="00C67A0B"/>
    <w:rsid w:val="00C67D73"/>
    <w:rsid w:val="00C7019D"/>
    <w:rsid w:val="00C70C06"/>
    <w:rsid w:val="00C72ACD"/>
    <w:rsid w:val="00C72EC4"/>
    <w:rsid w:val="00C73C1E"/>
    <w:rsid w:val="00C76434"/>
    <w:rsid w:val="00C77CC6"/>
    <w:rsid w:val="00C77F70"/>
    <w:rsid w:val="00C80205"/>
    <w:rsid w:val="00C80397"/>
    <w:rsid w:val="00C812CA"/>
    <w:rsid w:val="00C813D2"/>
    <w:rsid w:val="00C82392"/>
    <w:rsid w:val="00C82704"/>
    <w:rsid w:val="00C83466"/>
    <w:rsid w:val="00C858E8"/>
    <w:rsid w:val="00C8603B"/>
    <w:rsid w:val="00C868F5"/>
    <w:rsid w:val="00C96E09"/>
    <w:rsid w:val="00C96EA7"/>
    <w:rsid w:val="00CA318B"/>
    <w:rsid w:val="00CA3460"/>
    <w:rsid w:val="00CB38DE"/>
    <w:rsid w:val="00CB419A"/>
    <w:rsid w:val="00CC11C3"/>
    <w:rsid w:val="00CC1292"/>
    <w:rsid w:val="00CC568A"/>
    <w:rsid w:val="00CC61CB"/>
    <w:rsid w:val="00CD1205"/>
    <w:rsid w:val="00CD1C73"/>
    <w:rsid w:val="00CD2A5D"/>
    <w:rsid w:val="00CD4EBF"/>
    <w:rsid w:val="00CD52AD"/>
    <w:rsid w:val="00CD6350"/>
    <w:rsid w:val="00CE1D8C"/>
    <w:rsid w:val="00CE4765"/>
    <w:rsid w:val="00CE4834"/>
    <w:rsid w:val="00CE582C"/>
    <w:rsid w:val="00CE6AC7"/>
    <w:rsid w:val="00CE7E76"/>
    <w:rsid w:val="00CF275B"/>
    <w:rsid w:val="00CF2D5E"/>
    <w:rsid w:val="00CF3D55"/>
    <w:rsid w:val="00CF4850"/>
    <w:rsid w:val="00CF4C52"/>
    <w:rsid w:val="00CF5873"/>
    <w:rsid w:val="00CF698E"/>
    <w:rsid w:val="00CF6A08"/>
    <w:rsid w:val="00D0074D"/>
    <w:rsid w:val="00D00A2F"/>
    <w:rsid w:val="00D00D00"/>
    <w:rsid w:val="00D01460"/>
    <w:rsid w:val="00D027DC"/>
    <w:rsid w:val="00D052E5"/>
    <w:rsid w:val="00D05F0F"/>
    <w:rsid w:val="00D06776"/>
    <w:rsid w:val="00D076FB"/>
    <w:rsid w:val="00D106D0"/>
    <w:rsid w:val="00D11B81"/>
    <w:rsid w:val="00D11F05"/>
    <w:rsid w:val="00D133CC"/>
    <w:rsid w:val="00D1418B"/>
    <w:rsid w:val="00D14B40"/>
    <w:rsid w:val="00D310A4"/>
    <w:rsid w:val="00D319A8"/>
    <w:rsid w:val="00D31A33"/>
    <w:rsid w:val="00D31C1E"/>
    <w:rsid w:val="00D41A65"/>
    <w:rsid w:val="00D4201D"/>
    <w:rsid w:val="00D44892"/>
    <w:rsid w:val="00D4618D"/>
    <w:rsid w:val="00D47541"/>
    <w:rsid w:val="00D51298"/>
    <w:rsid w:val="00D512AA"/>
    <w:rsid w:val="00D51921"/>
    <w:rsid w:val="00D5433B"/>
    <w:rsid w:val="00D54C1C"/>
    <w:rsid w:val="00D54C40"/>
    <w:rsid w:val="00D55635"/>
    <w:rsid w:val="00D55F38"/>
    <w:rsid w:val="00D56445"/>
    <w:rsid w:val="00D6093D"/>
    <w:rsid w:val="00D61394"/>
    <w:rsid w:val="00D62748"/>
    <w:rsid w:val="00D628F9"/>
    <w:rsid w:val="00D65CB7"/>
    <w:rsid w:val="00D749C0"/>
    <w:rsid w:val="00D7626E"/>
    <w:rsid w:val="00D76F8D"/>
    <w:rsid w:val="00D8059E"/>
    <w:rsid w:val="00D83ADA"/>
    <w:rsid w:val="00D83EC3"/>
    <w:rsid w:val="00D85749"/>
    <w:rsid w:val="00D86540"/>
    <w:rsid w:val="00D942EE"/>
    <w:rsid w:val="00D963CD"/>
    <w:rsid w:val="00DA012F"/>
    <w:rsid w:val="00DA216F"/>
    <w:rsid w:val="00DA40A5"/>
    <w:rsid w:val="00DA4419"/>
    <w:rsid w:val="00DA4BF1"/>
    <w:rsid w:val="00DA6B21"/>
    <w:rsid w:val="00DA74F9"/>
    <w:rsid w:val="00DB088A"/>
    <w:rsid w:val="00DB17BD"/>
    <w:rsid w:val="00DB261B"/>
    <w:rsid w:val="00DB42F0"/>
    <w:rsid w:val="00DB45D6"/>
    <w:rsid w:val="00DB52E0"/>
    <w:rsid w:val="00DB655D"/>
    <w:rsid w:val="00DC24D9"/>
    <w:rsid w:val="00DC2DFA"/>
    <w:rsid w:val="00DC5B41"/>
    <w:rsid w:val="00DC6A9F"/>
    <w:rsid w:val="00DC6F14"/>
    <w:rsid w:val="00DD1CDA"/>
    <w:rsid w:val="00DD39E3"/>
    <w:rsid w:val="00DD424D"/>
    <w:rsid w:val="00DD537C"/>
    <w:rsid w:val="00DD6AEB"/>
    <w:rsid w:val="00DE1639"/>
    <w:rsid w:val="00DE720A"/>
    <w:rsid w:val="00DF1BF1"/>
    <w:rsid w:val="00DF40B0"/>
    <w:rsid w:val="00DF46C7"/>
    <w:rsid w:val="00E04CF3"/>
    <w:rsid w:val="00E054BA"/>
    <w:rsid w:val="00E07C22"/>
    <w:rsid w:val="00E07E4E"/>
    <w:rsid w:val="00E127DF"/>
    <w:rsid w:val="00E1454C"/>
    <w:rsid w:val="00E1641F"/>
    <w:rsid w:val="00E177C4"/>
    <w:rsid w:val="00E203CA"/>
    <w:rsid w:val="00E2062A"/>
    <w:rsid w:val="00E23287"/>
    <w:rsid w:val="00E23CFF"/>
    <w:rsid w:val="00E240CB"/>
    <w:rsid w:val="00E24AE3"/>
    <w:rsid w:val="00E25C1E"/>
    <w:rsid w:val="00E279B3"/>
    <w:rsid w:val="00E305A6"/>
    <w:rsid w:val="00E30A1A"/>
    <w:rsid w:val="00E31C47"/>
    <w:rsid w:val="00E3254A"/>
    <w:rsid w:val="00E40754"/>
    <w:rsid w:val="00E4599A"/>
    <w:rsid w:val="00E45B2F"/>
    <w:rsid w:val="00E50E74"/>
    <w:rsid w:val="00E51823"/>
    <w:rsid w:val="00E54B80"/>
    <w:rsid w:val="00E550C0"/>
    <w:rsid w:val="00E56AA9"/>
    <w:rsid w:val="00E56D9B"/>
    <w:rsid w:val="00E56DDA"/>
    <w:rsid w:val="00E57DC0"/>
    <w:rsid w:val="00E57E45"/>
    <w:rsid w:val="00E6081F"/>
    <w:rsid w:val="00E60D50"/>
    <w:rsid w:val="00E65319"/>
    <w:rsid w:val="00E654E3"/>
    <w:rsid w:val="00E6635C"/>
    <w:rsid w:val="00E670C4"/>
    <w:rsid w:val="00E71C6D"/>
    <w:rsid w:val="00E732CC"/>
    <w:rsid w:val="00E739CC"/>
    <w:rsid w:val="00E7441E"/>
    <w:rsid w:val="00E74CEC"/>
    <w:rsid w:val="00E75684"/>
    <w:rsid w:val="00E81D74"/>
    <w:rsid w:val="00E83039"/>
    <w:rsid w:val="00E84AC0"/>
    <w:rsid w:val="00E86119"/>
    <w:rsid w:val="00E8770A"/>
    <w:rsid w:val="00E90078"/>
    <w:rsid w:val="00E90A12"/>
    <w:rsid w:val="00E91836"/>
    <w:rsid w:val="00E9373B"/>
    <w:rsid w:val="00E938A8"/>
    <w:rsid w:val="00E93D14"/>
    <w:rsid w:val="00E955C4"/>
    <w:rsid w:val="00E97B37"/>
    <w:rsid w:val="00EA3288"/>
    <w:rsid w:val="00EA4D89"/>
    <w:rsid w:val="00EA5094"/>
    <w:rsid w:val="00EA5F05"/>
    <w:rsid w:val="00EB2564"/>
    <w:rsid w:val="00EB2BB5"/>
    <w:rsid w:val="00EB3C7D"/>
    <w:rsid w:val="00EC05FC"/>
    <w:rsid w:val="00EC2D4E"/>
    <w:rsid w:val="00EC4F27"/>
    <w:rsid w:val="00EC5FAE"/>
    <w:rsid w:val="00EC642E"/>
    <w:rsid w:val="00ED0771"/>
    <w:rsid w:val="00ED1B83"/>
    <w:rsid w:val="00ED2852"/>
    <w:rsid w:val="00ED5246"/>
    <w:rsid w:val="00ED5508"/>
    <w:rsid w:val="00ED57DE"/>
    <w:rsid w:val="00ED6871"/>
    <w:rsid w:val="00ED687D"/>
    <w:rsid w:val="00ED7F97"/>
    <w:rsid w:val="00EE14B3"/>
    <w:rsid w:val="00EE1741"/>
    <w:rsid w:val="00EE380D"/>
    <w:rsid w:val="00EE444D"/>
    <w:rsid w:val="00EE6932"/>
    <w:rsid w:val="00EE7452"/>
    <w:rsid w:val="00EF147A"/>
    <w:rsid w:val="00EF7C8B"/>
    <w:rsid w:val="00F00747"/>
    <w:rsid w:val="00F017BD"/>
    <w:rsid w:val="00F0343C"/>
    <w:rsid w:val="00F04EF0"/>
    <w:rsid w:val="00F04EF5"/>
    <w:rsid w:val="00F05516"/>
    <w:rsid w:val="00F10A86"/>
    <w:rsid w:val="00F12854"/>
    <w:rsid w:val="00F1351F"/>
    <w:rsid w:val="00F15342"/>
    <w:rsid w:val="00F15E23"/>
    <w:rsid w:val="00F16680"/>
    <w:rsid w:val="00F17616"/>
    <w:rsid w:val="00F17680"/>
    <w:rsid w:val="00F22BB8"/>
    <w:rsid w:val="00F22CFD"/>
    <w:rsid w:val="00F23144"/>
    <w:rsid w:val="00F23385"/>
    <w:rsid w:val="00F23854"/>
    <w:rsid w:val="00F25F11"/>
    <w:rsid w:val="00F30847"/>
    <w:rsid w:val="00F31BF9"/>
    <w:rsid w:val="00F325A8"/>
    <w:rsid w:val="00F3361E"/>
    <w:rsid w:val="00F34343"/>
    <w:rsid w:val="00F36A39"/>
    <w:rsid w:val="00F41610"/>
    <w:rsid w:val="00F4346B"/>
    <w:rsid w:val="00F43774"/>
    <w:rsid w:val="00F46566"/>
    <w:rsid w:val="00F474CF"/>
    <w:rsid w:val="00F47A89"/>
    <w:rsid w:val="00F47B20"/>
    <w:rsid w:val="00F47E48"/>
    <w:rsid w:val="00F50F25"/>
    <w:rsid w:val="00F54060"/>
    <w:rsid w:val="00F57C56"/>
    <w:rsid w:val="00F627A9"/>
    <w:rsid w:val="00F633C8"/>
    <w:rsid w:val="00F6365C"/>
    <w:rsid w:val="00F65A36"/>
    <w:rsid w:val="00F74066"/>
    <w:rsid w:val="00F7514B"/>
    <w:rsid w:val="00F81CA1"/>
    <w:rsid w:val="00F8209D"/>
    <w:rsid w:val="00F82100"/>
    <w:rsid w:val="00F8247C"/>
    <w:rsid w:val="00F8496A"/>
    <w:rsid w:val="00F84EF3"/>
    <w:rsid w:val="00F85948"/>
    <w:rsid w:val="00F85C46"/>
    <w:rsid w:val="00F86650"/>
    <w:rsid w:val="00F91927"/>
    <w:rsid w:val="00F96862"/>
    <w:rsid w:val="00F96B4C"/>
    <w:rsid w:val="00F9784B"/>
    <w:rsid w:val="00F97C70"/>
    <w:rsid w:val="00FA39C3"/>
    <w:rsid w:val="00FA6B17"/>
    <w:rsid w:val="00FB0199"/>
    <w:rsid w:val="00FB1D1B"/>
    <w:rsid w:val="00FB39B3"/>
    <w:rsid w:val="00FB3A95"/>
    <w:rsid w:val="00FB3F58"/>
    <w:rsid w:val="00FB5B42"/>
    <w:rsid w:val="00FC0CC1"/>
    <w:rsid w:val="00FC1A9B"/>
    <w:rsid w:val="00FC2B40"/>
    <w:rsid w:val="00FC3A95"/>
    <w:rsid w:val="00FC45D6"/>
    <w:rsid w:val="00FC4A04"/>
    <w:rsid w:val="00FC74E9"/>
    <w:rsid w:val="00FD0310"/>
    <w:rsid w:val="00FD3DAE"/>
    <w:rsid w:val="00FD474A"/>
    <w:rsid w:val="00FD62F5"/>
    <w:rsid w:val="00FD6A03"/>
    <w:rsid w:val="00FE0EC9"/>
    <w:rsid w:val="00FE10A7"/>
    <w:rsid w:val="00FE2132"/>
    <w:rsid w:val="00FE2B3F"/>
    <w:rsid w:val="00FE53AF"/>
    <w:rsid w:val="00FE665F"/>
    <w:rsid w:val="00FF053C"/>
    <w:rsid w:val="00FF6FA9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95AAA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2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5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95AAA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9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887B9-0A81-4F92-ACBF-A836F82B6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1557</TotalTime>
  <Pages>25</Pages>
  <Words>10457</Words>
  <Characters>62747</Characters>
  <Application>Microsoft Office Word</Application>
  <DocSecurity>0</DocSecurity>
  <Lines>522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846</cp:revision>
  <cp:lastPrinted>2022-11-24T06:47:00Z</cp:lastPrinted>
  <dcterms:created xsi:type="dcterms:W3CDTF">2021-02-03T06:43:00Z</dcterms:created>
  <dcterms:modified xsi:type="dcterms:W3CDTF">2024-04-05T09:05:00Z</dcterms:modified>
</cp:coreProperties>
</file>