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67354D3F" w:rsidR="009C2EAC" w:rsidRPr="00217A3D" w:rsidRDefault="009C2EAC" w:rsidP="002A6E94">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CC547F">
        <w:rPr>
          <w:bCs/>
          <w:szCs w:val="20"/>
        </w:rPr>
        <w:t>1</w:t>
      </w:r>
      <w:r w:rsidR="005C0C87">
        <w:rPr>
          <w:bCs/>
          <w:szCs w:val="20"/>
        </w:rPr>
        <w:t>9</w:t>
      </w:r>
      <w:r w:rsidR="008E7464">
        <w:rPr>
          <w:bCs/>
          <w:szCs w:val="20"/>
        </w:rPr>
        <w:t>.</w:t>
      </w:r>
      <w:r w:rsidR="00025267">
        <w:rPr>
          <w:bCs/>
          <w:szCs w:val="20"/>
        </w:rPr>
        <w:t>202</w:t>
      </w:r>
      <w:r w:rsidR="008B209B">
        <w:rPr>
          <w:bCs/>
          <w:szCs w:val="20"/>
        </w:rPr>
        <w:t>4</w:t>
      </w:r>
    </w:p>
    <w:p w14:paraId="55470C76" w14:textId="19516CD4" w:rsidR="00217A3D" w:rsidRPr="0089556C" w:rsidRDefault="002146FA" w:rsidP="002A6E94">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B5F28E"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CC547F">
        <w:rPr>
          <w:b/>
          <w:sz w:val="22"/>
        </w:rPr>
        <w:t>1</w:t>
      </w:r>
      <w:r w:rsidR="005C0C87">
        <w:rPr>
          <w:b/>
          <w:sz w:val="22"/>
        </w:rPr>
        <w:t>9</w:t>
      </w:r>
      <w:r w:rsidR="00560E85" w:rsidRPr="0089556C">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p>
    <w:p w14:paraId="2EDE066C" w14:textId="6BAF9389" w:rsidR="009C2EAC" w:rsidRPr="009C2EAC" w:rsidRDefault="009C2EAC" w:rsidP="002A6E94">
      <w:pPr>
        <w:widowControl w:val="0"/>
        <w:ind w:left="284"/>
        <w:rPr>
          <w:szCs w:val="20"/>
        </w:rPr>
      </w:pPr>
      <w:r w:rsidRPr="009C2EAC">
        <w:rPr>
          <w:szCs w:val="20"/>
        </w:rPr>
        <w:t>zawarta w Katowicach, pomiędzy:</w:t>
      </w:r>
    </w:p>
    <w:p w14:paraId="16A92C5D" w14:textId="77777777" w:rsidR="009C2EAC" w:rsidRPr="009C2EAC" w:rsidRDefault="009C2EAC" w:rsidP="002A6E94">
      <w:pPr>
        <w:widowControl w:val="0"/>
        <w:ind w:left="284"/>
        <w:rPr>
          <w:b/>
          <w:szCs w:val="20"/>
        </w:rPr>
      </w:pPr>
      <w:r w:rsidRPr="009C2EAC">
        <w:rPr>
          <w:b/>
          <w:szCs w:val="20"/>
        </w:rPr>
        <w:t>Uniwersytetem Śląskim w Katowicach</w:t>
      </w:r>
    </w:p>
    <w:p w14:paraId="73179811" w14:textId="77777777" w:rsidR="009C2EAC" w:rsidRPr="009C2EAC" w:rsidRDefault="009C2EAC" w:rsidP="002A6E94">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2A6E94">
      <w:pPr>
        <w:widowControl w:val="0"/>
        <w:ind w:left="284"/>
        <w:rPr>
          <w:szCs w:val="20"/>
        </w:rPr>
      </w:pPr>
      <w:r w:rsidRPr="009C2EAC">
        <w:rPr>
          <w:szCs w:val="20"/>
        </w:rPr>
        <w:t>NIP: 6340197134</w:t>
      </w:r>
    </w:p>
    <w:p w14:paraId="35B05C43" w14:textId="6A3DE896" w:rsidR="009C2EAC" w:rsidRPr="009C2EAC" w:rsidRDefault="009C2EAC" w:rsidP="002A6E94">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2A6E94">
      <w:pPr>
        <w:widowControl w:val="0"/>
        <w:ind w:left="284"/>
        <w:rPr>
          <w:szCs w:val="20"/>
        </w:rPr>
      </w:pPr>
      <w:r w:rsidRPr="009C2EAC">
        <w:rPr>
          <w:szCs w:val="20"/>
        </w:rPr>
        <w:t>zwanym dalej Zamawiającym</w:t>
      </w:r>
    </w:p>
    <w:p w14:paraId="54426D2E" w14:textId="77777777" w:rsidR="009C2EAC" w:rsidRPr="009C2EAC" w:rsidRDefault="009C2EAC" w:rsidP="002A6E94">
      <w:pPr>
        <w:widowControl w:val="0"/>
        <w:ind w:left="284"/>
        <w:rPr>
          <w:szCs w:val="20"/>
        </w:rPr>
      </w:pPr>
      <w:r w:rsidRPr="009C2EAC">
        <w:rPr>
          <w:szCs w:val="20"/>
        </w:rPr>
        <w:t>a</w:t>
      </w:r>
    </w:p>
    <w:p w14:paraId="13635FCC" w14:textId="77777777" w:rsidR="009C2EAC" w:rsidRPr="009C2EAC" w:rsidRDefault="009C2EAC" w:rsidP="002A6E94">
      <w:pPr>
        <w:widowControl w:val="0"/>
        <w:ind w:left="284"/>
        <w:rPr>
          <w:szCs w:val="20"/>
        </w:rPr>
      </w:pPr>
      <w:r w:rsidRPr="009C2EAC">
        <w:rPr>
          <w:szCs w:val="20"/>
        </w:rPr>
        <w:t>.............................................................................................................................</w:t>
      </w:r>
    </w:p>
    <w:p w14:paraId="665EBFAB" w14:textId="77777777" w:rsidR="009C2EAC" w:rsidRPr="009C2EAC" w:rsidRDefault="009C2EAC" w:rsidP="002A6E94">
      <w:pPr>
        <w:widowControl w:val="0"/>
        <w:ind w:left="284"/>
        <w:rPr>
          <w:szCs w:val="20"/>
        </w:rPr>
      </w:pPr>
      <w:r w:rsidRPr="009C2EAC">
        <w:rPr>
          <w:szCs w:val="20"/>
        </w:rPr>
        <w:t>NIP: ...................................................,</w:t>
      </w:r>
    </w:p>
    <w:p w14:paraId="041543A3" w14:textId="77777777" w:rsidR="00602F9D" w:rsidRDefault="009C2EAC" w:rsidP="002A6E94">
      <w:pPr>
        <w:widowControl w:val="0"/>
        <w:ind w:left="284"/>
        <w:rPr>
          <w:i/>
          <w:szCs w:val="20"/>
        </w:rPr>
      </w:pPr>
      <w:r w:rsidRPr="009C2EAC">
        <w:rPr>
          <w:szCs w:val="20"/>
        </w:rPr>
        <w:t>zwanym dalej Wykonawcą</w:t>
      </w:r>
      <w:r w:rsidR="002146FA">
        <w:rPr>
          <w:i/>
          <w:szCs w:val="20"/>
        </w:rPr>
        <w:t xml:space="preserve"> </w:t>
      </w:r>
    </w:p>
    <w:p w14:paraId="03858FAA" w14:textId="29F3ABDF" w:rsidR="009C2EAC" w:rsidRPr="002146FA" w:rsidRDefault="009C2EAC" w:rsidP="002A6E94">
      <w:pPr>
        <w:widowControl w:val="0"/>
        <w:ind w:left="284"/>
        <w:rPr>
          <w:i/>
          <w:szCs w:val="20"/>
        </w:rPr>
      </w:pPr>
      <w:r w:rsidRPr="009C2EAC">
        <w:rPr>
          <w:bCs/>
          <w:i/>
          <w:szCs w:val="20"/>
        </w:rPr>
        <w:t>albo</w:t>
      </w:r>
      <w:r w:rsidRPr="009C2EAC">
        <w:rPr>
          <w:bCs/>
          <w:i/>
          <w:szCs w:val="20"/>
          <w:vertAlign w:val="superscript"/>
        </w:rPr>
        <w:footnoteReference w:id="1"/>
      </w:r>
    </w:p>
    <w:p w14:paraId="2F664E40" w14:textId="72D77966" w:rsidR="009C2EAC" w:rsidRPr="00EB611D" w:rsidRDefault="009C2EAC" w:rsidP="002A6E94">
      <w:pPr>
        <w:widowControl w:val="0"/>
        <w:ind w:left="284"/>
        <w:rPr>
          <w:bCs/>
          <w:szCs w:val="20"/>
        </w:rPr>
      </w:pPr>
      <w:r w:rsidRPr="009C2EAC">
        <w:rPr>
          <w:bCs/>
          <w:szCs w:val="20"/>
        </w:rPr>
        <w:t>.............................................................</w:t>
      </w:r>
      <w:r w:rsidRPr="009C2EAC">
        <w:rPr>
          <w:szCs w:val="20"/>
        </w:rPr>
        <w:t>NIP: .....................................................</w:t>
      </w:r>
    </w:p>
    <w:p w14:paraId="35572C84" w14:textId="4EE9E4CD" w:rsidR="009C2EAC" w:rsidRDefault="009C2EAC" w:rsidP="002A6E94">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26FD6039" w:rsidR="00F6051D" w:rsidRPr="009C2EAC" w:rsidRDefault="00F6051D" w:rsidP="00BE4C01">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5D7199">
        <w:rPr>
          <w:rFonts w:eastAsia="Calibri" w:cs="Times New Roman"/>
          <w:b/>
          <w:bCs/>
        </w:rPr>
        <w:t>1</w:t>
      </w:r>
      <w:r w:rsidR="005C0C87">
        <w:rPr>
          <w:rFonts w:eastAsia="Calibri" w:cs="Times New Roman"/>
          <w:b/>
          <w:bCs/>
        </w:rPr>
        <w:t>9</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bookmarkStart w:id="0" w:name="_Hlk160614755"/>
      <w:r w:rsidR="005D7199" w:rsidRPr="005D7199">
        <w:rPr>
          <w:rFonts w:eastAsia="Calibri" w:cs="Times New Roman"/>
          <w:b/>
          <w:bCs/>
          <w:szCs w:val="20"/>
        </w:rPr>
        <w:t>Dostawa materiałów eksploatacyjnych- tusze</w:t>
      </w:r>
      <w:bookmarkEnd w:id="0"/>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2A6E94">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A6E94">
      <w:pPr>
        <w:widowControl w:val="0"/>
        <w:ind w:left="0" w:firstLine="0"/>
        <w:jc w:val="center"/>
        <w:rPr>
          <w:sz w:val="22"/>
        </w:rPr>
      </w:pPr>
      <w:r>
        <w:rPr>
          <w:b/>
          <w:sz w:val="22"/>
        </w:rPr>
        <w:t>Przedmiot U</w:t>
      </w:r>
      <w:r w:rsidR="009C2EAC" w:rsidRPr="009C2EAC">
        <w:rPr>
          <w:b/>
          <w:sz w:val="22"/>
        </w:rPr>
        <w:t>mowy</w:t>
      </w:r>
    </w:p>
    <w:p w14:paraId="2A8F6EEF" w14:textId="6B30A4CC" w:rsidR="009C2EAC" w:rsidRPr="002165FC" w:rsidRDefault="009C2EAC" w:rsidP="00812343">
      <w:pPr>
        <w:pStyle w:val="Nagwek2"/>
        <w:keepNext w:val="0"/>
        <w:widowControl w:val="0"/>
        <w:spacing w:before="0" w:after="0" w:line="360" w:lineRule="auto"/>
        <w:ind w:left="284" w:hanging="284"/>
        <w:contextualSpacing w:val="0"/>
        <w:rPr>
          <w:lang w:eastAsia="pl-PL"/>
        </w:rPr>
      </w:pPr>
      <w:bookmarkStart w:id="1" w:name="_Ref354048233"/>
      <w:r w:rsidRPr="009C2EAC">
        <w:t>W oparciu o dokumenty zamówienia przygotowane dla przeprowadzonego przez Zamawiającego postępowania o</w:t>
      </w:r>
      <w:r w:rsidR="00A054D6">
        <w:t xml:space="preserve"> </w:t>
      </w:r>
      <w:r w:rsidRPr="009C2EAC">
        <w:t xml:space="preserve">udzielenie zamówienia publicznego nr </w:t>
      </w:r>
      <w:r w:rsidR="00025267">
        <w:rPr>
          <w:b/>
        </w:rPr>
        <w:t>DZP.382.</w:t>
      </w:r>
      <w:r w:rsidR="00F6051D">
        <w:rPr>
          <w:b/>
        </w:rPr>
        <w:t>1.</w:t>
      </w:r>
      <w:r w:rsidR="005D7199">
        <w:rPr>
          <w:b/>
        </w:rPr>
        <w:t>1</w:t>
      </w:r>
      <w:r w:rsidR="005C0C87">
        <w:rPr>
          <w:b/>
        </w:rPr>
        <w:t>9</w:t>
      </w:r>
      <w:bookmarkStart w:id="2" w:name="_GoBack"/>
      <w:bookmarkEnd w:id="2"/>
      <w:r w:rsidR="00E131C9">
        <w:rPr>
          <w:b/>
        </w:rPr>
        <w:t>.</w:t>
      </w:r>
      <w:r w:rsidR="00025267">
        <w:rPr>
          <w:b/>
        </w:rPr>
        <w:t>202</w:t>
      </w:r>
      <w:r w:rsidR="00B025ED">
        <w:rPr>
          <w:b/>
        </w:rPr>
        <w:t>4</w:t>
      </w:r>
      <w:r w:rsidRPr="009C2EAC">
        <w:rPr>
          <w:b/>
        </w:rPr>
        <w:t xml:space="preserve"> </w:t>
      </w:r>
      <w:r w:rsidRPr="009C2EAC">
        <w:t xml:space="preserve">oraz ofertę przedstawioną przez Wykonawcę w tym postępowaniu, </w:t>
      </w:r>
      <w:bookmarkEnd w:id="1"/>
      <w:r w:rsidR="00402A27" w:rsidRPr="00326210">
        <w:t>stanowiąc</w:t>
      </w:r>
      <w:r w:rsidR="00402A27">
        <w:t>e</w:t>
      </w:r>
      <w:r w:rsidR="00402A27" w:rsidRPr="00326210">
        <w:t xml:space="preserve"> integralną część Umowy</w:t>
      </w:r>
      <w:r w:rsidR="00402A27">
        <w:t xml:space="preserve">, </w:t>
      </w:r>
      <w:r w:rsidRPr="009C2EAC">
        <w:t>Zamawiający nabywa od</w:t>
      </w:r>
      <w:r w:rsidR="00A054D6">
        <w:t> </w:t>
      </w:r>
      <w:r w:rsidRPr="009C2EAC">
        <w:t xml:space="preserve">Wykonawcy na podstawie </w:t>
      </w:r>
      <w:r w:rsidR="001C746C">
        <w:t>U</w:t>
      </w:r>
      <w:r w:rsidRPr="009C2EAC">
        <w:t>mowy sprzedaży</w:t>
      </w:r>
      <w:r w:rsidRPr="009F4FE4">
        <w:t>:</w:t>
      </w:r>
      <w:r w:rsidR="00FE4D03">
        <w:t xml:space="preserve"> </w:t>
      </w:r>
      <w:r w:rsidR="006D73C1" w:rsidRPr="006D73C1">
        <w:rPr>
          <w:b/>
          <w:lang w:eastAsia="pl-PL"/>
        </w:rPr>
        <w:t xml:space="preserve">materiały eksploatacyjne do urządzeń drukujących </w:t>
      </w:r>
      <w:r w:rsidR="00CB1467">
        <w:rPr>
          <w:b/>
          <w:lang w:eastAsia="pl-PL"/>
        </w:rPr>
        <w:t xml:space="preserve">                   </w:t>
      </w:r>
      <w:r w:rsidR="006D73C1" w:rsidRPr="006D73C1">
        <w:rPr>
          <w:b/>
          <w:lang w:eastAsia="pl-PL"/>
        </w:rPr>
        <w:t>- tusze</w:t>
      </w:r>
      <w:r w:rsidR="00FE4D03" w:rsidRPr="002165FC">
        <w:rPr>
          <w:lang w:eastAsia="pl-PL"/>
        </w:rPr>
        <w:t xml:space="preserve">, </w:t>
      </w:r>
      <w:r w:rsidRPr="002165FC">
        <w:t>zwan</w:t>
      </w:r>
      <w:r w:rsidR="009B751E" w:rsidRPr="002165FC">
        <w:t>y</w:t>
      </w:r>
      <w:r w:rsidRPr="002165FC">
        <w:rPr>
          <w:szCs w:val="20"/>
        </w:rPr>
        <w:t xml:space="preserve"> w</w:t>
      </w:r>
      <w:r w:rsidR="0060617B" w:rsidRPr="002165FC">
        <w:rPr>
          <w:szCs w:val="20"/>
        </w:rPr>
        <w:t> </w:t>
      </w:r>
      <w:r w:rsidRPr="002165FC">
        <w:rPr>
          <w:szCs w:val="20"/>
        </w:rPr>
        <w:t xml:space="preserve">dalszej części Umowy </w:t>
      </w:r>
      <w:r w:rsidRPr="002165FC">
        <w:rPr>
          <w:i/>
          <w:szCs w:val="20"/>
        </w:rPr>
        <w:t>„</w:t>
      </w:r>
      <w:r w:rsidR="002B0C91">
        <w:rPr>
          <w:szCs w:val="20"/>
        </w:rPr>
        <w:t>M</w:t>
      </w:r>
      <w:r w:rsidR="006D73C1">
        <w:rPr>
          <w:szCs w:val="20"/>
        </w:rPr>
        <w:t>ateriałami</w:t>
      </w:r>
      <w:r w:rsidRPr="002165FC">
        <w:rPr>
          <w:szCs w:val="20"/>
        </w:rPr>
        <w:t>”</w:t>
      </w:r>
      <w:r w:rsidR="0080127A" w:rsidRPr="002165FC">
        <w:rPr>
          <w:szCs w:val="20"/>
        </w:rPr>
        <w:t xml:space="preserve"> </w:t>
      </w:r>
      <w:r w:rsidRPr="002165FC">
        <w:rPr>
          <w:szCs w:val="20"/>
        </w:rPr>
        <w:t>lub</w:t>
      </w:r>
      <w:r w:rsidRPr="002165FC">
        <w:rPr>
          <w:i/>
          <w:szCs w:val="20"/>
        </w:rPr>
        <w:t xml:space="preserve"> „</w:t>
      </w:r>
      <w:r w:rsidR="0090225A" w:rsidRPr="002165FC">
        <w:rPr>
          <w:szCs w:val="20"/>
        </w:rPr>
        <w:t xml:space="preserve">Przedmiotem </w:t>
      </w:r>
      <w:r w:rsidR="002A747E" w:rsidRPr="002165FC">
        <w:rPr>
          <w:szCs w:val="20"/>
        </w:rPr>
        <w:t>Sprzedaży</w:t>
      </w:r>
      <w:r w:rsidRPr="002165FC">
        <w:rPr>
          <w:i/>
          <w:szCs w:val="20"/>
        </w:rPr>
        <w:t>”.</w:t>
      </w:r>
    </w:p>
    <w:p w14:paraId="645CCBA1" w14:textId="54F526BF" w:rsidR="009C2EAC" w:rsidRPr="007776C0" w:rsidRDefault="009C2EAC" w:rsidP="00812343">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4EBF6B92" w14:textId="17E0D974" w:rsidR="007776C0" w:rsidRPr="007776C0" w:rsidRDefault="007776C0" w:rsidP="00812343">
      <w:pPr>
        <w:pStyle w:val="Akapitzlist"/>
        <w:widowControl w:val="0"/>
        <w:numPr>
          <w:ilvl w:val="0"/>
          <w:numId w:val="28"/>
        </w:numPr>
        <w:ind w:left="567" w:hanging="283"/>
        <w:contextualSpacing w:val="0"/>
        <w:outlineLvl w:val="1"/>
        <w:rPr>
          <w:rFonts w:eastAsia="Times New Roman" w:cs="Times New Roman"/>
          <w:bCs/>
          <w:noProof/>
          <w:szCs w:val="20"/>
        </w:rPr>
      </w:pPr>
      <w:r w:rsidRPr="007776C0">
        <w:rPr>
          <w:rFonts w:eastAsia="Times New Roman" w:cs="Times New Roman"/>
          <w:bCs/>
          <w:noProof/>
          <w:szCs w:val="20"/>
        </w:rPr>
        <w:t xml:space="preserve">dostarczenie oraz wydanie Materiałów w miejscu wskazanym przez Zamawiającego (w tym rozładunek i wniesienie do </w:t>
      </w:r>
      <w:r>
        <w:rPr>
          <w:rFonts w:eastAsia="Times New Roman" w:cs="Times New Roman"/>
          <w:bCs/>
          <w:noProof/>
          <w:szCs w:val="20"/>
        </w:rPr>
        <w:t xml:space="preserve">miejsc </w:t>
      </w:r>
      <w:r w:rsidRPr="007776C0">
        <w:rPr>
          <w:rFonts w:eastAsia="Times New Roman" w:cs="Times New Roman"/>
          <w:bCs/>
          <w:noProof/>
          <w:szCs w:val="20"/>
        </w:rPr>
        <w:t>wskazanych przez Zamawiającego),</w:t>
      </w:r>
    </w:p>
    <w:p w14:paraId="4AA4A094" w14:textId="6FA6029E" w:rsidR="007776C0" w:rsidRPr="007776C0" w:rsidRDefault="007776C0" w:rsidP="00812343">
      <w:pPr>
        <w:pStyle w:val="Akapitzlist"/>
        <w:widowControl w:val="0"/>
        <w:numPr>
          <w:ilvl w:val="0"/>
          <w:numId w:val="28"/>
        </w:numPr>
        <w:ind w:left="567" w:hanging="283"/>
        <w:contextualSpacing w:val="0"/>
        <w:outlineLvl w:val="1"/>
        <w:rPr>
          <w:rFonts w:eastAsia="Times New Roman" w:cs="Times New Roman"/>
          <w:bCs/>
          <w:noProof/>
          <w:szCs w:val="20"/>
        </w:rPr>
      </w:pPr>
      <w:r w:rsidRPr="007776C0">
        <w:rPr>
          <w:rFonts w:eastAsia="Times New Roman" w:cs="Times New Roman"/>
          <w:bCs/>
          <w:noProof/>
          <w:szCs w:val="20"/>
        </w:rPr>
        <w:t>udzielenie gwarancji jakości na dostarczony Przedmiot Umowy.</w:t>
      </w:r>
    </w:p>
    <w:p w14:paraId="452D0984" w14:textId="68B75372" w:rsidR="007776C0" w:rsidRPr="007776C0" w:rsidRDefault="007776C0" w:rsidP="00812343">
      <w:pPr>
        <w:pStyle w:val="Nagwek2"/>
        <w:keepNext w:val="0"/>
        <w:widowControl w:val="0"/>
        <w:numPr>
          <w:ilvl w:val="0"/>
          <w:numId w:val="9"/>
        </w:numPr>
        <w:spacing w:before="0" w:after="0" w:line="360" w:lineRule="auto"/>
        <w:ind w:left="284" w:hanging="284"/>
        <w:contextualSpacing w:val="0"/>
      </w:pPr>
      <w:r w:rsidRPr="00902AD1">
        <w:t xml:space="preserve">Szczegółowy wykaz materiałów wraz z ich opisem zawiera oferta </w:t>
      </w:r>
      <w:r w:rsidRPr="00902AD1">
        <w:rPr>
          <w:iCs/>
        </w:rPr>
        <w:t>Wykonawcy</w:t>
      </w:r>
      <w:r w:rsidRPr="00902AD1">
        <w:rPr>
          <w:rFonts w:eastAsiaTheme="minorHAnsi" w:cstheme="minorBidi"/>
          <w:iCs/>
        </w:rPr>
        <w:t>, stanowiąca integralną część Umow</w:t>
      </w:r>
      <w:r w:rsidR="00153567">
        <w:rPr>
          <w:rFonts w:eastAsiaTheme="minorHAnsi" w:cstheme="minorBidi"/>
          <w:iCs/>
        </w:rPr>
        <w:t>. P</w:t>
      </w:r>
      <w:r w:rsidRPr="00902AD1">
        <w:t xml:space="preserve">odane ilości poszczególnych materiałów są wartościami maksymalnymi. </w:t>
      </w:r>
      <w:r w:rsidRPr="00902AD1">
        <w:rPr>
          <w:iCs/>
        </w:rPr>
        <w:t xml:space="preserve">Zamawiający </w:t>
      </w:r>
      <w:r w:rsidRPr="00902AD1">
        <w:t xml:space="preserve">zastrzega sobie prawo niewykorzystania podanych ilości, a tym samym pełnej kwoty umowy. Zamawiający gwarantuje </w:t>
      </w:r>
      <w:r w:rsidR="00DF4FFF" w:rsidRPr="00DF4FFF">
        <w:rPr>
          <w:iCs/>
          <w:lang w:val="x-none"/>
        </w:rPr>
        <w:t>minimalny zakres zamówienia</w:t>
      </w:r>
      <w:r w:rsidR="00DF4FFF">
        <w:rPr>
          <w:iCs/>
        </w:rPr>
        <w:t xml:space="preserve"> tj. </w:t>
      </w:r>
      <w:r w:rsidRPr="00902AD1">
        <w:t xml:space="preserve">realizację Przedmiotu Umowy </w:t>
      </w:r>
      <w:r w:rsidR="00DF4FFF">
        <w:t xml:space="preserve"> </w:t>
      </w:r>
      <w:r w:rsidRPr="00902AD1">
        <w:t xml:space="preserve">w zakresie </w:t>
      </w:r>
      <w:r w:rsidR="00153567">
        <w:t xml:space="preserve">                 </w:t>
      </w:r>
      <w:r w:rsidRPr="00902AD1">
        <w:t xml:space="preserve">30 % ilości asortymentu </w:t>
      </w:r>
      <w:r w:rsidRPr="007776C0">
        <w:t>objętego zamówieniem (tj. całości asortymentu</w:t>
      </w:r>
      <w:r>
        <w:t xml:space="preserve">, </w:t>
      </w:r>
      <w:r w:rsidRPr="007776C0">
        <w:t xml:space="preserve"> a nie poszczególnych pozycji). Wykonawcy nie przysługuje z tego tytułu żadne roszczenie. </w:t>
      </w:r>
    </w:p>
    <w:p w14:paraId="63C68DA8" w14:textId="4330BFAD" w:rsidR="009C2EAC" w:rsidRPr="009C2EAC" w:rsidRDefault="00303464" w:rsidP="00303464">
      <w:pPr>
        <w:keepNext/>
        <w:tabs>
          <w:tab w:val="center" w:pos="4819"/>
          <w:tab w:val="left" w:pos="5895"/>
        </w:tabs>
        <w:spacing w:before="480"/>
        <w:ind w:left="0" w:firstLine="0"/>
        <w:jc w:val="left"/>
        <w:outlineLvl w:val="4"/>
        <w:rPr>
          <w:b/>
          <w:bCs/>
          <w:sz w:val="22"/>
          <w:szCs w:val="20"/>
        </w:rPr>
      </w:pPr>
      <w:r>
        <w:rPr>
          <w:b/>
          <w:bCs/>
          <w:sz w:val="22"/>
          <w:szCs w:val="20"/>
        </w:rPr>
        <w:lastRenderedPageBreak/>
        <w:tab/>
      </w:r>
      <w:r w:rsidR="009C2EAC" w:rsidRPr="009C2EAC">
        <w:rPr>
          <w:b/>
          <w:bCs/>
          <w:sz w:val="22"/>
          <w:szCs w:val="20"/>
        </w:rPr>
        <w:t>§</w:t>
      </w:r>
      <w:r w:rsidR="00C5785A">
        <w:rPr>
          <w:b/>
          <w:bCs/>
          <w:sz w:val="22"/>
          <w:szCs w:val="20"/>
        </w:rPr>
        <w:t xml:space="preserve"> </w:t>
      </w:r>
      <w:r w:rsidR="009C2EAC" w:rsidRPr="009C2EAC">
        <w:rPr>
          <w:b/>
          <w:bCs/>
          <w:sz w:val="22"/>
          <w:szCs w:val="20"/>
        </w:rPr>
        <w:t>2</w:t>
      </w:r>
      <w:r>
        <w:rPr>
          <w:b/>
          <w:bCs/>
          <w:sz w:val="22"/>
          <w:szCs w:val="20"/>
        </w:rPr>
        <w:tab/>
      </w:r>
    </w:p>
    <w:p w14:paraId="53355167" w14:textId="0F25FB08" w:rsid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2536EF3" w14:textId="77777777" w:rsidR="00D50BD4" w:rsidRPr="00562CA4" w:rsidRDefault="00D50BD4" w:rsidP="00F65982">
      <w:pPr>
        <w:pStyle w:val="Nagwek2"/>
        <w:keepNext w:val="0"/>
        <w:widowControl w:val="0"/>
        <w:numPr>
          <w:ilvl w:val="0"/>
          <w:numId w:val="47"/>
        </w:numPr>
        <w:spacing w:before="0" w:after="0" w:line="360" w:lineRule="auto"/>
        <w:ind w:left="284" w:hanging="284"/>
        <w:contextualSpacing w:val="0"/>
        <w:rPr>
          <w:lang w:eastAsia="x-none"/>
        </w:rPr>
      </w:pPr>
      <w:r w:rsidRPr="00562CA4">
        <w:rPr>
          <w:lang w:eastAsia="x-none"/>
        </w:rPr>
        <w:t>Zamawiający i Wykonawca zobowiązują się współdziałać przy wykonaniu Umowy w celu należytej realizacji zamówienia.</w:t>
      </w:r>
    </w:p>
    <w:p w14:paraId="45D42789" w14:textId="77777777" w:rsidR="00D50BD4" w:rsidRPr="00D50BD4" w:rsidRDefault="00D50BD4" w:rsidP="00F65982">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 xml:space="preserve">Wykonawca oświadcza, że posiada odpowiednią wiedzę, doświadczenie oraz potencjał techniczny do wykonania Przedmiotu Umowy. </w:t>
      </w:r>
    </w:p>
    <w:p w14:paraId="76FD82A4" w14:textId="77777777" w:rsidR="00D50BD4" w:rsidRPr="00D50BD4" w:rsidRDefault="00D50BD4" w:rsidP="00F65982">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Wykonawca zobowiązuje się zrealizować Przedmiot Umowy z zgodnie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7689BF8B" w14:textId="77777777" w:rsidR="00D50BD4" w:rsidRPr="00D50BD4" w:rsidRDefault="00D50BD4" w:rsidP="00F65982">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 xml:space="preserve">Wykonawca oświadcza, iż dostarczone przez niego Materiały posiadają właściwości odpowiadające wymaganiom Zamawiającego, opisanym w dokumentacji postępowania o udzielenie zamówienia publicznego poprzedzającego zawarcie niniejszej Umowy oraz są zgodne z treścią oferty złożonej przez Wykonawcę w tymże postępowaniu. </w:t>
      </w:r>
    </w:p>
    <w:p w14:paraId="1D861BFA" w14:textId="77777777" w:rsidR="00D50BD4" w:rsidRPr="00DF4FFF" w:rsidRDefault="00D50BD4" w:rsidP="00F65982">
      <w:pPr>
        <w:widowControl w:val="0"/>
        <w:numPr>
          <w:ilvl w:val="0"/>
          <w:numId w:val="2"/>
        </w:numPr>
        <w:ind w:left="284" w:hanging="284"/>
        <w:outlineLvl w:val="1"/>
        <w:rPr>
          <w:rFonts w:eastAsia="Times New Roman" w:cs="Times New Roman"/>
          <w:bCs/>
          <w:noProof/>
          <w:szCs w:val="26"/>
          <w:lang w:eastAsia="x-none"/>
        </w:rPr>
      </w:pPr>
      <w:r w:rsidRPr="00DF4FFF">
        <w:rPr>
          <w:rFonts w:eastAsia="Times New Roman" w:cs="Times New Roman"/>
          <w:bCs/>
          <w:noProof/>
          <w:szCs w:val="26"/>
          <w:lang w:eastAsia="x-none"/>
        </w:rPr>
        <w:t>Wykonawca zobowiązuje się do dostarczenia Materiałów:</w:t>
      </w:r>
    </w:p>
    <w:p w14:paraId="3CEC0FA0" w14:textId="4E1E57BF" w:rsidR="00D50BD4" w:rsidRPr="00DF4FFF" w:rsidRDefault="00D50BD4" w:rsidP="00F65982">
      <w:pPr>
        <w:widowControl w:val="0"/>
        <w:numPr>
          <w:ilvl w:val="0"/>
          <w:numId w:val="29"/>
        </w:numPr>
        <w:autoSpaceDE w:val="0"/>
        <w:autoSpaceDN w:val="0"/>
        <w:adjustRightInd w:val="0"/>
        <w:ind w:left="567" w:hanging="283"/>
        <w:rPr>
          <w:rFonts w:cs="Arial"/>
          <w:szCs w:val="20"/>
        </w:rPr>
      </w:pPr>
      <w:bookmarkStart w:id="3" w:name="_Hlk64286070"/>
      <w:r w:rsidRPr="00DF4FFF">
        <w:rPr>
          <w:rFonts w:cs="Arial"/>
          <w:szCs w:val="20"/>
        </w:rPr>
        <w:t>pochodzących z bieżącej produkcji (rok produkcji – 202</w:t>
      </w:r>
      <w:r w:rsidR="00DF4FFF" w:rsidRPr="00DF4FFF">
        <w:rPr>
          <w:rFonts w:cs="Arial"/>
          <w:szCs w:val="20"/>
        </w:rPr>
        <w:t>3</w:t>
      </w:r>
      <w:r w:rsidRPr="00DF4FFF">
        <w:rPr>
          <w:rFonts w:cs="Arial"/>
          <w:szCs w:val="20"/>
        </w:rPr>
        <w:t>/2</w:t>
      </w:r>
      <w:r w:rsidR="00DF4FFF" w:rsidRPr="00DF4FFF">
        <w:rPr>
          <w:rFonts w:cs="Arial"/>
          <w:szCs w:val="20"/>
        </w:rPr>
        <w:t>4</w:t>
      </w:r>
      <w:r w:rsidRPr="00DF4FFF">
        <w:rPr>
          <w:rFonts w:cs="Arial"/>
          <w:szCs w:val="20"/>
        </w:rPr>
        <w:t xml:space="preserve"> r.); </w:t>
      </w:r>
    </w:p>
    <w:p w14:paraId="472043BE" w14:textId="31238744"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 xml:space="preserve">wykonanych w całości z fabrycznie nowych podzespołów (nie będących regenerowanymi, lub </w:t>
      </w:r>
      <w:r w:rsidR="00DF4FFF">
        <w:rPr>
          <w:rFonts w:cs="Arial"/>
          <w:szCs w:val="20"/>
        </w:rPr>
        <w:t xml:space="preserve">                      </w:t>
      </w:r>
      <w:r w:rsidRPr="00DF4FFF">
        <w:rPr>
          <w:rFonts w:cs="Arial"/>
          <w:szCs w:val="20"/>
        </w:rPr>
        <w:t xml:space="preserve">z recyklingu); </w:t>
      </w:r>
    </w:p>
    <w:p w14:paraId="3BD3A8F7" w14:textId="77777777"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 xml:space="preserve">nie posiadających śladów poprzedniego używania, uszkodzenia; </w:t>
      </w:r>
    </w:p>
    <w:p w14:paraId="4205D682" w14:textId="77777777"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 xml:space="preserve">posiadających wymagane prawem atesty i badania, </w:t>
      </w:r>
      <w:bookmarkEnd w:id="3"/>
    </w:p>
    <w:p w14:paraId="75031DB4" w14:textId="77777777"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 xml:space="preserve">posiadających oryginalne opakowania z zabezpieczeniami stosowanymi przez danego producenta (np. hologramy), </w:t>
      </w:r>
    </w:p>
    <w:p w14:paraId="1397727D" w14:textId="77777777"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 xml:space="preserve">zawierających oryginalne znaki firmowe producenta, nienaruszone cechy opakowania oryginalnego, pierwotnego, pakowanych pojedynczo, w oryginalnych opakowaniach producenta, posiadających na opakowaniach zewnętrznych logo i nazwę producenta, opis zawartości i numer katalogowy, w przypadku dostawy produktów równoważnych wymagane jest podanie na opakowaniu oznaczenia oryginalnego Materiału eksploatacyjnego, którego dotyczy zamiennik (produkt równoważny), </w:t>
      </w:r>
    </w:p>
    <w:p w14:paraId="32537908" w14:textId="62554FC1" w:rsidR="00F64A76" w:rsidRPr="00F64A76" w:rsidRDefault="00F64A76" w:rsidP="00F65982">
      <w:pPr>
        <w:pStyle w:val="Akapitzlist"/>
        <w:widowControl w:val="0"/>
        <w:numPr>
          <w:ilvl w:val="0"/>
          <w:numId w:val="29"/>
        </w:numPr>
        <w:ind w:left="567" w:hanging="283"/>
        <w:contextualSpacing w:val="0"/>
        <w:rPr>
          <w:rFonts w:cs="Arial"/>
          <w:szCs w:val="20"/>
        </w:rPr>
      </w:pPr>
      <w:r w:rsidRPr="00F64A76">
        <w:rPr>
          <w:rFonts w:cs="Arial"/>
          <w:szCs w:val="20"/>
        </w:rPr>
        <w:t>zawierających termin ważności tuszu umieszczony przez producenta na opakowaniu i wynoszący co najmniej 12 m-cy od daty podpisania protokołu odbioru</w:t>
      </w:r>
      <w:r w:rsidR="00AA6936">
        <w:rPr>
          <w:rFonts w:cs="Arial"/>
          <w:szCs w:val="20"/>
        </w:rPr>
        <w:t>;</w:t>
      </w:r>
    </w:p>
    <w:p w14:paraId="340FCEB2" w14:textId="0F8311ED" w:rsidR="00D50BD4" w:rsidRPr="00DF4FFF" w:rsidRDefault="00D50BD4" w:rsidP="00F65982">
      <w:pPr>
        <w:widowControl w:val="0"/>
        <w:numPr>
          <w:ilvl w:val="0"/>
          <w:numId w:val="29"/>
        </w:numPr>
        <w:autoSpaceDE w:val="0"/>
        <w:autoSpaceDN w:val="0"/>
        <w:adjustRightInd w:val="0"/>
        <w:ind w:left="567" w:hanging="283"/>
        <w:rPr>
          <w:rFonts w:cs="Arial"/>
          <w:szCs w:val="20"/>
        </w:rPr>
      </w:pPr>
      <w:r w:rsidRPr="00DF4FFF">
        <w:rPr>
          <w:rFonts w:cs="Arial"/>
          <w:szCs w:val="20"/>
        </w:rPr>
        <w:t>pochodzących od jednego producenta, w przypadku Materiałów dedykowanych do jednego urządzenia,</w:t>
      </w:r>
    </w:p>
    <w:p w14:paraId="04DFDDE4" w14:textId="0F44BA44" w:rsidR="00DF4FFF" w:rsidRPr="00DF4FFF" w:rsidRDefault="00DF4FFF" w:rsidP="00F65982">
      <w:pPr>
        <w:widowControl w:val="0"/>
        <w:numPr>
          <w:ilvl w:val="0"/>
          <w:numId w:val="29"/>
        </w:numPr>
        <w:autoSpaceDE w:val="0"/>
        <w:autoSpaceDN w:val="0"/>
        <w:adjustRightInd w:val="0"/>
        <w:ind w:left="567" w:hanging="283"/>
        <w:rPr>
          <w:rFonts w:cs="Arial"/>
          <w:szCs w:val="20"/>
        </w:rPr>
      </w:pPr>
      <w:r w:rsidRPr="00DF4FFF">
        <w:rPr>
          <w:rFonts w:cs="Arial"/>
          <w:szCs w:val="20"/>
        </w:rPr>
        <w:t>w pełni kompatybilnych z urządzeniami Zamawiającego, tj. producentów: BROTHER, CANON, EPSON, HP, LEXMARK;</w:t>
      </w:r>
    </w:p>
    <w:p w14:paraId="0A96E3E2" w14:textId="459F4709" w:rsidR="00DF4FFF" w:rsidRDefault="00D50BD4" w:rsidP="00F65982">
      <w:pPr>
        <w:widowControl w:val="0"/>
        <w:numPr>
          <w:ilvl w:val="0"/>
          <w:numId w:val="29"/>
        </w:numPr>
        <w:ind w:left="567" w:hanging="283"/>
        <w:rPr>
          <w:rFonts w:cs="Arial"/>
          <w:szCs w:val="20"/>
        </w:rPr>
      </w:pPr>
      <w:r w:rsidRPr="00DF4FFF">
        <w:rPr>
          <w:rFonts w:cs="Arial"/>
          <w:szCs w:val="20"/>
        </w:rPr>
        <w:t>wyprodukowanych zgodnie z normami</w:t>
      </w:r>
      <w:r w:rsidR="00DF4FFF" w:rsidRPr="00DF4FFF">
        <w:rPr>
          <w:rFonts w:cs="Arial"/>
          <w:szCs w:val="20"/>
        </w:rPr>
        <w:t>: ISO/IEC 24711:2007, ISO/IEC 24712:2007, ISO-9001:2008 oraz ISO-14001:2004 (lub równoważnymi lub zastępującymi je normami);</w:t>
      </w:r>
    </w:p>
    <w:p w14:paraId="4DF902E0" w14:textId="6CA2E967" w:rsidR="00A724B6" w:rsidRPr="00A724B6" w:rsidRDefault="00A724B6" w:rsidP="00F65982">
      <w:pPr>
        <w:widowControl w:val="0"/>
        <w:numPr>
          <w:ilvl w:val="0"/>
          <w:numId w:val="29"/>
        </w:numPr>
        <w:ind w:left="567" w:hanging="283"/>
        <w:rPr>
          <w:rFonts w:cs="Arial"/>
          <w:szCs w:val="20"/>
        </w:rPr>
      </w:pPr>
      <w:r w:rsidRPr="00A724B6">
        <w:rPr>
          <w:rFonts w:cs="Arial"/>
          <w:szCs w:val="20"/>
        </w:rPr>
        <w:t>nie naruszających warunków gwarancji urządzeń powodujących utratę gwarancji ani zastrzeżeń patentowych producentów urządzeń drukujących</w:t>
      </w:r>
      <w:r w:rsidR="00573D47">
        <w:rPr>
          <w:rFonts w:cs="Arial"/>
          <w:szCs w:val="20"/>
        </w:rPr>
        <w:t>;</w:t>
      </w:r>
    </w:p>
    <w:p w14:paraId="64F032ED" w14:textId="5EF2848F" w:rsidR="00A724B6" w:rsidRPr="00A724B6" w:rsidRDefault="00A724B6" w:rsidP="00F65982">
      <w:pPr>
        <w:widowControl w:val="0"/>
        <w:numPr>
          <w:ilvl w:val="0"/>
          <w:numId w:val="29"/>
        </w:numPr>
        <w:ind w:left="567" w:hanging="283"/>
        <w:rPr>
          <w:rFonts w:cs="Arial"/>
          <w:szCs w:val="20"/>
        </w:rPr>
      </w:pPr>
      <w:r w:rsidRPr="00A724B6">
        <w:rPr>
          <w:rFonts w:cs="Arial"/>
          <w:szCs w:val="20"/>
        </w:rPr>
        <w:t>nie ograniczających funkcji i możliwości urządzeń ani nie zaniżających jakości wydruku w stosunku do materiałów oryginalnych</w:t>
      </w:r>
      <w:r w:rsidR="00573D47">
        <w:rPr>
          <w:rFonts w:cs="Arial"/>
          <w:szCs w:val="20"/>
        </w:rPr>
        <w:t>;</w:t>
      </w:r>
    </w:p>
    <w:p w14:paraId="0D3A120D" w14:textId="4D5B00DC" w:rsidR="00A724B6" w:rsidRPr="00A724B6" w:rsidRDefault="00A724B6" w:rsidP="00F65982">
      <w:pPr>
        <w:widowControl w:val="0"/>
        <w:numPr>
          <w:ilvl w:val="0"/>
          <w:numId w:val="29"/>
        </w:numPr>
        <w:ind w:left="567" w:hanging="283"/>
        <w:rPr>
          <w:rFonts w:cs="Arial"/>
          <w:szCs w:val="20"/>
        </w:rPr>
      </w:pPr>
      <w:r w:rsidRPr="00A724B6">
        <w:rPr>
          <w:rFonts w:cs="Arial"/>
          <w:szCs w:val="20"/>
        </w:rPr>
        <w:t xml:space="preserve">zawierających oryginalne znaki firmowe producenta, nienaruszone cechy opakowania oryginalnego, pierwotnego, pakowanych pojedynczo, dostarczonych do Zamawiającego w oryginalnych </w:t>
      </w:r>
      <w:r w:rsidRPr="00A724B6">
        <w:rPr>
          <w:rFonts w:cs="Arial"/>
          <w:szCs w:val="20"/>
        </w:rPr>
        <w:lastRenderedPageBreak/>
        <w:t>opakowaniach producenta, posiadających na opakowaniach zewnętrznych logo i nazwę producenta, opis zawartości i numer katalogowy (w przypadku dostawy produktów równoważnych wymagane jest podanie na opakowaniu oznaczenia oryginalnego materiału eksploatacyjnego, którego dotyczy zamiennik (produkt równoważny)</w:t>
      </w:r>
      <w:r w:rsidR="000978BA">
        <w:rPr>
          <w:rFonts w:cs="Arial"/>
          <w:szCs w:val="20"/>
        </w:rPr>
        <w:t>.</w:t>
      </w:r>
    </w:p>
    <w:p w14:paraId="145A2CFA" w14:textId="77777777" w:rsidR="00D50BD4" w:rsidRP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Wykonawca zapewnia, iż wszystkie dostarczone Materiały są wolne od wad zmniejszających ich wartość lub użyteczność ze względu na cel w umowie oznaczony, a ponadto zapewnia, iż  nie posiadają właściwości powodujących uszkodzenie lub zmniejszenie funkcjonalności urządzeń Zamawiającego, w których będą eksploatowane.</w:t>
      </w:r>
    </w:p>
    <w:p w14:paraId="627C3475" w14:textId="50A32F29" w:rsid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Wykonawca ponosi pełną odpowiedzialność za uszkodzenia urządzeń Zamawiającego spowodowane użytkowaniem Materiałów, objętych niniejszą umową.</w:t>
      </w:r>
    </w:p>
    <w:p w14:paraId="51F54AD6" w14:textId="77777777" w:rsidR="00D50BD4" w:rsidRP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Wykonawca</w:t>
      </w:r>
      <w:r w:rsidRPr="00D50BD4">
        <w:rPr>
          <w:rFonts w:eastAsia="Times New Roman" w:cs="Times New Roman"/>
          <w:bCs/>
          <w:i/>
          <w:noProof/>
          <w:szCs w:val="26"/>
          <w:lang w:eastAsia="x-none"/>
        </w:rPr>
        <w:t xml:space="preserve"> </w:t>
      </w:r>
      <w:r w:rsidRPr="00D50BD4">
        <w:rPr>
          <w:rFonts w:eastAsia="Times New Roman" w:cs="Times New Roman"/>
          <w:bCs/>
          <w:noProof/>
          <w:szCs w:val="26"/>
          <w:lang w:eastAsia="x-none"/>
        </w:rPr>
        <w:t xml:space="preserve">udzieli wszelkich możliwych wyjaśnień dotyczących ewentualnych wątpliwości związanych z Przedmiotem Umowy oraz przekaże dokumenty dotyczące materiałów (atesty, certyfikaty, potwierdzenia spełnienia norm itp.) oraz dokumenty gwarancji. </w:t>
      </w:r>
    </w:p>
    <w:p w14:paraId="4A44E7E1" w14:textId="77777777" w:rsidR="00D50BD4" w:rsidRP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 xml:space="preserve">Do obowiązków Wykonawcy, poza innymi określonymi w niniejszej Umowie należy m.in.: </w:t>
      </w:r>
    </w:p>
    <w:p w14:paraId="50809168" w14:textId="77777777"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 xml:space="preserve">przekazanie dokumentów dostarczonych przez producenta, w tym mi.in. karty gwarancyjnej; </w:t>
      </w:r>
    </w:p>
    <w:p w14:paraId="6F57277B" w14:textId="77777777"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 xml:space="preserve">wypełnienie i podpisanie w części przewidzianej dla Wykonawcy protokołu odbioru wg wzoru stanowiącego załącznik nr 1 do niniejszej Umowy; </w:t>
      </w:r>
    </w:p>
    <w:p w14:paraId="7D929EAE" w14:textId="77777777"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odebranie na swój koszt całości lub części Przedmiotu Umowy, do której Zamawiający zgłosił w protokole odbioru zastrzeżenia.</w:t>
      </w:r>
    </w:p>
    <w:p w14:paraId="7CDE62EE" w14:textId="77777777" w:rsidR="00D50BD4" w:rsidRP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Do obowiązków Zamawiającego należy:</w:t>
      </w:r>
    </w:p>
    <w:p w14:paraId="7A86500D" w14:textId="77777777" w:rsidR="00D50BD4" w:rsidRPr="009F4FCD" w:rsidRDefault="00D50BD4" w:rsidP="009F4FCD">
      <w:pPr>
        <w:pStyle w:val="Nagwek3"/>
        <w:widowControl w:val="0"/>
        <w:numPr>
          <w:ilvl w:val="0"/>
          <w:numId w:val="48"/>
        </w:numPr>
        <w:ind w:left="567" w:hanging="283"/>
        <w:rPr>
          <w:lang w:eastAsia="x-none"/>
        </w:rPr>
      </w:pPr>
      <w:r w:rsidRPr="009F4FCD">
        <w:rPr>
          <w:lang w:eastAsia="x-none"/>
        </w:rPr>
        <w:t>przystąpienie do odbioru Przedmiotu Umowy niezwłocznie po przekazaniu przez Wykonawcę</w:t>
      </w:r>
      <w:r w:rsidRPr="009F4FCD">
        <w:rPr>
          <w:i/>
          <w:lang w:eastAsia="x-none"/>
        </w:rPr>
        <w:t xml:space="preserve"> </w:t>
      </w:r>
      <w:r w:rsidRPr="009F4FCD">
        <w:rPr>
          <w:lang w:eastAsia="x-none"/>
        </w:rPr>
        <w:t>informacji o gotowości do przeprowadzenia czynności odbiorowych,</w:t>
      </w:r>
    </w:p>
    <w:p w14:paraId="0DB9EBDA" w14:textId="128D81A6"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udostępnienie w dniach roboczych pomieszczeń dla dostarczenia Materiałów oraz zapewnienie obecności przedstawicieli Zamawiającego dla ich odbioru</w:t>
      </w:r>
      <w:r w:rsidR="000978BA">
        <w:rPr>
          <w:rFonts w:eastAsia="Times New Roman" w:cs="Times New Roman"/>
          <w:bCs/>
          <w:szCs w:val="26"/>
          <w:lang w:eastAsia="x-none"/>
        </w:rPr>
        <w:t>,</w:t>
      </w:r>
    </w:p>
    <w:p w14:paraId="3099B7AE" w14:textId="6650AF3A"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dokonanie odbioru Materiałów potwierdzonego w formie pisemnego protokołu odbioru wg wzoru stanowiącego załącznik nr 1 do niniejszej Umowy, ewentualnie zgłoszenie zastrzeżeń i odmowa przyjęcia Materiałów</w:t>
      </w:r>
      <w:r w:rsidR="000978BA">
        <w:rPr>
          <w:rFonts w:eastAsia="Times New Roman" w:cs="Times New Roman"/>
          <w:bCs/>
          <w:szCs w:val="26"/>
          <w:lang w:eastAsia="x-none"/>
        </w:rPr>
        <w:t>,</w:t>
      </w:r>
    </w:p>
    <w:p w14:paraId="14284B81" w14:textId="20B60356"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odebranie od Wykonawcy kompletu dokumentów, w tym m.in. karty gwarancyjnej</w:t>
      </w:r>
      <w:r w:rsidR="000978BA">
        <w:rPr>
          <w:rFonts w:eastAsia="Times New Roman" w:cs="Times New Roman"/>
          <w:bCs/>
          <w:szCs w:val="26"/>
          <w:lang w:eastAsia="x-none"/>
        </w:rPr>
        <w:t>,</w:t>
      </w:r>
    </w:p>
    <w:p w14:paraId="68E55DAA" w14:textId="77777777" w:rsidR="00D50BD4" w:rsidRPr="00D50BD4" w:rsidRDefault="00D50BD4" w:rsidP="00573D47">
      <w:pPr>
        <w:widowControl w:val="0"/>
        <w:numPr>
          <w:ilvl w:val="0"/>
          <w:numId w:val="5"/>
        </w:numPr>
        <w:ind w:left="567" w:hanging="283"/>
        <w:outlineLvl w:val="2"/>
        <w:rPr>
          <w:rFonts w:eastAsia="Times New Roman" w:cs="Times New Roman"/>
          <w:bCs/>
          <w:szCs w:val="26"/>
          <w:lang w:eastAsia="x-none"/>
        </w:rPr>
      </w:pPr>
      <w:r w:rsidRPr="00D50BD4">
        <w:rPr>
          <w:rFonts w:eastAsia="Times New Roman" w:cs="Times New Roman"/>
          <w:bCs/>
          <w:szCs w:val="26"/>
          <w:lang w:eastAsia="x-none"/>
        </w:rPr>
        <w:t xml:space="preserve">terminowa zapłata za Przedmiot Umowy. </w:t>
      </w:r>
    </w:p>
    <w:p w14:paraId="42650E9A" w14:textId="7937B6BB" w:rsidR="00D50BD4" w:rsidRPr="00573D47"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Wykonawca wykona Przedmiot Umowy samodzielnie (bez udziału podwykonawców)</w:t>
      </w:r>
      <w:r w:rsidR="00573D47">
        <w:rPr>
          <w:rFonts w:eastAsia="Times New Roman" w:cs="Times New Roman"/>
          <w:bCs/>
          <w:noProof/>
          <w:szCs w:val="26"/>
          <w:lang w:eastAsia="x-none"/>
        </w:rPr>
        <w:t xml:space="preserve"> </w:t>
      </w:r>
      <w:r w:rsidRPr="00573D47">
        <w:rPr>
          <w:szCs w:val="20"/>
        </w:rPr>
        <w:t>albo</w:t>
      </w:r>
      <w:r w:rsidRPr="00D50BD4">
        <w:rPr>
          <w:szCs w:val="20"/>
          <w:vertAlign w:val="superscript"/>
        </w:rPr>
        <w:footnoteReference w:id="2"/>
      </w:r>
    </w:p>
    <w:p w14:paraId="39EDF4B9" w14:textId="77777777" w:rsidR="00D50BD4" w:rsidRPr="00D50BD4" w:rsidRDefault="00D50BD4" w:rsidP="00573D47">
      <w:pPr>
        <w:widowControl w:val="0"/>
        <w:ind w:left="284" w:firstLine="0"/>
        <w:rPr>
          <w:szCs w:val="20"/>
        </w:rPr>
      </w:pPr>
      <w:r w:rsidRPr="00D50BD4">
        <w:rPr>
          <w:szCs w:val="20"/>
        </w:rPr>
        <w:t xml:space="preserve">Z zastrzeżeniem postanowień ust. 12, Wykonawca wykona Przedmiot Umowy przy udziale podwykonawców …………………………………………… w zakresie: .............................................................................................., </w:t>
      </w:r>
    </w:p>
    <w:p w14:paraId="78D241AF" w14:textId="77777777" w:rsidR="00D50BD4" w:rsidRP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352EC6AB" w14:textId="1E47E933" w:rsidR="00D50BD4" w:rsidRDefault="00D50BD4" w:rsidP="00573D47">
      <w:pPr>
        <w:widowControl w:val="0"/>
        <w:numPr>
          <w:ilvl w:val="0"/>
          <w:numId w:val="2"/>
        </w:numPr>
        <w:ind w:left="284" w:hanging="284"/>
        <w:outlineLvl w:val="1"/>
        <w:rPr>
          <w:rFonts w:eastAsia="Times New Roman" w:cs="Times New Roman"/>
          <w:bCs/>
          <w:noProof/>
          <w:szCs w:val="26"/>
          <w:lang w:eastAsia="x-none"/>
        </w:rPr>
      </w:pPr>
      <w:r w:rsidRPr="00D50BD4">
        <w:rPr>
          <w:rFonts w:eastAsia="Times New Roman" w:cs="Times New Roman"/>
          <w:bCs/>
          <w:noProof/>
          <w:szCs w:val="26"/>
          <w:lang w:eastAsia="x-none"/>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181CB823" w14:textId="12671571" w:rsidR="006066A1" w:rsidRDefault="009C2EAC" w:rsidP="00573D47">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3</w:t>
      </w:r>
      <w:r w:rsidR="00573D47">
        <w:rPr>
          <w:b/>
          <w:bCs/>
          <w:sz w:val="22"/>
          <w:szCs w:val="20"/>
        </w:rPr>
        <w:t xml:space="preserve"> </w:t>
      </w:r>
    </w:p>
    <w:p w14:paraId="6383A8B2" w14:textId="735ED4F5" w:rsidR="009C2EAC" w:rsidRPr="009C2EAC" w:rsidRDefault="009C2EAC" w:rsidP="00573D47">
      <w:pPr>
        <w:widowControl w:val="0"/>
        <w:ind w:left="0" w:firstLine="0"/>
        <w:jc w:val="center"/>
        <w:outlineLvl w:val="4"/>
        <w:rPr>
          <w:b/>
          <w:bCs/>
          <w:sz w:val="22"/>
          <w:szCs w:val="20"/>
        </w:rPr>
      </w:pPr>
      <w:r w:rsidRPr="009C2EAC">
        <w:rPr>
          <w:b/>
          <w:bCs/>
          <w:sz w:val="22"/>
          <w:szCs w:val="20"/>
        </w:rPr>
        <w:t>Termin oraz pozostałe warunki realizacji Umowy</w:t>
      </w:r>
    </w:p>
    <w:p w14:paraId="53F8A70C" w14:textId="6327ADCB" w:rsidR="00D50BD4" w:rsidRDefault="009C2EAC" w:rsidP="006066A1">
      <w:pPr>
        <w:pStyle w:val="Akapitzlist"/>
        <w:widowControl w:val="0"/>
        <w:numPr>
          <w:ilvl w:val="0"/>
          <w:numId w:val="30"/>
        </w:numPr>
        <w:tabs>
          <w:tab w:val="clear" w:pos="360"/>
          <w:tab w:val="num" w:pos="284"/>
        </w:tabs>
        <w:ind w:left="284" w:hanging="284"/>
        <w:contextualSpacing w:val="0"/>
        <w:rPr>
          <w:rFonts w:ascii="Arial" w:eastAsia="Times New Roman" w:hAnsi="Arial" w:cs="Arial"/>
          <w:bCs/>
          <w:sz w:val="18"/>
          <w:szCs w:val="18"/>
          <w:lang w:eastAsia="pl-PL"/>
        </w:rPr>
      </w:pPr>
      <w:r w:rsidRPr="00D70D0D">
        <w:t>Wykonawca zobowiązany jest do realizowa</w:t>
      </w:r>
      <w:r w:rsidR="008F1340">
        <w:t xml:space="preserve">nia Przedmiotu Umowy </w:t>
      </w:r>
      <w:r w:rsidR="00DF4FFF" w:rsidRPr="00DF4FFF">
        <w:rPr>
          <w:bCs/>
        </w:rPr>
        <w:t>sukcesywnie, partiami, według bieżących potrzeb Zamawiającego</w:t>
      </w:r>
      <w:r w:rsidR="00DF4FFF">
        <w:rPr>
          <w:bCs/>
        </w:rPr>
        <w:t xml:space="preserve">, </w:t>
      </w:r>
      <w:r w:rsidR="00D50BD4" w:rsidRPr="00DF4FFF">
        <w:rPr>
          <w:b/>
          <w:bCs/>
        </w:rPr>
        <w:t>przez okres 12 miesięcy od daty zawarcia umowy</w:t>
      </w:r>
      <w:r w:rsidR="00D50BD4" w:rsidRPr="00D50BD4">
        <w:rPr>
          <w:bCs/>
        </w:rPr>
        <w:t>, bądź do momentu wyczerpania  ilości materiałów</w:t>
      </w:r>
      <w:r w:rsidR="00D50BD4" w:rsidRPr="00D50BD4">
        <w:rPr>
          <w:rFonts w:eastAsia="Times New Roman"/>
        </w:rPr>
        <w:t xml:space="preserve"> </w:t>
      </w:r>
      <w:r w:rsidR="00D50BD4" w:rsidRPr="00D50BD4">
        <w:rPr>
          <w:bCs/>
        </w:rPr>
        <w:t xml:space="preserve">przewidzianych w Załączniku nr 2 do SWZ, w zależności od tego, które </w:t>
      </w:r>
      <w:r w:rsidR="00DF4FFF">
        <w:rPr>
          <w:bCs/>
        </w:rPr>
        <w:t xml:space="preserve">                </w:t>
      </w:r>
      <w:r w:rsidR="00D50BD4" w:rsidRPr="00D50BD4">
        <w:rPr>
          <w:bCs/>
        </w:rPr>
        <w:t>z wymienionych zdarzeń nastąpi wcześniej.</w:t>
      </w:r>
      <w:r w:rsidR="00D50BD4" w:rsidRPr="00D50BD4">
        <w:rPr>
          <w:rFonts w:ascii="Arial" w:eastAsia="Times New Roman" w:hAnsi="Arial" w:cs="Arial"/>
          <w:bCs/>
          <w:sz w:val="18"/>
          <w:szCs w:val="18"/>
          <w:lang w:eastAsia="pl-PL"/>
        </w:rPr>
        <w:t xml:space="preserve"> </w:t>
      </w:r>
    </w:p>
    <w:p w14:paraId="49EBEBB4" w14:textId="1522DE0C" w:rsidR="00364386" w:rsidRPr="006066A1" w:rsidRDefault="00364386" w:rsidP="006066A1">
      <w:pPr>
        <w:pStyle w:val="Nagwek2"/>
        <w:keepNext w:val="0"/>
        <w:widowControl w:val="0"/>
        <w:numPr>
          <w:ilvl w:val="0"/>
          <w:numId w:val="36"/>
        </w:numPr>
        <w:spacing w:before="0" w:after="0" w:line="360" w:lineRule="auto"/>
        <w:ind w:left="284" w:hanging="284"/>
        <w:contextualSpacing w:val="0"/>
        <w:rPr>
          <w:rFonts w:cs="Arial"/>
          <w:noProof w:val="0"/>
          <w:szCs w:val="20"/>
          <w:lang w:eastAsia="pl-PL"/>
        </w:rPr>
      </w:pPr>
      <w:r w:rsidRPr="000E4217">
        <w:rPr>
          <w:rFonts w:cs="Arial"/>
          <w:b/>
          <w:noProof w:val="0"/>
          <w:szCs w:val="20"/>
          <w:lang w:eastAsia="pl-PL"/>
        </w:rPr>
        <w:t>Termin realizacji pojedynczego zamówienia</w:t>
      </w:r>
      <w:r w:rsidRPr="006066A1">
        <w:rPr>
          <w:rFonts w:cs="Arial"/>
          <w:noProof w:val="0"/>
          <w:szCs w:val="20"/>
          <w:lang w:eastAsia="pl-PL"/>
        </w:rPr>
        <w:t xml:space="preserve"> wynosi </w:t>
      </w:r>
      <w:r w:rsidRPr="000E4217">
        <w:rPr>
          <w:rFonts w:cs="Arial"/>
          <w:b/>
          <w:noProof w:val="0"/>
          <w:szCs w:val="20"/>
          <w:lang w:eastAsia="pl-PL"/>
        </w:rPr>
        <w:t xml:space="preserve">do: </w:t>
      </w:r>
      <w:r w:rsidR="00A02413" w:rsidRPr="000E4217">
        <w:rPr>
          <w:rFonts w:cs="Arial"/>
          <w:b/>
          <w:noProof w:val="0"/>
          <w:szCs w:val="20"/>
          <w:shd w:val="clear" w:color="auto" w:fill="D9E2F3" w:themeFill="accent1" w:themeFillTint="33"/>
          <w:lang w:eastAsia="pl-PL"/>
        </w:rPr>
        <w:t>………</w:t>
      </w:r>
      <w:r w:rsidRPr="000E4217">
        <w:rPr>
          <w:rFonts w:cs="Arial"/>
          <w:b/>
          <w:noProof w:val="0"/>
          <w:szCs w:val="20"/>
          <w:shd w:val="clear" w:color="auto" w:fill="D9E2F3" w:themeFill="accent1" w:themeFillTint="33"/>
          <w:lang w:eastAsia="pl-PL"/>
        </w:rPr>
        <w:t>………………..</w:t>
      </w:r>
      <w:r w:rsidRPr="000E4217">
        <w:rPr>
          <w:rFonts w:cs="Arial"/>
          <w:b/>
          <w:noProof w:val="0"/>
          <w:szCs w:val="20"/>
          <w:lang w:eastAsia="pl-PL"/>
        </w:rPr>
        <w:t xml:space="preserve"> dni</w:t>
      </w:r>
      <w:r w:rsidR="004E41E1" w:rsidRPr="000E4217">
        <w:rPr>
          <w:rFonts w:cs="Arial"/>
          <w:b/>
          <w:noProof w:val="0"/>
          <w:szCs w:val="20"/>
          <w:lang w:eastAsia="pl-PL"/>
        </w:rPr>
        <w:t xml:space="preserve"> roboczych</w:t>
      </w:r>
      <w:r w:rsidR="004E41E1">
        <w:rPr>
          <w:rFonts w:cs="Arial"/>
          <w:noProof w:val="0"/>
          <w:szCs w:val="20"/>
          <w:lang w:eastAsia="pl-PL"/>
        </w:rPr>
        <w:t xml:space="preserve"> </w:t>
      </w:r>
      <w:r w:rsidRPr="006066A1">
        <w:rPr>
          <w:rFonts w:cs="Arial"/>
          <w:noProof w:val="0"/>
          <w:szCs w:val="20"/>
          <w:lang w:eastAsia="pl-PL"/>
        </w:rPr>
        <w:t xml:space="preserve"> od daty wysłania zamówienia za pośrednictwem e-mail osoby, o kórej mowa w § 16 ust. 2 Umowy.</w:t>
      </w:r>
    </w:p>
    <w:p w14:paraId="7ABE2C4F" w14:textId="058313F0" w:rsidR="00364386" w:rsidRPr="00364386" w:rsidRDefault="00364386" w:rsidP="006066A1">
      <w:pPr>
        <w:pStyle w:val="Nagwek2"/>
        <w:keepNext w:val="0"/>
        <w:widowControl w:val="0"/>
        <w:numPr>
          <w:ilvl w:val="0"/>
          <w:numId w:val="35"/>
        </w:numPr>
        <w:spacing w:before="0" w:after="0" w:line="360" w:lineRule="auto"/>
        <w:ind w:left="284" w:hanging="284"/>
        <w:contextualSpacing w:val="0"/>
        <w:rPr>
          <w:rFonts w:cs="Arial"/>
          <w:noProof w:val="0"/>
          <w:szCs w:val="20"/>
          <w:lang w:eastAsia="pl-PL"/>
        </w:rPr>
      </w:pPr>
      <w:r w:rsidRPr="00364386">
        <w:rPr>
          <w:rFonts w:cs="Arial"/>
          <w:noProof w:val="0"/>
          <w:szCs w:val="20"/>
          <w:lang w:eastAsia="pl-PL"/>
        </w:rPr>
        <w:t xml:space="preserve">Wykonawca potwierdzi </w:t>
      </w:r>
      <w:r w:rsidRPr="006066A1">
        <w:rPr>
          <w:rFonts w:cs="Arial"/>
          <w:noProof w:val="0"/>
          <w:szCs w:val="20"/>
          <w:lang w:eastAsia="pl-PL"/>
        </w:rPr>
        <w:t xml:space="preserve">otrzymania zamówienia </w:t>
      </w:r>
      <w:r w:rsidRPr="00364386">
        <w:rPr>
          <w:rFonts w:cs="Arial"/>
          <w:noProof w:val="0"/>
          <w:szCs w:val="20"/>
          <w:lang w:eastAsia="pl-PL"/>
        </w:rPr>
        <w:t>niezwłocznie tj. w dniu złożenia przez Zamawiającego zamówienia. W przypadku braku potwierdzenia otrzymania zamówienia w ww. terminie  ze strony Wykonawcy przyjmuje się, iż Wykonawca otrzymał zamówienie w momencie jego wysłania/dostarczenia przez Zamawiającego, co jest równoznaczne z rozpoczęciem biegu terminu dostawy.</w:t>
      </w:r>
    </w:p>
    <w:p w14:paraId="6A032FCF" w14:textId="53DAF25A" w:rsidR="00B915A5" w:rsidRDefault="00B915A5" w:rsidP="006066A1">
      <w:pPr>
        <w:pStyle w:val="Nagwek2"/>
        <w:keepNext w:val="0"/>
        <w:widowControl w:val="0"/>
        <w:numPr>
          <w:ilvl w:val="0"/>
          <w:numId w:val="35"/>
        </w:numPr>
        <w:spacing w:before="0" w:after="0" w:line="360" w:lineRule="auto"/>
        <w:ind w:left="284" w:hanging="284"/>
        <w:contextualSpacing w:val="0"/>
      </w:pPr>
      <w:r>
        <w:t>Wykonawca dostarczy Przedmiot Sprzedaży do miejsca wskazanego przez Zamawiającego na adres:</w:t>
      </w:r>
      <w:r w:rsidR="00565694">
        <w:t xml:space="preserve"> </w:t>
      </w:r>
      <w:r w:rsidRPr="00565694">
        <w:rPr>
          <w:b/>
        </w:rPr>
        <w:t>Uniwersytet Śląski w Katowicach, Magazyn Artykułów Różnych,  ul. Bankowa 11, 40-007 Katowice</w:t>
      </w:r>
      <w:r>
        <w:t xml:space="preserve"> Wykonawca zobowiązany jest również dokonać rozładunku oraz wniesienia dostarczonego Przedmiotu Sprzedaży</w:t>
      </w:r>
      <w:r w:rsidR="004B3353">
        <w:t xml:space="preserve"> w miejsce wsakzane przez Zamawiającego.</w:t>
      </w:r>
    </w:p>
    <w:p w14:paraId="091EFEFB" w14:textId="4E107555" w:rsidR="009C2EAC" w:rsidRPr="00D50BD4" w:rsidRDefault="009C2EAC" w:rsidP="00573D47">
      <w:pPr>
        <w:pStyle w:val="Nagwek2"/>
        <w:keepNext w:val="0"/>
        <w:widowControl w:val="0"/>
        <w:spacing w:before="0" w:after="0" w:line="360" w:lineRule="auto"/>
        <w:ind w:left="284" w:hanging="284"/>
        <w:contextualSpacing w:val="0"/>
      </w:pPr>
      <w:r w:rsidRPr="00D50BD4">
        <w:t xml:space="preserve">Na </w:t>
      </w:r>
      <w:r w:rsidR="00D75DC5" w:rsidRPr="00D50BD4">
        <w:t>jeden dzień</w:t>
      </w:r>
      <w:r w:rsidRPr="00D50BD4">
        <w:t xml:space="preserve"> przed planowaną dostawą, Wykonawca zawiadomi Zamawiającego w formie elektronicznej lub telefonicznie o</w:t>
      </w:r>
      <w:r w:rsidR="00A054D6" w:rsidRPr="00D50BD4">
        <w:t xml:space="preserve"> </w:t>
      </w:r>
      <w:r w:rsidRPr="00D50BD4">
        <w:t xml:space="preserve">terminie dostarczenia </w:t>
      </w:r>
      <w:r w:rsidR="0090225A" w:rsidRPr="00D50BD4">
        <w:t xml:space="preserve">Przedmiotu </w:t>
      </w:r>
      <w:r w:rsidR="00A054D6" w:rsidRPr="00D50BD4">
        <w:t>Sprzedaży</w:t>
      </w:r>
      <w:r w:rsidRPr="00D50BD4">
        <w:t>. Zamawiający</w:t>
      </w:r>
      <w:r w:rsidR="002C35BC" w:rsidRPr="00D50BD4">
        <w:t xml:space="preserve"> </w:t>
      </w:r>
      <w:r w:rsidRPr="00D50BD4">
        <w:t xml:space="preserve">może odmówić przyjęcia </w:t>
      </w:r>
      <w:r w:rsidR="0090225A" w:rsidRPr="00D50BD4">
        <w:t xml:space="preserve">Przedmiotu </w:t>
      </w:r>
      <w:r w:rsidR="00A054D6" w:rsidRPr="00D50BD4">
        <w:t>Sprzedaży</w:t>
      </w:r>
      <w:r w:rsidRPr="00D50BD4">
        <w:t xml:space="preserve"> dostarczonego w dni uznane przez </w:t>
      </w:r>
      <w:r w:rsidRPr="00D50BD4">
        <w:rPr>
          <w:iCs/>
        </w:rPr>
        <w:t>Zamawiającego</w:t>
      </w:r>
      <w:r w:rsidRPr="00D50BD4">
        <w:t xml:space="preserve"> za wolne od pracy oraz w dni pows</w:t>
      </w:r>
      <w:r w:rsidR="00A55268" w:rsidRPr="00D50BD4">
        <w:t>zednie poza godzinami 08:00 – 1</w:t>
      </w:r>
      <w:r w:rsidR="00ED09B0" w:rsidRPr="00D50BD4">
        <w:t>3</w:t>
      </w:r>
      <w:r w:rsidRPr="00D50BD4">
        <w:t>:00.</w:t>
      </w:r>
      <w:r w:rsidR="007D406B" w:rsidRPr="00D50BD4">
        <w:t xml:space="preserve"> </w:t>
      </w:r>
      <w:r w:rsidRPr="00D50BD4">
        <w:t>Za dni robocze uważa się dni od poniedziałku do piątku z</w:t>
      </w:r>
      <w:r w:rsidR="00D70D0D" w:rsidRPr="00D50BD4">
        <w:t> </w:t>
      </w:r>
      <w:r w:rsidRPr="00D50BD4">
        <w:t xml:space="preserve">wyjątkiem dni ustawowo wolnych od pracy. Jeżeli termin wydania </w:t>
      </w:r>
      <w:r w:rsidR="0090225A" w:rsidRPr="00D50BD4">
        <w:t xml:space="preserve">Przedmiotu </w:t>
      </w:r>
      <w:r w:rsidR="00A054D6" w:rsidRPr="00D50BD4">
        <w:t>Sprzedaży</w:t>
      </w:r>
      <w:r w:rsidRPr="00D50BD4">
        <w:t xml:space="preserve"> przypada na dzień wolny od pracy, jego wydanie zostanie zrealizowane pierwszego dnia roboczego następującego po tym dniu. </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304E4C4E" w:rsid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6D21F95" w14:textId="06126967" w:rsidR="00303464" w:rsidRDefault="00303464" w:rsidP="00303464">
      <w:pPr>
        <w:widowControl w:val="0"/>
        <w:outlineLvl w:val="1"/>
        <w:rPr>
          <w:rFonts w:eastAsia="Times New Roman" w:cs="Times New Roman"/>
          <w:bCs/>
          <w:noProof/>
          <w:szCs w:val="26"/>
        </w:rPr>
      </w:pPr>
    </w:p>
    <w:p w14:paraId="0B6258D5" w14:textId="56F690A2" w:rsidR="00303464" w:rsidRDefault="00303464" w:rsidP="00303464">
      <w:pPr>
        <w:widowControl w:val="0"/>
        <w:outlineLvl w:val="1"/>
        <w:rPr>
          <w:rFonts w:eastAsia="Times New Roman" w:cs="Times New Roman"/>
          <w:bCs/>
          <w:noProof/>
          <w:szCs w:val="26"/>
        </w:rPr>
      </w:pPr>
    </w:p>
    <w:p w14:paraId="4C178BF7" w14:textId="3E6158E6" w:rsidR="00303464" w:rsidRDefault="00303464" w:rsidP="00303464">
      <w:pPr>
        <w:widowControl w:val="0"/>
        <w:outlineLvl w:val="1"/>
        <w:rPr>
          <w:rFonts w:eastAsia="Times New Roman" w:cs="Times New Roman"/>
          <w:bCs/>
          <w:noProof/>
          <w:szCs w:val="26"/>
        </w:rPr>
      </w:pPr>
    </w:p>
    <w:p w14:paraId="379C450C" w14:textId="0111C0DE" w:rsidR="00303464" w:rsidRDefault="00303464" w:rsidP="00303464">
      <w:pPr>
        <w:widowControl w:val="0"/>
        <w:outlineLvl w:val="1"/>
        <w:rPr>
          <w:rFonts w:eastAsia="Times New Roman" w:cs="Times New Roman"/>
          <w:bCs/>
          <w:noProof/>
          <w:szCs w:val="26"/>
        </w:rPr>
      </w:pPr>
    </w:p>
    <w:p w14:paraId="2120C085" w14:textId="77777777" w:rsidR="00303464" w:rsidRDefault="00303464" w:rsidP="00303464">
      <w:pPr>
        <w:widowControl w:val="0"/>
        <w:outlineLvl w:val="1"/>
        <w:rPr>
          <w:rFonts w:eastAsia="Times New Roman" w:cs="Times New Roman"/>
          <w:bCs/>
          <w:noProof/>
          <w:szCs w:val="26"/>
        </w:rPr>
      </w:pPr>
    </w:p>
    <w:p w14:paraId="42371AC0" w14:textId="0C1DED07" w:rsidR="009C2EAC" w:rsidRPr="009C2EAC" w:rsidRDefault="009C2EAC" w:rsidP="004B7C2C">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4B7C2C">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4B7C2C">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53A83022" w:rsidR="00590E77" w:rsidRDefault="00A55268" w:rsidP="004B7C2C">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B915A5">
        <w:rPr>
          <w:rFonts w:eastAsia="Times New Roman" w:cs="Times New Roman"/>
          <w:bCs/>
          <w:noProof/>
          <w:szCs w:val="26"/>
        </w:rPr>
        <w:t>po</w:t>
      </w:r>
      <w:r>
        <w:rPr>
          <w:rFonts w:eastAsia="Times New Roman" w:cs="Times New Roman"/>
          <w:bCs/>
          <w:noProof/>
          <w:szCs w:val="26"/>
        </w:rPr>
        <w:t>winien umieścić wyraźny opis zawierający: numer umowy, numer indeksu i n</w:t>
      </w:r>
      <w:r w:rsidR="00BE405E">
        <w:rPr>
          <w:rFonts w:eastAsia="Times New Roman" w:cs="Times New Roman"/>
          <w:bCs/>
          <w:noProof/>
          <w:szCs w:val="26"/>
        </w:rPr>
        <w:t>ume</w:t>
      </w:r>
      <w:r>
        <w:rPr>
          <w:rFonts w:eastAsia="Times New Roman" w:cs="Times New Roman"/>
          <w:bCs/>
          <w:noProof/>
          <w:szCs w:val="26"/>
        </w:rPr>
        <w:t>r</w:t>
      </w:r>
      <w:r w:rsidR="00BE405E">
        <w:rPr>
          <w:rFonts w:eastAsia="Times New Roman" w:cs="Times New Roman"/>
          <w:bCs/>
          <w:noProof/>
          <w:szCs w:val="26"/>
        </w:rPr>
        <w:t>y</w:t>
      </w:r>
      <w:r>
        <w:rPr>
          <w:rFonts w:eastAsia="Times New Roman" w:cs="Times New Roman"/>
          <w:bCs/>
          <w:noProof/>
          <w:szCs w:val="26"/>
        </w:rPr>
        <w:t xml:space="preserve"> fabryczne.</w:t>
      </w:r>
    </w:p>
    <w:p w14:paraId="49E63C69" w14:textId="77777777" w:rsidR="00B915A5" w:rsidRPr="00B915A5" w:rsidRDefault="00B915A5" w:rsidP="004B7C2C">
      <w:pPr>
        <w:pStyle w:val="Akapitzlist"/>
        <w:widowControl w:val="0"/>
        <w:numPr>
          <w:ilvl w:val="1"/>
          <w:numId w:val="2"/>
        </w:numPr>
        <w:ind w:left="284" w:hanging="284"/>
        <w:contextualSpacing w:val="0"/>
        <w:rPr>
          <w:rFonts w:eastAsia="Times New Roman" w:cs="Times New Roman"/>
          <w:bCs/>
          <w:noProof/>
          <w:szCs w:val="26"/>
        </w:rPr>
      </w:pPr>
      <w:r w:rsidRPr="00B915A5">
        <w:rPr>
          <w:rFonts w:eastAsia="Times New Roman" w:cs="Times New Roman"/>
          <w:bCs/>
          <w:noProof/>
          <w:szCs w:val="26"/>
        </w:rPr>
        <w:t>Protokół odbioru  powinien zawierać: nazwę, model, producenta oraz liczbę Materiałów. Przykładowy wzór protokołu odbioru stanowi załącznik nr 1 do niniejszej Umowy.</w:t>
      </w:r>
    </w:p>
    <w:p w14:paraId="1FF0DBB0" w14:textId="0AE71E0D" w:rsidR="00590E77" w:rsidRDefault="009C2EAC" w:rsidP="004B7C2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 xml:space="preserve">tym zakresie zostaną odnotowane w protokole odbioru. Wykonawca usunie braki lub nieprawidłowości w terminie wyznaczonym przez Zamawiającego, nie dłuższym niż </w:t>
      </w:r>
      <w:r w:rsidR="0042752D">
        <w:rPr>
          <w:rFonts w:eastAsia="Times New Roman" w:cs="Times New Roman"/>
          <w:bCs/>
          <w:noProof/>
          <w:szCs w:val="26"/>
        </w:rPr>
        <w:t>3</w:t>
      </w:r>
      <w:r w:rsidRPr="00590E77">
        <w:rPr>
          <w:rFonts w:eastAsia="Times New Roman" w:cs="Times New Roman"/>
          <w:bCs/>
          <w:noProof/>
          <w:szCs w:val="26"/>
        </w:rPr>
        <w:t xml:space="preserve"> dni robocz</w:t>
      </w:r>
      <w:r w:rsidR="0091661F">
        <w:rPr>
          <w:rFonts w:eastAsia="Times New Roman" w:cs="Times New Roman"/>
          <w:bCs/>
          <w:noProof/>
          <w:szCs w:val="26"/>
        </w:rPr>
        <w:t>e</w:t>
      </w:r>
      <w:r w:rsidRPr="00590E77">
        <w:rPr>
          <w:rFonts w:eastAsia="Times New Roman" w:cs="Times New Roman"/>
          <w:bCs/>
          <w:noProof/>
          <w:szCs w:val="26"/>
        </w:rPr>
        <w:t>.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66CF979" w:rsidR="00590E77" w:rsidRPr="000379D2" w:rsidRDefault="009C2EAC" w:rsidP="004B7C2C">
      <w:pPr>
        <w:pStyle w:val="Akapitzlist"/>
        <w:widowControl w:val="0"/>
        <w:numPr>
          <w:ilvl w:val="1"/>
          <w:numId w:val="2"/>
        </w:numPr>
        <w:ind w:left="284" w:hanging="284"/>
        <w:contextualSpacing w:val="0"/>
        <w:rPr>
          <w:rFonts w:eastAsia="Times New Roman" w:cs="Times New Roman"/>
          <w:bCs/>
          <w:noProof/>
          <w:szCs w:val="26"/>
        </w:rPr>
      </w:pPr>
      <w:r w:rsidRPr="000379D2">
        <w:rPr>
          <w:rFonts w:eastAsia="Times New Roman" w:cs="Times New Roman"/>
          <w:bCs/>
          <w:noProof/>
          <w:szCs w:val="26"/>
        </w:rPr>
        <w:t xml:space="preserve">Podpisany przez </w:t>
      </w:r>
      <w:r w:rsidR="0044160A" w:rsidRPr="000379D2">
        <w:rPr>
          <w:rFonts w:eastAsia="Times New Roman" w:cs="Times New Roman"/>
          <w:bCs/>
          <w:noProof/>
          <w:szCs w:val="26"/>
        </w:rPr>
        <w:t>Strony</w:t>
      </w:r>
      <w:r w:rsidRPr="000379D2">
        <w:rPr>
          <w:rFonts w:eastAsia="Times New Roman" w:cs="Times New Roman"/>
          <w:bCs/>
          <w:noProof/>
          <w:szCs w:val="26"/>
        </w:rPr>
        <w:t xml:space="preserve"> bez zastrzeżeń protokół odbioru, stanowi podstawę </w:t>
      </w:r>
      <w:r w:rsidR="0044160A" w:rsidRPr="000379D2">
        <w:rPr>
          <w:rFonts w:eastAsia="Times New Roman" w:cs="Times New Roman"/>
          <w:bCs/>
          <w:noProof/>
          <w:szCs w:val="26"/>
        </w:rPr>
        <w:t>przyjęcia</w:t>
      </w:r>
      <w:r w:rsidRPr="000379D2">
        <w:rPr>
          <w:rFonts w:eastAsia="Times New Roman" w:cs="Times New Roman"/>
          <w:bCs/>
          <w:noProof/>
          <w:szCs w:val="26"/>
        </w:rPr>
        <w:t xml:space="preserve"> przez </w:t>
      </w:r>
      <w:r w:rsidR="0044160A" w:rsidRPr="000379D2">
        <w:rPr>
          <w:rFonts w:eastAsia="Times New Roman" w:cs="Times New Roman"/>
          <w:bCs/>
          <w:noProof/>
          <w:szCs w:val="26"/>
        </w:rPr>
        <w:t>Zamawiajacego</w:t>
      </w:r>
      <w:r w:rsidRPr="000379D2">
        <w:rPr>
          <w:rFonts w:eastAsia="Times New Roman" w:cs="Times New Roman"/>
          <w:bCs/>
          <w:noProof/>
          <w:szCs w:val="26"/>
        </w:rPr>
        <w:t xml:space="preserve"> </w:t>
      </w:r>
      <w:r w:rsidR="000379D2" w:rsidRPr="000379D2">
        <w:rPr>
          <w:rFonts w:eastAsia="Times New Roman" w:cs="Times New Roman"/>
          <w:bCs/>
          <w:noProof/>
          <w:szCs w:val="26"/>
        </w:rPr>
        <w:t>dostarczonej wraz z towarem faktury za Materiały nim objęte.</w:t>
      </w:r>
    </w:p>
    <w:p w14:paraId="44D9466A" w14:textId="3B518144" w:rsidR="00590E77" w:rsidRPr="00590E77" w:rsidRDefault="009C2EAC" w:rsidP="004B7C2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0379D2">
        <w:rPr>
          <w:rFonts w:eastAsia="Times New Roman" w:cs="Times New Roman"/>
          <w:b/>
          <w:bCs/>
          <w:iCs/>
          <w:noProof/>
          <w:szCs w:val="26"/>
        </w:rPr>
        <w:t>Uniwersytet Śląski w</w:t>
      </w:r>
      <w:r w:rsidR="001A1F4A" w:rsidRPr="000379D2">
        <w:rPr>
          <w:rFonts w:eastAsia="Times New Roman" w:cs="Times New Roman"/>
          <w:b/>
          <w:bCs/>
          <w:iCs/>
          <w:noProof/>
          <w:szCs w:val="26"/>
        </w:rPr>
        <w:t xml:space="preserve"> Katowicach, Dział Zarządzania Dostawami, </w:t>
      </w:r>
      <w:r w:rsidR="00A3700E" w:rsidRPr="000379D2">
        <w:rPr>
          <w:rFonts w:eastAsia="Times New Roman" w:cs="Times New Roman"/>
          <w:b/>
          <w:bCs/>
          <w:iCs/>
          <w:noProof/>
          <w:szCs w:val="26"/>
        </w:rPr>
        <w:t>ul. Bankowa 14</w:t>
      </w:r>
      <w:r w:rsidR="00353CED" w:rsidRPr="000379D2">
        <w:rPr>
          <w:rFonts w:eastAsia="Times New Roman" w:cs="Times New Roman"/>
          <w:b/>
          <w:bCs/>
          <w:iCs/>
          <w:noProof/>
          <w:szCs w:val="26"/>
        </w:rPr>
        <w:t xml:space="preserve">, </w:t>
      </w:r>
      <w:r w:rsidR="00A3700E" w:rsidRPr="000379D2">
        <w:rPr>
          <w:rFonts w:eastAsia="Times New Roman" w:cs="Times New Roman"/>
          <w:b/>
          <w:bCs/>
          <w:iCs/>
          <w:noProof/>
          <w:szCs w:val="26"/>
        </w:rPr>
        <w:t xml:space="preserve"> pokój 310</w:t>
      </w:r>
      <w:r w:rsidR="00DB6C11" w:rsidRPr="000379D2">
        <w:rPr>
          <w:rFonts w:eastAsia="Times New Roman" w:cs="Times New Roman"/>
          <w:b/>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94408B">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4B7C2C">
      <w:pPr>
        <w:widowControl w:val="0"/>
        <w:ind w:left="0" w:firstLine="0"/>
        <w:jc w:val="center"/>
        <w:outlineLvl w:val="4"/>
        <w:rPr>
          <w:b/>
          <w:bCs/>
          <w:sz w:val="22"/>
          <w:szCs w:val="20"/>
        </w:rPr>
      </w:pPr>
      <w:r w:rsidRPr="009C2EAC">
        <w:rPr>
          <w:b/>
          <w:bCs/>
          <w:sz w:val="22"/>
          <w:szCs w:val="20"/>
        </w:rPr>
        <w:t>Wynagrodzenie i warunki płatności</w:t>
      </w:r>
    </w:p>
    <w:p w14:paraId="244B062C" w14:textId="7287CC09" w:rsidR="00442109" w:rsidRPr="00B915A5" w:rsidRDefault="009C2EAC" w:rsidP="004B7C2C">
      <w:pPr>
        <w:pStyle w:val="Nagwek2"/>
        <w:keepNext w:val="0"/>
        <w:widowControl w:val="0"/>
        <w:numPr>
          <w:ilvl w:val="0"/>
          <w:numId w:val="49"/>
        </w:numPr>
        <w:spacing w:before="0" w:after="0" w:line="360" w:lineRule="auto"/>
        <w:ind w:left="284" w:hanging="284"/>
        <w:contextualSpacing w:val="0"/>
      </w:pPr>
      <w:r w:rsidRPr="0090225A">
        <w:t>Za Przedmiot Umowy Zamawiający</w:t>
      </w:r>
      <w:r w:rsidR="00F358F7">
        <w:t xml:space="preserve"> </w:t>
      </w:r>
      <w:r w:rsidRPr="0090225A">
        <w:t>zapłaci Wykonawcy cenę ustaloną na podstawie oferty złożonej przez Wykonawcę w postępowaniu o udzielenie zamówienia publicznego w wysokości:</w:t>
      </w:r>
      <w:r w:rsidRPr="004B7C2C">
        <w:rPr>
          <w:b/>
          <w:iCs/>
          <w:shd w:val="clear" w:color="auto" w:fill="DEEAF6" w:themeFill="accent5" w:themeFillTint="33"/>
        </w:rPr>
        <w:t>......</w:t>
      </w:r>
      <w:r w:rsidR="0052703A">
        <w:rPr>
          <w:b/>
          <w:iCs/>
          <w:shd w:val="clear" w:color="auto" w:fill="DEEAF6" w:themeFill="accent5" w:themeFillTint="33"/>
        </w:rPr>
        <w:t>.................</w:t>
      </w:r>
      <w:r w:rsidRPr="004B7C2C">
        <w:rPr>
          <w:b/>
          <w:iCs/>
          <w:shd w:val="clear" w:color="auto" w:fill="DEEAF6" w:themeFill="accent5" w:themeFillTint="33"/>
        </w:rPr>
        <w:t xml:space="preserve">... </w:t>
      </w:r>
      <w:r w:rsidR="0044160A" w:rsidRPr="004B7C2C">
        <w:rPr>
          <w:b/>
          <w:iCs/>
        </w:rPr>
        <w:t>PLN</w:t>
      </w:r>
      <w:r w:rsidRPr="004B7C2C">
        <w:rPr>
          <w:b/>
          <w:iCs/>
        </w:rPr>
        <w:t xml:space="preserve"> </w:t>
      </w:r>
      <w:r w:rsidR="00F358F7" w:rsidRPr="004B7C2C">
        <w:rPr>
          <w:b/>
          <w:iCs/>
        </w:rPr>
        <w:t>brutto</w:t>
      </w:r>
      <w:r w:rsidRPr="004B7C2C">
        <w:rPr>
          <w:b/>
          <w:iCs/>
        </w:rPr>
        <w:t xml:space="preserve">, </w:t>
      </w:r>
      <w:r w:rsidRPr="004B7C2C">
        <w:rPr>
          <w:iCs/>
        </w:rPr>
        <w:t>słownie:</w:t>
      </w:r>
      <w:r w:rsidRPr="009F6A8A">
        <w:rPr>
          <w:iCs/>
        </w:rPr>
        <w:t>…</w:t>
      </w:r>
      <w:r w:rsidRPr="009F6A8A">
        <w:t>...</w:t>
      </w:r>
      <w:r w:rsidR="009F6A8A" w:rsidRPr="009F6A8A">
        <w:t>........................</w:t>
      </w:r>
      <w:r w:rsidRPr="009F6A8A">
        <w:t>..</w:t>
      </w:r>
      <w:r w:rsidR="00F358F7" w:rsidRPr="004B7C2C">
        <w:rPr>
          <w:i/>
        </w:rPr>
        <w:t xml:space="preserve"> </w:t>
      </w:r>
      <w:r w:rsidRPr="0090225A">
        <w:t>(wartość Umowy), w tym wartość podatku VAT</w:t>
      </w:r>
      <w:r w:rsidR="009F6A8A">
        <w:t>…………</w:t>
      </w:r>
      <w:r w:rsidRPr="0090225A">
        <w:t>…;</w:t>
      </w:r>
      <w:r w:rsidR="000A7454">
        <w:t xml:space="preserve"> </w:t>
      </w:r>
      <w:r w:rsidRPr="0090225A">
        <w:t>wartość netto</w:t>
      </w:r>
      <w:r w:rsidR="000A7454">
        <w:t>:…..</w:t>
      </w:r>
      <w:r w:rsidRPr="0090225A">
        <w:t xml:space="preserve"> słownie:</w:t>
      </w:r>
      <w:r w:rsidR="000A35E0">
        <w:t>……..</w:t>
      </w:r>
      <w:r w:rsidRPr="0090225A">
        <w:t>., 00/100</w:t>
      </w:r>
      <w:r w:rsidR="00974E18" w:rsidRPr="004B7C2C">
        <w:rPr>
          <w:b/>
          <w:iCs/>
          <w:vertAlign w:val="superscript"/>
        </w:rPr>
        <w:t xml:space="preserve"> </w:t>
      </w:r>
      <w:r w:rsidR="00974E18" w:rsidRPr="009C2EAC">
        <w:rPr>
          <w:b/>
          <w:iCs/>
          <w:vertAlign w:val="superscript"/>
        </w:rPr>
        <w:footnoteReference w:id="3"/>
      </w:r>
      <w:r w:rsidRPr="0090225A">
        <w:t>.</w:t>
      </w:r>
    </w:p>
    <w:p w14:paraId="23CF118B" w14:textId="3CFE16AC" w:rsidR="009C2EAC" w:rsidRDefault="009C2EAC" w:rsidP="004B7C2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B915A5">
        <w:rPr>
          <w:b/>
        </w:rPr>
        <w:t>materiałów</w:t>
      </w:r>
      <w:r w:rsidR="00FA14E9">
        <w:rPr>
          <w:b/>
        </w:rPr>
        <w:t xml:space="preserve"> </w:t>
      </w:r>
      <w:r w:rsidR="00F470FB" w:rsidRPr="006F4773">
        <w:rPr>
          <w:b/>
        </w:rPr>
        <w:t>wraz z dostarczeniem zgodnie z</w:t>
      </w:r>
      <w:r w:rsidR="00974E18" w:rsidRPr="006F4773">
        <w:rPr>
          <w:b/>
        </w:rPr>
        <w:t xml:space="preserve"> </w:t>
      </w:r>
      <w:r w:rsidR="00F470FB" w:rsidRPr="006F4773">
        <w:rPr>
          <w:b/>
        </w:rPr>
        <w:t xml:space="preserve">opisem przedmiotu zamówienia, koszt rozładunku i wniesienia w miejsce wskazane przez </w:t>
      </w:r>
      <w:r w:rsidR="00F470FB" w:rsidRPr="00610E69">
        <w:rPr>
          <w:b/>
        </w:rPr>
        <w:t>Zamawiającego</w:t>
      </w:r>
      <w:r w:rsidR="00F470FB" w:rsidRPr="00610E69">
        <w:rPr>
          <w:rFonts w:eastAsia="Palatino Linotype" w:cs="Arial"/>
          <w:b/>
          <w:bCs/>
          <w:szCs w:val="20"/>
        </w:rPr>
        <w:t xml:space="preserve">, </w:t>
      </w:r>
      <w:r w:rsidR="00610E69" w:rsidRPr="00610E69">
        <w:rPr>
          <w:rFonts w:eastAsia="Palatino Linotype" w:cs="Arial"/>
          <w:b/>
          <w:bCs/>
          <w:szCs w:val="20"/>
        </w:rPr>
        <w:t>koszt gwarancji</w:t>
      </w:r>
      <w:r w:rsidR="00610E69">
        <w:rPr>
          <w:rFonts w:eastAsia="Palatino Linotype" w:cs="Arial"/>
          <w:bCs/>
          <w:szCs w:val="20"/>
        </w:rPr>
        <w:t xml:space="preserve">, </w:t>
      </w:r>
      <w:r w:rsidR="00F470FB" w:rsidRPr="00F470FB">
        <w:rPr>
          <w:rFonts w:eastAsia="Palatino Linotype" w:cs="Arial"/>
          <w:bCs/>
          <w:szCs w:val="20"/>
        </w:rPr>
        <w:t>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431E434A" w14:textId="5206D9CE" w:rsidR="004B7C2C" w:rsidRDefault="000A35E0" w:rsidP="004B7C2C">
      <w:pPr>
        <w:pStyle w:val="Nagwek2"/>
        <w:keepNext w:val="0"/>
        <w:widowControl w:val="0"/>
        <w:spacing w:before="0" w:after="0" w:line="360" w:lineRule="auto"/>
        <w:ind w:left="284" w:hanging="284"/>
        <w:contextualSpacing w:val="0"/>
      </w:pPr>
      <w:r w:rsidRPr="005976A8">
        <w:rPr>
          <w:b/>
        </w:rPr>
        <w:t>Rozliczenia będą następowały w oparciu o ceny jednostkowe Materiałów podane w ofercie Wykonawcy</w:t>
      </w:r>
      <w:r w:rsidR="004B7C2C">
        <w:rPr>
          <w:b/>
        </w:rPr>
        <w:t>.</w:t>
      </w:r>
    </w:p>
    <w:p w14:paraId="7AB897A7" w14:textId="0EA60CC8" w:rsidR="000A35E0" w:rsidRPr="005976A8" w:rsidRDefault="000A35E0" w:rsidP="006750CE">
      <w:pPr>
        <w:pStyle w:val="Nagwek2"/>
        <w:ind w:left="284" w:hanging="284"/>
      </w:pPr>
      <w:r>
        <w:lastRenderedPageBreak/>
        <w:t xml:space="preserve">Ceny jednostkowe netto materiałów określone w ofercie obowiązują przez cały czas trwania Umowy, </w:t>
      </w:r>
      <w:r w:rsidR="004B7C2C">
        <w:t xml:space="preserve">              </w:t>
      </w:r>
      <w:r>
        <w:t xml:space="preserve">z zastrzeżeniem § 10 ust. 2 pkt </w:t>
      </w:r>
      <w:r w:rsidR="0079578B">
        <w:t>11</w:t>
      </w:r>
      <w:r>
        <w:t xml:space="preserve"> – 1</w:t>
      </w:r>
      <w:r w:rsidR="0079578B">
        <w:t>2</w:t>
      </w:r>
      <w:r>
        <w:t>.</w:t>
      </w:r>
    </w:p>
    <w:p w14:paraId="59E0D4BD" w14:textId="19D72FB9"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4"/>
      </w:r>
    </w:p>
    <w:p w14:paraId="2EF4AE1F" w14:textId="156AAD6F" w:rsid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2E468E">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D704CCA" w:rsidR="009C2EAC" w:rsidRPr="00560993" w:rsidRDefault="009C2EAC" w:rsidP="002E468E">
      <w:pPr>
        <w:widowControl w:val="0"/>
        <w:ind w:left="0" w:firstLine="0"/>
        <w:jc w:val="center"/>
        <w:outlineLvl w:val="4"/>
        <w:rPr>
          <w:b/>
          <w:bCs/>
          <w:sz w:val="22"/>
          <w:szCs w:val="20"/>
        </w:rPr>
      </w:pPr>
      <w:r w:rsidRPr="00560993">
        <w:rPr>
          <w:b/>
          <w:bCs/>
          <w:sz w:val="22"/>
          <w:szCs w:val="20"/>
        </w:rPr>
        <w:t>Gwarancja</w:t>
      </w:r>
    </w:p>
    <w:p w14:paraId="61558FEF" w14:textId="77777777" w:rsidR="00560993" w:rsidRPr="00560993" w:rsidRDefault="00560993" w:rsidP="00C03F1B">
      <w:pPr>
        <w:pStyle w:val="Nagwek2"/>
        <w:numPr>
          <w:ilvl w:val="0"/>
          <w:numId w:val="37"/>
        </w:numPr>
        <w:spacing w:before="0" w:after="0" w:line="360" w:lineRule="auto"/>
        <w:ind w:left="284" w:hanging="284"/>
        <w:contextualSpacing w:val="0"/>
        <w:rPr>
          <w:lang w:eastAsia="x-none"/>
        </w:rPr>
      </w:pPr>
      <w:r w:rsidRPr="00560993">
        <w:rPr>
          <w:lang w:eastAsia="x-none"/>
        </w:rPr>
        <w:t xml:space="preserve">Wykonawca gwarantuje najwyższą jakość dostarczonych przez siebie Materiałów. Wykonawca udziela na dostarczone Materiały gwarancji </w:t>
      </w:r>
      <w:r w:rsidRPr="00323109">
        <w:rPr>
          <w:lang w:eastAsia="x-none"/>
        </w:rPr>
        <w:t>na okres ………. miesięcy</w:t>
      </w:r>
      <w:r w:rsidRPr="00323109">
        <w:rPr>
          <w:vertAlign w:val="superscript"/>
        </w:rPr>
        <w:footnoteReference w:id="5"/>
      </w:r>
      <w:r w:rsidRPr="00323109">
        <w:rPr>
          <w:lang w:eastAsia="x-none"/>
        </w:rPr>
        <w:t xml:space="preserve">, licząc </w:t>
      </w:r>
      <w:r w:rsidRPr="00560993">
        <w:rPr>
          <w:lang w:eastAsia="x-none"/>
        </w:rPr>
        <w:t xml:space="preserve">od daty odbioru Przedmiotu Umowy, potwierdzonego protokołem odbioru bez zastrzeżeń. </w:t>
      </w:r>
    </w:p>
    <w:p w14:paraId="2A7FBEA2" w14:textId="53A70639" w:rsidR="00560993" w:rsidRP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 xml:space="preserve">Wykonawca udziela gwarancji na wszystkie części składowe i elementy wchodzące w skład Przedmiotu Sprzedaży. Roszczeniom z tytułu gwarancji podlegają wady powstałe z przyczyn tkwiących w  rzeczy, </w:t>
      </w:r>
      <w:r w:rsidR="00323109">
        <w:rPr>
          <w:rFonts w:eastAsia="Times New Roman" w:cs="Times New Roman"/>
          <w:bCs/>
          <w:noProof/>
          <w:szCs w:val="26"/>
          <w:lang w:eastAsia="x-none"/>
        </w:rPr>
        <w:t xml:space="preserve">              </w:t>
      </w:r>
      <w:r w:rsidRPr="00560993">
        <w:rPr>
          <w:rFonts w:eastAsia="Times New Roman" w:cs="Times New Roman"/>
          <w:bCs/>
          <w:noProof/>
          <w:szCs w:val="26"/>
          <w:lang w:eastAsia="x-none"/>
        </w:rPr>
        <w:t xml:space="preserve">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w:t>
      </w:r>
      <w:r w:rsidRPr="00560993">
        <w:rPr>
          <w:rFonts w:eastAsia="Times New Roman" w:cs="Times New Roman"/>
          <w:bCs/>
          <w:noProof/>
          <w:szCs w:val="26"/>
          <w:lang w:eastAsia="x-none"/>
        </w:rPr>
        <w:lastRenderedPageBreak/>
        <w:t>deklarowanych przez Wykonawcę lub wystąpienie takich cech, które zmniejszają użyteczność Przedmiotu Umowy ze względu na cel wynikający z jego zwyczajnego przeznaczenia.</w:t>
      </w:r>
    </w:p>
    <w:p w14:paraId="01C11B88" w14:textId="77777777" w:rsidR="00560993" w:rsidRP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Nie podlegają uprawnieniom z tytułu gwarancji wady powstałe wskutek:</w:t>
      </w:r>
    </w:p>
    <w:p w14:paraId="6849D93D" w14:textId="77777777" w:rsidR="00560993" w:rsidRPr="00560993" w:rsidRDefault="00560993" w:rsidP="00C03F1B">
      <w:pPr>
        <w:numPr>
          <w:ilvl w:val="3"/>
          <w:numId w:val="7"/>
        </w:numPr>
        <w:ind w:left="567" w:hanging="283"/>
        <w:rPr>
          <w:iCs/>
          <w:szCs w:val="20"/>
        </w:rPr>
      </w:pPr>
      <w:r w:rsidRPr="00560993">
        <w:rPr>
          <w:iCs/>
          <w:szCs w:val="20"/>
        </w:rPr>
        <w:t>działania siły wyższej albo wyłącznie z winy Zamawiającego lub osoby trzeciej, za którą Wykonawca nie ponosi odpowiedzialności,</w:t>
      </w:r>
    </w:p>
    <w:p w14:paraId="741FF923" w14:textId="77777777" w:rsidR="00560993" w:rsidRPr="00560993" w:rsidRDefault="00560993" w:rsidP="00C03F1B">
      <w:pPr>
        <w:numPr>
          <w:ilvl w:val="3"/>
          <w:numId w:val="7"/>
        </w:numPr>
        <w:ind w:left="567" w:hanging="283"/>
        <w:rPr>
          <w:iCs/>
          <w:szCs w:val="20"/>
        </w:rPr>
      </w:pPr>
      <w:r w:rsidRPr="00560993">
        <w:rPr>
          <w:iCs/>
          <w:szCs w:val="20"/>
        </w:rPr>
        <w:t>normalnego zużycia Materiałów lub ich części,</w:t>
      </w:r>
    </w:p>
    <w:p w14:paraId="09A5ADDA" w14:textId="77777777" w:rsidR="00560993" w:rsidRPr="00560993" w:rsidRDefault="00560993" w:rsidP="00C03F1B">
      <w:pPr>
        <w:numPr>
          <w:ilvl w:val="3"/>
          <w:numId w:val="7"/>
        </w:numPr>
        <w:ind w:left="567" w:hanging="283"/>
        <w:rPr>
          <w:iCs/>
          <w:szCs w:val="20"/>
        </w:rPr>
      </w:pPr>
      <w:r w:rsidRPr="00560993">
        <w:rPr>
          <w:iCs/>
          <w:szCs w:val="20"/>
        </w:rPr>
        <w:t>winy Zamawiającego, w tym uszkodzeń mechanicznych oraz eksploatacji i konserwacji Materiałów w sposób niezgodny z zasadami ich eksploatacji określonymi w instrukcji użytkowania i zaleceniach producenta.</w:t>
      </w:r>
    </w:p>
    <w:p w14:paraId="340B3AAB" w14:textId="77777777" w:rsidR="00560993" w:rsidRP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Bieg terminu gwarancji rozpoczyna się w dniu następnym, po zakończeniu odbioru Przedmiotu Umowy, przy czym jeżeli Wykonawca dostarczył Zamawiającemu zamiast rzeczy wadliwej rzecz wolną od wad, termin gwarancji biegnie na nowo od chwili dostarczenia rzeczy wolnej od wad. Jeżeli Wykonawca wymienił część rzeczy, powyższe postanowienie stosuje się odpowiednio do części wymienionej.</w:t>
      </w:r>
    </w:p>
    <w:p w14:paraId="2DD68DFC" w14:textId="77777777" w:rsidR="00560993" w:rsidRP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 xml:space="preserve">W przypadku stwierdzenia wady w zrealizowanym Przedmiocie Umowy, Wykonawca zobowiązuje się na zasadach opisanych w niniejszym paragrafie oraz w trybie określonym w treści dokumentu gwarancyjnego do jej niezwłocznego usunięcia w drodze wymiany Materiału na Materiał nowy wolny od wad w miejscu użytkowania Materiałów, z zastrzeżeniem postanowień ust. 8 lub do nieodpłatnej wymiany </w:t>
      </w:r>
      <w:r w:rsidRPr="00560993">
        <w:rPr>
          <w:rFonts w:eastAsia="Times New Roman" w:cs="Times New Roman"/>
          <w:bCs/>
          <w:iCs/>
          <w:noProof/>
          <w:szCs w:val="20"/>
          <w:lang w:eastAsia="x-none"/>
        </w:rPr>
        <w:t>Materiałów</w:t>
      </w:r>
      <w:r w:rsidRPr="00560993">
        <w:rPr>
          <w:rFonts w:eastAsia="Times New Roman" w:cs="Times New Roman"/>
          <w:bCs/>
          <w:noProof/>
          <w:szCs w:val="26"/>
          <w:lang w:eastAsia="x-none"/>
        </w:rPr>
        <w:t>. Wybór świadczenia gwarancyjnego należy do Zamawiającego.</w:t>
      </w:r>
    </w:p>
    <w:p w14:paraId="1B11CA8D" w14:textId="6B5AA142" w:rsid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Czas reakcji na zgłoszenie wady rozumiane jako przystąpienie do usunięcia wady poprzez stawiennictwo upoważnionych przedstawicieli Wykonawcy (gwaranta) nie może przekroczyć 2 dni roboczych od daty zgłoszenia wady w formie pisemnej lub elektronicznej.</w:t>
      </w:r>
    </w:p>
    <w:p w14:paraId="68D59A0E" w14:textId="4CAD0FAB" w:rsidR="00477897" w:rsidRPr="00477897" w:rsidRDefault="00477897" w:rsidP="00477897">
      <w:pPr>
        <w:numPr>
          <w:ilvl w:val="0"/>
          <w:numId w:val="2"/>
        </w:numPr>
        <w:ind w:left="284" w:hanging="284"/>
        <w:outlineLvl w:val="1"/>
        <w:rPr>
          <w:rFonts w:eastAsia="Times New Roman" w:cs="Times New Roman"/>
          <w:bCs/>
          <w:noProof/>
          <w:szCs w:val="26"/>
          <w:lang w:eastAsia="x-none"/>
        </w:rPr>
      </w:pPr>
      <w:r w:rsidRPr="00477897">
        <w:rPr>
          <w:rFonts w:eastAsia="Times New Roman" w:cs="Times New Roman"/>
          <w:bCs/>
          <w:noProof/>
          <w:szCs w:val="26"/>
          <w:lang w:eastAsia="x-none"/>
        </w:rPr>
        <w:t>Nieodpłatna wymiana artykułów na wolne od wad, zostanie wykonana w terminie uzgodnionym przez Strony, nie dłuższym jednak niż termin, o którym mowa w § 7 ust. 9, a jeżeli z</w:t>
      </w:r>
      <w:r w:rsidRPr="00477897">
        <w:t> </w:t>
      </w:r>
      <w:r w:rsidRPr="00477897">
        <w:rPr>
          <w:rFonts w:eastAsia="Times New Roman" w:cs="Times New Roman"/>
          <w:bCs/>
          <w:noProof/>
          <w:szCs w:val="26"/>
          <w:lang w:eastAsia="x-none"/>
        </w:rPr>
        <w:t xml:space="preserve"> przyczyn technicznych lub logistycznych (np. oczekiwanie na dostawę) będzie to niemożliwe, Zamawiający może wyznaczyć inny termin.</w:t>
      </w:r>
    </w:p>
    <w:p w14:paraId="15849CE2" w14:textId="5EA91B03" w:rsidR="00560993" w:rsidRPr="00560993" w:rsidRDefault="00560993" w:rsidP="00C03F1B">
      <w:pPr>
        <w:numPr>
          <w:ilvl w:val="0"/>
          <w:numId w:val="2"/>
        </w:numPr>
        <w:ind w:left="284" w:hanging="284"/>
        <w:outlineLvl w:val="1"/>
        <w:rPr>
          <w:rFonts w:eastAsia="Times New Roman" w:cs="Times New Roman"/>
          <w:bCs/>
          <w:noProof/>
          <w:color w:val="FF0000"/>
          <w:szCs w:val="26"/>
          <w:lang w:eastAsia="x-none"/>
        </w:rPr>
      </w:pPr>
      <w:r w:rsidRPr="00560993">
        <w:rPr>
          <w:rFonts w:eastAsia="Times New Roman" w:cs="Times New Roman"/>
          <w:bCs/>
          <w:noProof/>
          <w:szCs w:val="26"/>
          <w:lang w:eastAsia="x-none"/>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Materiałów, transport do miejsca naprawy i na powrót do miejsca użytkowania, ubezpieczenie na czas naprawy i transportu, a także ponowny montaż w tym samym miejscu, w siedzibie Zamawiającego</w:t>
      </w:r>
      <w:r w:rsidRPr="00E10CF3">
        <w:rPr>
          <w:rFonts w:eastAsia="Times New Roman" w:cs="Times New Roman"/>
          <w:bCs/>
          <w:noProof/>
          <w:szCs w:val="26"/>
          <w:lang w:eastAsia="x-none"/>
        </w:rPr>
        <w:t>.</w:t>
      </w:r>
    </w:p>
    <w:p w14:paraId="1B834380" w14:textId="77777777" w:rsidR="00560993" w:rsidRPr="00560993" w:rsidRDefault="00560993" w:rsidP="00C03F1B">
      <w:pPr>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Wykonawca</w:t>
      </w:r>
      <w:r w:rsidRPr="00560993">
        <w:rPr>
          <w:rFonts w:eastAsia="Times New Roman" w:cs="Times New Roman"/>
          <w:b/>
          <w:bCs/>
          <w:noProof/>
          <w:szCs w:val="26"/>
          <w:lang w:eastAsia="x-none"/>
        </w:rPr>
        <w:t xml:space="preserve"> </w:t>
      </w:r>
      <w:r w:rsidRPr="00560993">
        <w:rPr>
          <w:rFonts w:eastAsia="Times New Roman" w:cs="Times New Roman"/>
          <w:bCs/>
          <w:noProof/>
          <w:szCs w:val="26"/>
          <w:lang w:eastAsia="x-none"/>
        </w:rPr>
        <w:t>najpóźniej</w:t>
      </w:r>
      <w:r w:rsidRPr="00560993">
        <w:rPr>
          <w:rFonts w:eastAsia="Times New Roman" w:cs="Times New Roman"/>
          <w:b/>
          <w:bCs/>
          <w:noProof/>
          <w:szCs w:val="26"/>
          <w:lang w:eastAsia="x-none"/>
        </w:rPr>
        <w:t xml:space="preserve"> </w:t>
      </w:r>
      <w:r w:rsidRPr="00560993">
        <w:rPr>
          <w:rFonts w:eastAsia="Times New Roman" w:cs="Times New Roman"/>
          <w:bCs/>
          <w:noProof/>
          <w:szCs w:val="26"/>
          <w:lang w:eastAsia="x-none"/>
        </w:rPr>
        <w:t xml:space="preserve">w dniu podpisania protokołu odbioru przekaże Zamawiającemu dokumenty gwarancyjne (kartę gwarancyjną) co do jakości dostarczonych Materiałów. </w:t>
      </w:r>
    </w:p>
    <w:p w14:paraId="15C13E39" w14:textId="77777777" w:rsidR="00560993" w:rsidRPr="00560993" w:rsidRDefault="00560993" w:rsidP="00C458C1">
      <w:pPr>
        <w:widowControl w:val="0"/>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w:t>
      </w:r>
      <w:r w:rsidRPr="00560993">
        <w:rPr>
          <w:rFonts w:eastAsia="Times New Roman" w:cs="Times New Roman"/>
          <w:bCs/>
          <w:noProof/>
          <w:szCs w:val="26"/>
          <w:lang w:eastAsia="x-none"/>
        </w:rPr>
        <w:lastRenderedPageBreak/>
        <w:t xml:space="preserve">odbioru. W razie zniszczenia lub zagubienia dokumentu gwarancyjnego, Zamawiający nie traci uprawnień z tytułu gwarancji, jeżeli wykaże istnienie zobowiązania gwarancyjnego za pomocą innego dowodu. </w:t>
      </w:r>
    </w:p>
    <w:p w14:paraId="317CD771" w14:textId="77777777" w:rsidR="00560993" w:rsidRPr="00560993" w:rsidRDefault="00560993" w:rsidP="00C458C1">
      <w:pPr>
        <w:widowControl w:val="0"/>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1D61CF83" w14:textId="77777777" w:rsidR="00560993" w:rsidRPr="00560993" w:rsidRDefault="00560993" w:rsidP="00C458C1">
      <w:pPr>
        <w:widowControl w:val="0"/>
        <w:numPr>
          <w:ilvl w:val="0"/>
          <w:numId w:val="2"/>
        </w:numPr>
        <w:ind w:left="284" w:hanging="284"/>
        <w:outlineLvl w:val="1"/>
        <w:rPr>
          <w:rFonts w:eastAsia="Times New Roman" w:cs="Times New Roman"/>
          <w:bCs/>
          <w:noProof/>
          <w:szCs w:val="26"/>
          <w:lang w:val="x-none" w:eastAsia="x-none"/>
        </w:rPr>
      </w:pPr>
      <w:r w:rsidRPr="00560993">
        <w:rPr>
          <w:rFonts w:eastAsia="Times New Roman" w:cs="Times New Roman"/>
          <w:bCs/>
          <w:noProof/>
          <w:szCs w:val="26"/>
          <w:lang w:val="x-none" w:eastAsia="x-none"/>
        </w:rPr>
        <w:t>Zamawiający zobowiązuje się do dotrzymywania podstawowych warunków u</w:t>
      </w:r>
      <w:r w:rsidRPr="00560993">
        <w:rPr>
          <w:rFonts w:eastAsia="Times New Roman" w:cs="Times New Roman"/>
          <w:bCs/>
          <w:noProof/>
          <w:szCs w:val="26"/>
          <w:lang w:eastAsia="x-none"/>
        </w:rPr>
        <w:t>żytkowania Materiałów</w:t>
      </w:r>
      <w:r w:rsidRPr="00560993">
        <w:rPr>
          <w:rFonts w:eastAsia="Times New Roman" w:cs="Times New Roman"/>
          <w:bCs/>
          <w:noProof/>
          <w:szCs w:val="26"/>
          <w:lang w:val="x-none" w:eastAsia="x-none"/>
        </w:rPr>
        <w:t xml:space="preserve"> określonych w</w:t>
      </w:r>
      <w:r w:rsidRPr="00560993">
        <w:rPr>
          <w:rFonts w:eastAsia="Times New Roman" w:cs="Times New Roman"/>
          <w:bCs/>
          <w:noProof/>
          <w:szCs w:val="26"/>
          <w:lang w:eastAsia="x-none"/>
        </w:rPr>
        <w:t> </w:t>
      </w:r>
      <w:r w:rsidRPr="00560993">
        <w:rPr>
          <w:rFonts w:eastAsia="Times New Roman" w:cs="Times New Roman"/>
          <w:bCs/>
          <w:noProof/>
          <w:szCs w:val="26"/>
          <w:lang w:val="x-none" w:eastAsia="x-none"/>
        </w:rPr>
        <w:t>instrukcjach eksploatacji oraz kartach gwarancyjnych wystawionych przez producentów i dostarczonych przez Wykonawcę Zamawiającemu, w zakresie, w jakim nie s</w:t>
      </w:r>
      <w:r w:rsidRPr="00560993">
        <w:rPr>
          <w:rFonts w:eastAsia="Times New Roman" w:cs="Times New Roman"/>
          <w:bCs/>
          <w:noProof/>
          <w:szCs w:val="26"/>
          <w:lang w:eastAsia="x-none"/>
        </w:rPr>
        <w:t>ą one sprzeczne z postanowieniami niniejszego paragrafu.</w:t>
      </w:r>
    </w:p>
    <w:p w14:paraId="4C6296AD" w14:textId="77777777" w:rsidR="00560993" w:rsidRPr="00560993" w:rsidRDefault="00560993" w:rsidP="00C458C1">
      <w:pPr>
        <w:widowControl w:val="0"/>
        <w:numPr>
          <w:ilvl w:val="0"/>
          <w:numId w:val="2"/>
        </w:numPr>
        <w:ind w:left="284" w:hanging="284"/>
        <w:outlineLvl w:val="1"/>
        <w:rPr>
          <w:rFonts w:eastAsia="Times New Roman" w:cs="Times New Roman"/>
          <w:bCs/>
          <w:noProof/>
          <w:szCs w:val="26"/>
          <w:lang w:val="x-none" w:eastAsia="x-none"/>
        </w:rPr>
      </w:pPr>
      <w:r w:rsidRPr="00560993">
        <w:rPr>
          <w:rFonts w:eastAsia="Times New Roman" w:cs="Times New Roman"/>
          <w:bCs/>
          <w:noProof/>
          <w:szCs w:val="26"/>
          <w:lang w:eastAsia="x-none"/>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7D3B4CA0" w14:textId="77777777" w:rsidR="00560993" w:rsidRPr="00560993" w:rsidRDefault="00560993" w:rsidP="00C458C1">
      <w:pPr>
        <w:widowControl w:val="0"/>
        <w:numPr>
          <w:ilvl w:val="0"/>
          <w:numId w:val="2"/>
        </w:numPr>
        <w:ind w:left="284" w:hanging="284"/>
        <w:outlineLvl w:val="1"/>
        <w:rPr>
          <w:rFonts w:eastAsia="Times New Roman" w:cs="Times New Roman"/>
          <w:bCs/>
          <w:noProof/>
          <w:szCs w:val="26"/>
          <w:lang w:eastAsia="x-none"/>
        </w:rPr>
      </w:pPr>
      <w:r w:rsidRPr="00560993">
        <w:rPr>
          <w:rFonts w:eastAsia="Times New Roman" w:cs="Times New Roman"/>
          <w:bCs/>
          <w:noProof/>
          <w:szCs w:val="26"/>
          <w:lang w:eastAsia="x-none"/>
        </w:rPr>
        <w:t>Niezależnie od uprawnień wynikających z gwarancji, Zamawiający może wykonywać uprawnienia z tytułu rękojmi za wady przedmiotu Umowy na zasadach określonych w § 7 Umowy i Kodeksie cywilnym.</w:t>
      </w:r>
    </w:p>
    <w:p w14:paraId="50D1A904" w14:textId="5785AB94" w:rsidR="002E468E" w:rsidRPr="002E468E" w:rsidRDefault="002E468E" w:rsidP="00C458C1">
      <w:pPr>
        <w:widowControl w:val="0"/>
        <w:ind w:left="284" w:firstLine="0"/>
        <w:outlineLvl w:val="1"/>
        <w:rPr>
          <w:rFonts w:eastAsia="Times New Roman" w:cs="Times New Roman"/>
          <w:bCs/>
          <w:noProof/>
          <w:szCs w:val="26"/>
          <w:lang w:eastAsia="x-none"/>
        </w:rPr>
      </w:pPr>
    </w:p>
    <w:p w14:paraId="04C61B91" w14:textId="4C53A067" w:rsidR="009C2EAC" w:rsidRPr="009C2EAC" w:rsidRDefault="009C2EAC" w:rsidP="00C458C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27089A4C" w:rsidR="009C2EAC" w:rsidRDefault="009C2EAC" w:rsidP="00C458C1">
      <w:pPr>
        <w:widowControl w:val="0"/>
        <w:ind w:left="0" w:firstLine="0"/>
        <w:jc w:val="center"/>
        <w:outlineLvl w:val="4"/>
        <w:rPr>
          <w:b/>
          <w:bCs/>
          <w:sz w:val="22"/>
          <w:szCs w:val="20"/>
        </w:rPr>
      </w:pPr>
      <w:r w:rsidRPr="009C2EAC">
        <w:rPr>
          <w:b/>
          <w:bCs/>
          <w:sz w:val="22"/>
          <w:szCs w:val="20"/>
        </w:rPr>
        <w:t>Rękojmia za wady</w:t>
      </w:r>
    </w:p>
    <w:p w14:paraId="68E7150B" w14:textId="3AA6DC34" w:rsidR="003F2143" w:rsidRPr="003F2143" w:rsidRDefault="003F2143" w:rsidP="00C458C1">
      <w:pPr>
        <w:pStyle w:val="Akapitzlist"/>
        <w:widowControl w:val="0"/>
        <w:numPr>
          <w:ilvl w:val="0"/>
          <w:numId w:val="43"/>
        </w:numPr>
        <w:ind w:left="284" w:hanging="284"/>
        <w:contextualSpacing w:val="0"/>
        <w:rPr>
          <w:lang w:eastAsia="x-none"/>
        </w:rPr>
      </w:pPr>
      <w:r w:rsidRPr="003F2143">
        <w:rPr>
          <w:lang w:eastAsia="x-none"/>
        </w:rPr>
        <w:t xml:space="preserve">Wykonawca jest odpowiedzialny względem Zamawiającego za wady przedmiotu sprzedaży (fizyczne lub prawne) polegające na jego niezgodności z umową, na zasadach określonych w Kodeksie cywilnym </w:t>
      </w:r>
      <w:r>
        <w:rPr>
          <w:lang w:eastAsia="x-none"/>
        </w:rPr>
        <w:t xml:space="preserve">                  </w:t>
      </w:r>
      <w:r w:rsidRPr="003F2143">
        <w:rPr>
          <w:lang w:eastAsia="x-none"/>
        </w:rPr>
        <w:t>z zastrzeżeniem postanowień Umowy.</w:t>
      </w:r>
    </w:p>
    <w:p w14:paraId="59BD3E37" w14:textId="02106A02" w:rsidR="003F2143" w:rsidRPr="003F2143" w:rsidRDefault="003F2143" w:rsidP="00C458C1">
      <w:pPr>
        <w:pStyle w:val="Akapitzlist"/>
        <w:widowControl w:val="0"/>
        <w:numPr>
          <w:ilvl w:val="0"/>
          <w:numId w:val="43"/>
        </w:numPr>
        <w:ind w:left="284" w:hanging="284"/>
        <w:contextualSpacing w:val="0"/>
        <w:outlineLvl w:val="1"/>
        <w:rPr>
          <w:rFonts w:eastAsia="Times New Roman" w:cs="Times New Roman"/>
          <w:bCs/>
          <w:noProof/>
          <w:szCs w:val="26"/>
          <w:lang w:eastAsia="x-none"/>
        </w:rPr>
      </w:pPr>
      <w:r w:rsidRPr="003F2143">
        <w:rPr>
          <w:rFonts w:eastAsia="Times New Roman" w:cs="Times New Roman"/>
          <w:bCs/>
          <w:noProof/>
          <w:szCs w:val="26"/>
          <w:lang w:eastAsia="x-none"/>
        </w:rPr>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w:t>
      </w:r>
    </w:p>
    <w:p w14:paraId="12FF2635" w14:textId="77777777" w:rsidR="003F2143" w:rsidRPr="003F2143" w:rsidRDefault="003F2143" w:rsidP="00C458C1">
      <w:pPr>
        <w:pStyle w:val="Akapitzlist"/>
        <w:widowControl w:val="0"/>
        <w:numPr>
          <w:ilvl w:val="0"/>
          <w:numId w:val="43"/>
        </w:numPr>
        <w:ind w:left="284" w:hanging="283"/>
        <w:contextualSpacing w:val="0"/>
        <w:outlineLvl w:val="1"/>
        <w:rPr>
          <w:rFonts w:eastAsia="Times New Roman" w:cs="Times New Roman"/>
          <w:bCs/>
          <w:noProof/>
          <w:szCs w:val="26"/>
          <w:lang w:eastAsia="x-none"/>
        </w:rPr>
      </w:pPr>
      <w:r w:rsidRPr="003F2143">
        <w:rPr>
          <w:rFonts w:eastAsia="Times New Roman" w:cs="Times New Roman"/>
          <w:bCs/>
          <w:noProof/>
          <w:szCs w:val="26"/>
          <w:lang w:eastAsia="x-none"/>
        </w:rPr>
        <w:t xml:space="preserve">Termin rękojmi wynosi 24 miesiące. Bieg terminu rękojmi rozpoczyna się w dacie podpisania przez </w:t>
      </w:r>
      <w:r w:rsidRPr="003F2143">
        <w:rPr>
          <w:rFonts w:eastAsia="Times New Roman" w:cs="Times New Roman"/>
          <w:bCs/>
          <w:iCs/>
          <w:noProof/>
          <w:szCs w:val="26"/>
          <w:lang w:eastAsia="x-none"/>
        </w:rPr>
        <w:t>Zamawiającego</w:t>
      </w:r>
      <w:r w:rsidRPr="003F2143">
        <w:rPr>
          <w:rFonts w:eastAsia="Times New Roman" w:cs="Times New Roman"/>
          <w:bCs/>
          <w:noProof/>
          <w:szCs w:val="26"/>
          <w:lang w:eastAsia="x-none"/>
        </w:rPr>
        <w:t xml:space="preserve"> protokołu odbioru Przedmiotu Umowy. Zamawiający może dochodzić roszczeń z tytułu rękojmi za wady także po upływie terminu rękojmi, jeżeli zgłosi wadę przed upływem tego terminu.</w:t>
      </w:r>
    </w:p>
    <w:p w14:paraId="61698BC1" w14:textId="77777777" w:rsidR="003F2143" w:rsidRPr="003F2143" w:rsidRDefault="003F2143" w:rsidP="00C458C1">
      <w:pPr>
        <w:pStyle w:val="Akapitzlist"/>
        <w:widowControl w:val="0"/>
        <w:numPr>
          <w:ilvl w:val="0"/>
          <w:numId w:val="43"/>
        </w:numPr>
        <w:ind w:left="284" w:hanging="284"/>
        <w:contextualSpacing w:val="0"/>
        <w:outlineLvl w:val="1"/>
        <w:rPr>
          <w:rFonts w:eastAsia="Times New Roman" w:cs="Times New Roman"/>
          <w:bCs/>
          <w:iCs/>
          <w:noProof/>
          <w:szCs w:val="26"/>
          <w:lang w:eastAsia="x-none"/>
        </w:rPr>
      </w:pPr>
      <w:r w:rsidRPr="003F2143">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2923566A" w14:textId="6C347E8A" w:rsidR="003F2143" w:rsidRPr="00C458C1" w:rsidRDefault="003F2143" w:rsidP="00C458C1">
      <w:pPr>
        <w:pStyle w:val="Akapitzlist"/>
        <w:widowControl w:val="0"/>
        <w:numPr>
          <w:ilvl w:val="0"/>
          <w:numId w:val="43"/>
        </w:numPr>
        <w:ind w:left="284" w:hanging="284"/>
        <w:contextualSpacing w:val="0"/>
        <w:outlineLvl w:val="1"/>
        <w:rPr>
          <w:rFonts w:eastAsia="Times New Roman" w:cs="Times New Roman"/>
          <w:bCs/>
          <w:iCs/>
          <w:noProof/>
          <w:szCs w:val="26"/>
          <w:lang w:eastAsia="x-none"/>
        </w:rPr>
      </w:pPr>
      <w:r w:rsidRPr="00C458C1">
        <w:rPr>
          <w:rFonts w:eastAsia="Times New Roman" w:cs="Times New Roman"/>
          <w:bCs/>
          <w:iCs/>
          <w:noProof/>
          <w:szCs w:val="26"/>
          <w:lang w:eastAsia="x-none"/>
        </w:rPr>
        <w:t xml:space="preserve">Roszczenie o wymianę Przedmiotu Umowy na wolny od wad przedawnia się z upływem roku, licząc od dnia stwierdzenia wady. Zamawiający zawiadomi Wykonawcę o wadzie w formie elektronicznej </w:t>
      </w:r>
      <w:r w:rsidR="00C458C1">
        <w:rPr>
          <w:rFonts w:eastAsia="Times New Roman" w:cs="Times New Roman"/>
          <w:bCs/>
          <w:iCs/>
          <w:noProof/>
          <w:szCs w:val="26"/>
          <w:lang w:eastAsia="x-none"/>
        </w:rPr>
        <w:t xml:space="preserve">                    </w:t>
      </w:r>
      <w:r w:rsidRPr="00C458C1">
        <w:rPr>
          <w:rFonts w:eastAsia="Times New Roman" w:cs="Times New Roman"/>
          <w:bCs/>
          <w:iCs/>
          <w:noProof/>
          <w:szCs w:val="26"/>
          <w:lang w:eastAsia="x-none"/>
        </w:rPr>
        <w:t>(e-mail: ……</w:t>
      </w:r>
      <w:r w:rsidR="00C458C1">
        <w:rPr>
          <w:rFonts w:eastAsia="Times New Roman" w:cs="Times New Roman"/>
          <w:bCs/>
          <w:iCs/>
          <w:noProof/>
          <w:szCs w:val="26"/>
          <w:lang w:eastAsia="x-none"/>
        </w:rPr>
        <w:t>……………………..</w:t>
      </w:r>
      <w:r w:rsidRPr="00C458C1">
        <w:rPr>
          <w:rFonts w:eastAsia="Times New Roman" w:cs="Times New Roman"/>
          <w:bCs/>
          <w:iCs/>
          <w:noProof/>
          <w:szCs w:val="26"/>
          <w:lang w:eastAsia="x-none"/>
        </w:rPr>
        <w:t xml:space="preserve">… ) lub pisemnie na adres Wykonawcy. W sytuacjach niecierpiących zwłoki, </w:t>
      </w:r>
      <w:r w:rsidRPr="00C458C1">
        <w:rPr>
          <w:rFonts w:eastAsia="Times New Roman" w:cs="Times New Roman"/>
          <w:bCs/>
          <w:iCs/>
          <w:noProof/>
          <w:szCs w:val="26"/>
          <w:lang w:eastAsia="x-none"/>
        </w:rPr>
        <w:lastRenderedPageBreak/>
        <w:t>możliwe jest zawiadomienie Wykonawcy w formie telefonicznej – (tel. …………</w:t>
      </w:r>
      <w:r w:rsidR="00C458C1">
        <w:rPr>
          <w:rFonts w:eastAsia="Times New Roman" w:cs="Times New Roman"/>
          <w:bCs/>
          <w:iCs/>
          <w:noProof/>
          <w:szCs w:val="26"/>
          <w:lang w:eastAsia="x-none"/>
        </w:rPr>
        <w:t>…………………….</w:t>
      </w:r>
      <w:r w:rsidRPr="00C458C1">
        <w:rPr>
          <w:rFonts w:eastAsia="Times New Roman" w:cs="Times New Roman"/>
          <w:bCs/>
          <w:iCs/>
          <w:noProof/>
          <w:szCs w:val="26"/>
          <w:lang w:eastAsia="x-none"/>
        </w:rPr>
        <w:t>…….). Wymiana Przedmiotu Umowy odbywać się będzie w miejscu określonym zgodnie z § 6 ust. 8.</w:t>
      </w:r>
    </w:p>
    <w:p w14:paraId="4BB6D82E" w14:textId="77777777" w:rsidR="003F2143" w:rsidRPr="003F2143" w:rsidRDefault="003F2143" w:rsidP="00C458C1">
      <w:pPr>
        <w:pStyle w:val="Nagwek2"/>
        <w:keepNext w:val="0"/>
        <w:widowControl w:val="0"/>
        <w:numPr>
          <w:ilvl w:val="0"/>
          <w:numId w:val="44"/>
        </w:numPr>
        <w:spacing w:before="0" w:after="0" w:line="360" w:lineRule="auto"/>
        <w:ind w:left="284" w:hanging="284"/>
        <w:contextualSpacing w:val="0"/>
        <w:rPr>
          <w:iCs/>
          <w:lang w:eastAsia="x-none"/>
        </w:rPr>
      </w:pPr>
      <w:r w:rsidRPr="003F2143">
        <w:rPr>
          <w:iCs/>
          <w:lang w:eastAsia="x-none"/>
        </w:rPr>
        <w:t>Na podstawie przepisu art. 558 § 1 k.c. Strony rozszerzają odpowiedzialność Wykonawcy z tytułu rękojmi za wady przedmiotu Umowy. W przypadku wystąpienia wad przedmiotu Umowy, o których mowa w §6 ust. 2, wad  montażowych, Zamawiający</w:t>
      </w:r>
      <w:r w:rsidRPr="003F2143">
        <w:rPr>
          <w:b/>
          <w:iCs/>
          <w:lang w:eastAsia="x-none"/>
        </w:rPr>
        <w:t xml:space="preserve"> </w:t>
      </w:r>
      <w:r w:rsidRPr="003F2143">
        <w:rPr>
          <w:iCs/>
          <w:lang w:eastAsia="x-none"/>
        </w:rPr>
        <w:t>może wedle własnego uznania:</w:t>
      </w:r>
    </w:p>
    <w:p w14:paraId="7B9D5BEC" w14:textId="0BF6F754" w:rsidR="00764740" w:rsidRPr="00764740" w:rsidRDefault="003F2143" w:rsidP="00764740">
      <w:pPr>
        <w:pStyle w:val="Akapitzlist"/>
        <w:numPr>
          <w:ilvl w:val="0"/>
          <w:numId w:val="42"/>
        </w:numPr>
        <w:ind w:left="567" w:hanging="283"/>
        <w:rPr>
          <w:bCs/>
          <w:lang w:eastAsia="x-none"/>
        </w:rPr>
      </w:pPr>
      <w:r w:rsidRPr="003F2143">
        <w:rPr>
          <w:rFonts w:eastAsia="Times New Roman" w:cs="Times New Roman"/>
          <w:bCs/>
          <w:szCs w:val="26"/>
          <w:lang w:eastAsia="x-none"/>
        </w:rPr>
        <w:t>żądać od Wykonawcy</w:t>
      </w:r>
      <w:r w:rsidRPr="003F2143">
        <w:rPr>
          <w:rFonts w:eastAsia="Times New Roman" w:cs="Times New Roman"/>
          <w:b/>
          <w:bCs/>
          <w:szCs w:val="26"/>
          <w:lang w:eastAsia="x-none"/>
        </w:rPr>
        <w:t xml:space="preserve"> </w:t>
      </w:r>
      <w:r w:rsidRPr="003F2143">
        <w:rPr>
          <w:rFonts w:eastAsia="Times New Roman" w:cs="Times New Roman"/>
          <w:bCs/>
          <w:szCs w:val="26"/>
          <w:lang w:eastAsia="x-none"/>
        </w:rPr>
        <w:t xml:space="preserve">bezpłatnego usunięcia wad w drodze wymiany Materiałów na wolne od wad </w:t>
      </w:r>
      <w:r w:rsidR="00764740" w:rsidRPr="00764740">
        <w:rPr>
          <w:bCs/>
          <w:lang w:eastAsia="x-none"/>
        </w:rPr>
        <w:t>w terminie zgodnym z ust. 9;</w:t>
      </w:r>
      <w:r w:rsidR="00764740" w:rsidRPr="00764740">
        <w:t xml:space="preserve"> </w:t>
      </w:r>
      <w:r w:rsidR="00764740" w:rsidRPr="00764740">
        <w:rPr>
          <w:bCs/>
          <w:lang w:eastAsia="x-none"/>
        </w:rPr>
        <w:t>, w przypadku gdy dostarczone Materiały posiadają wady zmniejszające ich wartość lub użyteczność ze względu na cel w umowie oznaczony lub powodujące obniżenie jakości i wydajności, lub odbiegają od parametrów Materiałów oryginalnych (pochodzących od producenta urządzenia, od którego Materiały są nabywane), lub jeśli Materiały nie sygnalizują we właściwy sposób stanu ich zużycia oraz daty poprawnej eksploatacji;</w:t>
      </w:r>
    </w:p>
    <w:p w14:paraId="774D339B" w14:textId="77777777" w:rsidR="003F2143" w:rsidRPr="003F2143" w:rsidRDefault="003F2143" w:rsidP="003F2143">
      <w:pPr>
        <w:pStyle w:val="Akapitzlist"/>
        <w:numPr>
          <w:ilvl w:val="0"/>
          <w:numId w:val="42"/>
        </w:numPr>
        <w:ind w:left="567" w:hanging="283"/>
        <w:outlineLvl w:val="2"/>
        <w:rPr>
          <w:rFonts w:eastAsia="Times New Roman" w:cs="Times New Roman"/>
          <w:bCs/>
          <w:szCs w:val="26"/>
          <w:lang w:eastAsia="x-none"/>
        </w:rPr>
      </w:pPr>
      <w:r w:rsidRPr="003F2143">
        <w:rPr>
          <w:rFonts w:eastAsia="Times New Roman" w:cs="Times New Roman"/>
          <w:bCs/>
          <w:szCs w:val="26"/>
          <w:lang w:eastAsia="x-none"/>
        </w:rPr>
        <w:t>zlecić usunięcie ujawnionych wad w drodze wymiany,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lub wymiany w terminie 14 dni od daty otrzymania wezwania Zamawiającego z załączonym dowodem zapłaty;</w:t>
      </w:r>
    </w:p>
    <w:p w14:paraId="67C1CAE0" w14:textId="66FCAA91" w:rsidR="003F2143" w:rsidRPr="003F2143" w:rsidRDefault="003F2143" w:rsidP="003F2143">
      <w:pPr>
        <w:pStyle w:val="Akapitzlist"/>
        <w:numPr>
          <w:ilvl w:val="0"/>
          <w:numId w:val="42"/>
        </w:numPr>
        <w:ind w:left="567" w:hanging="283"/>
        <w:outlineLvl w:val="2"/>
        <w:rPr>
          <w:rFonts w:eastAsia="Times New Roman" w:cs="Times New Roman"/>
          <w:bCs/>
          <w:szCs w:val="26"/>
          <w:lang w:eastAsia="x-none"/>
        </w:rPr>
      </w:pPr>
      <w:r w:rsidRPr="003F2143">
        <w:rPr>
          <w:rFonts w:eastAsia="Times New Roman" w:cs="Times New Roman"/>
          <w:bCs/>
          <w:szCs w:val="26"/>
          <w:lang w:eastAsia="x-none"/>
        </w:rPr>
        <w:t xml:space="preserve">żądać obniżenia wynagrodzenia Wykonawcy w takim stosunku, w jakim wartość </w:t>
      </w:r>
      <w:r w:rsidR="00B07845">
        <w:rPr>
          <w:rFonts w:eastAsia="Times New Roman" w:cs="Times New Roman"/>
          <w:bCs/>
          <w:szCs w:val="26"/>
          <w:lang w:eastAsia="x-none"/>
        </w:rPr>
        <w:t>materiału</w:t>
      </w:r>
      <w:r w:rsidRPr="003F2143">
        <w:rPr>
          <w:rFonts w:eastAsia="Times New Roman" w:cs="Times New Roman"/>
          <w:bCs/>
          <w:szCs w:val="26"/>
          <w:lang w:eastAsia="x-none"/>
        </w:rPr>
        <w:t xml:space="preserve"> wolnego od wad pozostaje do jego wartości obliczonej z uwzględnieniem ujawnionych wad – w przypadku, gdy ujawnione wady umożliwiają użytkowanie Materiałów, natomiast nie nadają się do usunięcia</w:t>
      </w:r>
      <w:r w:rsidR="00A60F4E">
        <w:rPr>
          <w:rFonts w:eastAsia="Times New Roman" w:cs="Times New Roman"/>
          <w:bCs/>
          <w:szCs w:val="26"/>
          <w:lang w:eastAsia="x-none"/>
        </w:rPr>
        <w:t>;</w:t>
      </w:r>
    </w:p>
    <w:p w14:paraId="28FC20D0" w14:textId="7175E224" w:rsidR="003F2143" w:rsidRPr="00B07845" w:rsidRDefault="003F2143" w:rsidP="00B07845">
      <w:pPr>
        <w:pStyle w:val="Akapitzlist"/>
        <w:numPr>
          <w:ilvl w:val="0"/>
          <w:numId w:val="42"/>
        </w:numPr>
        <w:ind w:left="567" w:hanging="283"/>
        <w:outlineLvl w:val="2"/>
        <w:rPr>
          <w:rFonts w:eastAsia="Times New Roman" w:cs="Times New Roman"/>
          <w:bCs/>
          <w:szCs w:val="26"/>
          <w:lang w:eastAsia="x-none"/>
        </w:rPr>
      </w:pPr>
      <w:r w:rsidRPr="003F2143">
        <w:rPr>
          <w:rFonts w:eastAsia="Times New Roman" w:cs="Times New Roman"/>
          <w:bCs/>
          <w:szCs w:val="26"/>
          <w:lang w:eastAsia="x-none"/>
        </w:rPr>
        <w:t>odstąpić od Umowy, jeżeli ujawnione wady nie zostaną usunięte albo uniemożliwiają użytkowanie Materiałów i nie nadają się do usunięcia.</w:t>
      </w:r>
    </w:p>
    <w:p w14:paraId="20F1E810" w14:textId="77777777" w:rsidR="003F2143" w:rsidRPr="003F2143" w:rsidRDefault="003F2143" w:rsidP="003F2143">
      <w:pPr>
        <w:numPr>
          <w:ilvl w:val="0"/>
          <w:numId w:val="2"/>
        </w:numPr>
        <w:spacing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Wykonawca jest zobowiązany do informowania Zamawiającego o przystąpieniu do usuwania wad. Usunięcie wady zostanie stwierdzone protokolarnie, po uprzednim zawiadomieniu przez Wykonawcę Zamawiającego o jej usunięciu.</w:t>
      </w:r>
    </w:p>
    <w:p w14:paraId="7B608480" w14:textId="3B515017" w:rsidR="003F2143" w:rsidRPr="00B07845" w:rsidRDefault="003F2143" w:rsidP="00B07845">
      <w:pPr>
        <w:numPr>
          <w:ilvl w:val="0"/>
          <w:numId w:val="2"/>
        </w:numPr>
        <w:ind w:left="284" w:hanging="284"/>
        <w:outlineLvl w:val="1"/>
        <w:rPr>
          <w:rFonts w:eastAsia="Times New Roman" w:cs="Times New Roman"/>
          <w:bCs/>
          <w:noProof/>
          <w:szCs w:val="26"/>
          <w:lang w:eastAsia="x-none"/>
        </w:rPr>
      </w:pPr>
      <w:r w:rsidRPr="003F2143">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2734EDAF" w14:textId="548A3CA6" w:rsidR="00B07845" w:rsidRDefault="00B07845" w:rsidP="00B07845">
      <w:pPr>
        <w:pStyle w:val="Nagwek2"/>
        <w:spacing w:before="0" w:after="0" w:line="360" w:lineRule="auto"/>
        <w:ind w:left="284" w:hanging="284"/>
        <w:contextualSpacing w:val="0"/>
        <w:rPr>
          <w:lang w:eastAsia="x-none"/>
        </w:rPr>
      </w:pPr>
      <w:bookmarkStart w:id="5" w:name="_Hlk161313976"/>
      <w:r w:rsidRPr="00B07845">
        <w:rPr>
          <w:lang w:eastAsia="x-none"/>
        </w:rPr>
        <w:t xml:space="preserve">Wykonawca wymieni w terminie 3 dni od daty zgłoszenia żądania </w:t>
      </w:r>
      <w:r w:rsidR="00E66882">
        <w:rPr>
          <w:lang w:eastAsia="x-none"/>
        </w:rPr>
        <w:t>materiał</w:t>
      </w:r>
      <w:r w:rsidRPr="00B07845">
        <w:rPr>
          <w:lang w:eastAsia="x-none"/>
        </w:rPr>
        <w:t xml:space="preserve"> na nowy, spełniający wymagania opisane w dokumentacji, o której mowa w §1 ust. 1 umowy, w przypadku gdy dostarczony </w:t>
      </w:r>
      <w:r>
        <w:rPr>
          <w:lang w:eastAsia="x-none"/>
        </w:rPr>
        <w:t>material</w:t>
      </w:r>
      <w:r w:rsidRPr="00B07845">
        <w:rPr>
          <w:lang w:eastAsia="x-none"/>
        </w:rPr>
        <w:t xml:space="preserve"> posiada wady zmniejszające jego wartość lub użyteczność ze względu na cel w umowie oznaczony lub powodujące obniżenie jakości i wydajności. Z czynności odbioru zostanie spisany protokół. Postanowienia §3 dotyczące zawiadomienia o terminie dostarczenia </w:t>
      </w:r>
      <w:r>
        <w:rPr>
          <w:lang w:eastAsia="x-none"/>
        </w:rPr>
        <w:t xml:space="preserve">materiałów </w:t>
      </w:r>
      <w:r w:rsidRPr="00B07845">
        <w:rPr>
          <w:lang w:eastAsia="x-none"/>
        </w:rPr>
        <w:t>oraz § 4 dotyczące Protokołu Odbioru stosuje się odpowiednio.</w:t>
      </w:r>
    </w:p>
    <w:bookmarkEnd w:id="5"/>
    <w:p w14:paraId="5B8BE464" w14:textId="467E84E7" w:rsidR="00B07845" w:rsidRPr="00B07845" w:rsidRDefault="00B07845" w:rsidP="00EA7362">
      <w:pPr>
        <w:pStyle w:val="Nagwek2"/>
        <w:ind w:left="284" w:hanging="284"/>
      </w:pPr>
      <w:r w:rsidRPr="00B07845">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w:t>
      </w:r>
    </w:p>
    <w:p w14:paraId="40C828C6" w14:textId="4508B1FE" w:rsidR="003F2143" w:rsidRPr="003F2143" w:rsidRDefault="003F2143" w:rsidP="00EA7362">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Wykonawca ponosi odpowiedzialność za uszkodzenia urządzeń Zamawiającego spowodowane używaniem zaoferowanych przez Wykonawcę Materiałów. Wykonawca, z zastrzeżeniem ust. 1</w:t>
      </w:r>
      <w:r w:rsidR="00EA7362">
        <w:rPr>
          <w:rFonts w:eastAsia="Times New Roman" w:cs="Times New Roman"/>
          <w:bCs/>
          <w:noProof/>
          <w:szCs w:val="26"/>
          <w:lang w:eastAsia="x-none"/>
        </w:rPr>
        <w:t>2</w:t>
      </w:r>
      <w:r w:rsidRPr="003F2143">
        <w:rPr>
          <w:rFonts w:eastAsia="Times New Roman" w:cs="Times New Roman"/>
          <w:bCs/>
          <w:noProof/>
          <w:szCs w:val="26"/>
          <w:lang w:eastAsia="x-none"/>
        </w:rPr>
        <w:t xml:space="preserve">, zobowiązany jest na swój koszt i ryzyko odebrać urządzenie od Zamawiającego, dokonać jego naprawy </w:t>
      </w:r>
      <w:r w:rsidRPr="003F2143">
        <w:rPr>
          <w:rFonts w:eastAsia="Times New Roman" w:cs="Times New Roman"/>
          <w:bCs/>
          <w:noProof/>
          <w:szCs w:val="26"/>
          <w:lang w:eastAsia="x-none"/>
        </w:rPr>
        <w:lastRenderedPageBreak/>
        <w:t xml:space="preserve">w autoryzowanym serwisie oraz dostarczyć naprawione urządzenie do siedziby Zamawiającego, przedkładając Zamawiającemu raport napraw dokonanych przez autoryzowany serwis urządzenia. W sytuacji, gdy uszkodzone urządzenie posiada gwarancję producenta, dokonane naprawy nie mogą powodować utraty przedmiotowej gwarancji. </w:t>
      </w:r>
    </w:p>
    <w:p w14:paraId="59D0FA96" w14:textId="77777777" w:rsidR="003F2143" w:rsidRPr="003F2143" w:rsidRDefault="003F2143" w:rsidP="003F2143">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 xml:space="preserve">W </w:t>
      </w:r>
      <w:r w:rsidRPr="003F2143">
        <w:rPr>
          <w:szCs w:val="20"/>
        </w:rPr>
        <w:t>sytuacji, gdy Wykonawca uzna, iż uszkodzenie urządzenia nie nastąpiło z winy dostarczonych przez niego materiałów eksploatacyjnych, zobowiązany jest on do sporządzenia i przekazania Zamawiającemu w formie pisemnej uzasadnienia (ekspertyzy) dotyczącego uszkodzenia, w terminie do 3 dni roboczych od daty zgłoszenia żądania</w:t>
      </w:r>
      <w:r w:rsidRPr="003F2143">
        <w:rPr>
          <w:rFonts w:eastAsia="Times New Roman" w:cs="Times New Roman"/>
          <w:bCs/>
          <w:noProof/>
          <w:szCs w:val="26"/>
          <w:lang w:eastAsia="x-none"/>
        </w:rPr>
        <w:t xml:space="preserve">. </w:t>
      </w:r>
    </w:p>
    <w:p w14:paraId="412A3159" w14:textId="77777777" w:rsidR="003F2143" w:rsidRPr="003F2143" w:rsidRDefault="003F2143" w:rsidP="003F2143">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szCs w:val="20"/>
        </w:rPr>
        <w:t>W sytuacji spornej co do przyczyny uszkodzenia urządzenia, Zamawiający ma prawo zwrócić się do autoryzowanego serwisu urządzenia o sporządzenie ekspertyzy dotyczącej przyczyn uszkodzenia urządzenia, celem zweryfikowania stanu faktycznego, a w przypadku uzyskania z autoryzowanego serwisu producenta drukarki ekspertyzy potwierdzającej, iż uszkodzenie urządzenia nastąpiło z winy zainstalowanych materiałów eksploatacyjnych (dostarczonych przez Wykonawcę), Zamawiający</w:t>
      </w:r>
      <w:r w:rsidRPr="003F2143">
        <w:rPr>
          <w:rFonts w:eastAsia="Times New Roman" w:cs="Times New Roman"/>
          <w:bCs/>
          <w:noProof/>
          <w:szCs w:val="26"/>
          <w:lang w:eastAsia="x-none"/>
        </w:rPr>
        <w:t xml:space="preserve">: </w:t>
      </w:r>
    </w:p>
    <w:p w14:paraId="0AB3E98B" w14:textId="77777777" w:rsidR="003F2143" w:rsidRPr="003F2143" w:rsidRDefault="003F2143" w:rsidP="00FB4E8F">
      <w:pPr>
        <w:numPr>
          <w:ilvl w:val="0"/>
          <w:numId w:val="38"/>
        </w:numPr>
        <w:autoSpaceDE w:val="0"/>
        <w:autoSpaceDN w:val="0"/>
        <w:adjustRightInd w:val="0"/>
        <w:ind w:left="567" w:hanging="283"/>
        <w:rPr>
          <w:rFonts w:eastAsia="Times New Roman" w:cs="Calibri"/>
          <w:szCs w:val="20"/>
        </w:rPr>
      </w:pPr>
      <w:r w:rsidRPr="003F2143">
        <w:rPr>
          <w:rFonts w:eastAsia="Times New Roman" w:cs="Calibri"/>
          <w:szCs w:val="20"/>
        </w:rPr>
        <w:t xml:space="preserve">powiadomi Wykonawcę o przyczynach uszkodzenia urządzenia, </w:t>
      </w:r>
    </w:p>
    <w:p w14:paraId="3313348A" w14:textId="77777777" w:rsidR="003F2143" w:rsidRPr="003F2143" w:rsidRDefault="003F2143" w:rsidP="00FB4E8F">
      <w:pPr>
        <w:numPr>
          <w:ilvl w:val="0"/>
          <w:numId w:val="38"/>
        </w:numPr>
        <w:autoSpaceDE w:val="0"/>
        <w:autoSpaceDN w:val="0"/>
        <w:adjustRightInd w:val="0"/>
        <w:ind w:left="567" w:hanging="283"/>
        <w:rPr>
          <w:rFonts w:eastAsia="Times New Roman" w:cs="Calibri"/>
          <w:szCs w:val="20"/>
        </w:rPr>
      </w:pPr>
      <w:r w:rsidRPr="003F2143">
        <w:rPr>
          <w:rFonts w:eastAsia="Times New Roman" w:cs="Calibri"/>
          <w:szCs w:val="20"/>
        </w:rPr>
        <w:t xml:space="preserve">obciąży Wykonawcę kosztami sporządzenia ekspertyzy technicznej przez autoryzowany serwis producenta uszkodzonego urządzenia, </w:t>
      </w:r>
    </w:p>
    <w:p w14:paraId="02D37112" w14:textId="77777777" w:rsidR="003F2143" w:rsidRPr="003F2143" w:rsidRDefault="003F2143" w:rsidP="00FB4E8F">
      <w:pPr>
        <w:numPr>
          <w:ilvl w:val="0"/>
          <w:numId w:val="38"/>
        </w:numPr>
        <w:autoSpaceDE w:val="0"/>
        <w:autoSpaceDN w:val="0"/>
        <w:adjustRightInd w:val="0"/>
        <w:ind w:left="567" w:hanging="283"/>
        <w:rPr>
          <w:rFonts w:eastAsia="Times New Roman" w:cs="Calibri"/>
          <w:szCs w:val="20"/>
        </w:rPr>
      </w:pPr>
      <w:r w:rsidRPr="003F2143">
        <w:rPr>
          <w:rFonts w:eastAsia="Times New Roman" w:cs="Calibri"/>
          <w:szCs w:val="20"/>
        </w:rPr>
        <w:t>obciąży Wykonawcę kosztami naprawy urządzenia drukującego, lub w sytuacji braku możliwości jego naprawy – kosztami nowego urządzenia o nie gorszych parametrach technicznych,</w:t>
      </w:r>
    </w:p>
    <w:p w14:paraId="04A57857" w14:textId="77777777" w:rsidR="003F2143" w:rsidRPr="003F2143" w:rsidRDefault="003F2143" w:rsidP="003F2143">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W sytuacji uzyskania przez Zamawiającego ekspertyzy z autoryzowanego serwisu potwierdzającego uszkodzenie urządzenia ze względu na zastosowane wadliwe Materiały eksploatacyjne, Wykonawca poza czynnościami, o których mowa w ust. 11,  dokona wymiany wadliwego Materiału na Materiał nowy, wolny od wad.</w:t>
      </w:r>
    </w:p>
    <w:p w14:paraId="5B0648F2" w14:textId="77777777" w:rsidR="003F2143" w:rsidRPr="003F2143" w:rsidRDefault="003F2143" w:rsidP="003F2143">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 xml:space="preserve">W przypadku konieczności dokonania naprawy urządzenia drukującego z winy wadliwych Materiałów eksploatacyjnych, trwającej dłużej niż 7 dni od daty wydania ekspertyzy przez autoryzowany serwis, Wykonawca zobowiązany jest do zapewnienia, na okres naprawy, urządzenia zastępczego o nie gorszych parametrach technicznych, nie później, niż w następnym dniu roboczym od dnia zawiadomienia Wykonawcy o tym fakcie. </w:t>
      </w:r>
    </w:p>
    <w:p w14:paraId="1B29443F" w14:textId="60D4E5C7" w:rsidR="003F2143" w:rsidRDefault="003F2143" w:rsidP="003F2143">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3F2143">
        <w:rPr>
          <w:rFonts w:eastAsia="Times New Roman" w:cs="Times New Roman"/>
          <w:bCs/>
          <w:noProof/>
          <w:szCs w:val="26"/>
          <w:lang w:eastAsia="x-none"/>
        </w:rPr>
        <w:t>W zakresie ewentualnych należności wynikających z konieczności naprawy urządzenia wskutek zastosowanych wadliwych Materiałów eksploatacyjnych, zgodnie z ust. 11 pkt 3) umowy, Zamawiający wystawi notę obciążeniową. Wykonawca zapłaci należność na rachunek bankowy Zamawiającego wskazany w nocie obciążeniowej, w terminie 14 dni od daty jej wystawienia.</w:t>
      </w:r>
    </w:p>
    <w:p w14:paraId="61CE2294" w14:textId="77777777" w:rsidR="0075719A" w:rsidRDefault="0075719A" w:rsidP="002E468E">
      <w:pPr>
        <w:widowControl w:val="0"/>
        <w:ind w:left="0" w:firstLine="0"/>
        <w:jc w:val="center"/>
        <w:outlineLvl w:val="4"/>
        <w:rPr>
          <w:b/>
          <w:bCs/>
          <w:sz w:val="22"/>
          <w:szCs w:val="20"/>
        </w:rPr>
      </w:pPr>
    </w:p>
    <w:p w14:paraId="04FAEB70" w14:textId="2926E1C2" w:rsidR="00183235" w:rsidRPr="009C2EAC" w:rsidRDefault="009C2EAC" w:rsidP="002E468E">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2E468E">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565694">
      <w:pPr>
        <w:pStyle w:val="Nagwek2"/>
        <w:keepNext w:val="0"/>
        <w:widowControl w:val="0"/>
        <w:numPr>
          <w:ilvl w:val="0"/>
          <w:numId w:val="13"/>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485B0D14" w:rsidR="009C2EAC" w:rsidRDefault="009C2EAC" w:rsidP="002E468E">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ED69AEF" w14:textId="52F70757" w:rsidR="002E468E" w:rsidRPr="00FB2DE2" w:rsidRDefault="002E468E" w:rsidP="00FB2DE2">
      <w:pPr>
        <w:pStyle w:val="Akapitzlist"/>
        <w:widowControl w:val="0"/>
        <w:numPr>
          <w:ilvl w:val="0"/>
          <w:numId w:val="46"/>
        </w:numPr>
        <w:ind w:left="567" w:hanging="283"/>
        <w:outlineLvl w:val="1"/>
        <w:rPr>
          <w:rFonts w:eastAsia="Times New Roman" w:cs="Times New Roman"/>
          <w:bCs/>
          <w:noProof/>
          <w:szCs w:val="26"/>
        </w:rPr>
      </w:pPr>
      <w:r w:rsidRPr="00B85E20">
        <w:rPr>
          <w:rFonts w:eastAsia="Times New Roman" w:cs="Times New Roman"/>
          <w:b/>
          <w:bCs/>
          <w:noProof/>
          <w:szCs w:val="26"/>
        </w:rPr>
        <w:t>za każdy rozpoczęty dzień zwłoki</w:t>
      </w:r>
      <w:r w:rsidRPr="00FB2DE2">
        <w:rPr>
          <w:rFonts w:eastAsia="Times New Roman" w:cs="Times New Roman"/>
          <w:bCs/>
          <w:noProof/>
          <w:szCs w:val="26"/>
        </w:rPr>
        <w:t xml:space="preserve"> </w:t>
      </w:r>
      <w:r w:rsidRPr="00B85E20">
        <w:rPr>
          <w:rFonts w:eastAsia="Times New Roman" w:cs="Times New Roman"/>
          <w:b/>
          <w:bCs/>
          <w:noProof/>
          <w:szCs w:val="26"/>
        </w:rPr>
        <w:t>w dostarczeniu Materiałów</w:t>
      </w:r>
      <w:r w:rsidRPr="00FB2DE2">
        <w:rPr>
          <w:rFonts w:eastAsia="Times New Roman" w:cs="Times New Roman"/>
          <w:bCs/>
          <w:noProof/>
          <w:szCs w:val="26"/>
        </w:rPr>
        <w:t xml:space="preserve"> objętych zamówieniem w wysokości 3% wartości brutto, których dotyczy zwłoka,</w:t>
      </w:r>
    </w:p>
    <w:p w14:paraId="2A027ACC" w14:textId="3173B9D7" w:rsidR="002E468E" w:rsidRPr="00FB2DE2" w:rsidRDefault="002E468E" w:rsidP="00FB2DE2">
      <w:pPr>
        <w:pStyle w:val="Akapitzlist"/>
        <w:widowControl w:val="0"/>
        <w:numPr>
          <w:ilvl w:val="0"/>
          <w:numId w:val="46"/>
        </w:numPr>
        <w:ind w:left="567" w:hanging="283"/>
        <w:outlineLvl w:val="1"/>
        <w:rPr>
          <w:rFonts w:eastAsia="Times New Roman" w:cs="Times New Roman"/>
          <w:bCs/>
          <w:noProof/>
          <w:szCs w:val="26"/>
        </w:rPr>
      </w:pPr>
      <w:r w:rsidRPr="00B85E20">
        <w:rPr>
          <w:rFonts w:eastAsia="Times New Roman" w:cs="Times New Roman"/>
          <w:b/>
          <w:bCs/>
          <w:noProof/>
          <w:szCs w:val="26"/>
        </w:rPr>
        <w:t>za każdy rozpoczęty dzień zwłoki w usunięciu wad Materiałów</w:t>
      </w:r>
      <w:r w:rsidRPr="00FB2DE2">
        <w:rPr>
          <w:rFonts w:eastAsia="Times New Roman" w:cs="Times New Roman"/>
          <w:bCs/>
          <w:noProof/>
          <w:szCs w:val="26"/>
        </w:rPr>
        <w:t xml:space="preserve">, w drodze wymiany, ujawnionych </w:t>
      </w:r>
      <w:r w:rsidR="00FB2DE2">
        <w:rPr>
          <w:rFonts w:eastAsia="Times New Roman" w:cs="Times New Roman"/>
          <w:bCs/>
          <w:noProof/>
          <w:szCs w:val="26"/>
        </w:rPr>
        <w:t xml:space="preserve">                   </w:t>
      </w:r>
      <w:r w:rsidRPr="00FB2DE2">
        <w:rPr>
          <w:rFonts w:eastAsia="Times New Roman" w:cs="Times New Roman"/>
          <w:bCs/>
          <w:noProof/>
          <w:szCs w:val="26"/>
        </w:rPr>
        <w:t>w okresie gwarancji lub rękojmi, w tym z tytułu zwłoki w reakcji serwisu - w wysokości 3% wartości brutto partii, której dotyczy zwłoka,</w:t>
      </w:r>
    </w:p>
    <w:p w14:paraId="3C2DB1E3" w14:textId="304BD3AF" w:rsidR="002E468E" w:rsidRPr="00FB2DE2" w:rsidRDefault="002E468E" w:rsidP="00FB2DE2">
      <w:pPr>
        <w:pStyle w:val="Akapitzlist"/>
        <w:widowControl w:val="0"/>
        <w:numPr>
          <w:ilvl w:val="0"/>
          <w:numId w:val="46"/>
        </w:numPr>
        <w:ind w:left="567" w:hanging="283"/>
        <w:outlineLvl w:val="1"/>
        <w:rPr>
          <w:rFonts w:eastAsia="Times New Roman" w:cs="Times New Roman"/>
          <w:bCs/>
          <w:noProof/>
          <w:szCs w:val="26"/>
        </w:rPr>
      </w:pPr>
      <w:r w:rsidRPr="00B85E20">
        <w:rPr>
          <w:rFonts w:eastAsia="Times New Roman" w:cs="Times New Roman"/>
          <w:b/>
          <w:bCs/>
          <w:noProof/>
          <w:szCs w:val="26"/>
        </w:rPr>
        <w:lastRenderedPageBreak/>
        <w:t>z tytułu niewykonania lub nienależytego wykonania świadczenia</w:t>
      </w:r>
      <w:r w:rsidRPr="00FB2DE2">
        <w:rPr>
          <w:rFonts w:eastAsia="Times New Roman" w:cs="Times New Roman"/>
          <w:bCs/>
          <w:noProof/>
          <w:szCs w:val="26"/>
        </w:rPr>
        <w:t xml:space="preserve"> dotyczącego danej partii Materiałów objętych zamówieniem, do którego był zobowiązany, z wyjątkiem przypadków, o których mowa w pkt 1 i 2  – w wysokości 5 % wartości brutto tej partii objętych zamówieniem,</w:t>
      </w:r>
    </w:p>
    <w:p w14:paraId="400E19C5" w14:textId="3A0D9F1B" w:rsidR="002E468E" w:rsidRDefault="002E468E" w:rsidP="00FB2DE2">
      <w:pPr>
        <w:pStyle w:val="Akapitzlist"/>
        <w:widowControl w:val="0"/>
        <w:numPr>
          <w:ilvl w:val="0"/>
          <w:numId w:val="46"/>
        </w:numPr>
        <w:ind w:left="567" w:hanging="283"/>
        <w:outlineLvl w:val="1"/>
        <w:rPr>
          <w:rFonts w:eastAsia="Times New Roman" w:cs="Times New Roman"/>
          <w:bCs/>
          <w:noProof/>
          <w:szCs w:val="26"/>
        </w:rPr>
      </w:pPr>
      <w:r w:rsidRPr="00B85E20">
        <w:rPr>
          <w:rFonts w:eastAsia="Times New Roman" w:cs="Times New Roman"/>
          <w:b/>
          <w:bCs/>
          <w:noProof/>
          <w:szCs w:val="26"/>
        </w:rPr>
        <w:t>z tytułu odstąpienia od Umowy</w:t>
      </w:r>
      <w:r w:rsidRPr="00FB2DE2">
        <w:rPr>
          <w:rFonts w:eastAsia="Times New Roman" w:cs="Times New Roman"/>
          <w:bCs/>
          <w:noProof/>
          <w:szCs w:val="26"/>
        </w:rPr>
        <w:t xml:space="preserve"> przez Zamawiającego lub Wykonawcę, z przyczyn za które odpowiada Wykonawca – w wysokości 1</w:t>
      </w:r>
      <w:r w:rsidR="00E10CF3">
        <w:rPr>
          <w:rFonts w:eastAsia="Times New Roman" w:cs="Times New Roman"/>
          <w:bCs/>
          <w:noProof/>
          <w:szCs w:val="26"/>
        </w:rPr>
        <w:t>0</w:t>
      </w:r>
      <w:r w:rsidRPr="00FB2DE2">
        <w:rPr>
          <w:rFonts w:eastAsia="Times New Roman" w:cs="Times New Roman"/>
          <w:bCs/>
          <w:noProof/>
          <w:szCs w:val="26"/>
        </w:rPr>
        <w:t>% wartości Umowy, o której mowa w § 5 ust. 1 Umowy,</w:t>
      </w:r>
    </w:p>
    <w:p w14:paraId="77FF7F44" w14:textId="184B1F0F" w:rsidR="002E468E" w:rsidRDefault="002E468E" w:rsidP="00FB2DE2">
      <w:pPr>
        <w:pStyle w:val="Akapitzlist"/>
        <w:widowControl w:val="0"/>
        <w:numPr>
          <w:ilvl w:val="0"/>
          <w:numId w:val="46"/>
        </w:numPr>
        <w:ind w:left="567" w:hanging="283"/>
        <w:outlineLvl w:val="1"/>
        <w:rPr>
          <w:rFonts w:eastAsia="Times New Roman" w:cs="Times New Roman"/>
          <w:bCs/>
          <w:noProof/>
          <w:szCs w:val="26"/>
        </w:rPr>
      </w:pPr>
      <w:r w:rsidRPr="00B85E20">
        <w:rPr>
          <w:rFonts w:eastAsia="Times New Roman" w:cs="Times New Roman"/>
          <w:b/>
          <w:bCs/>
          <w:noProof/>
          <w:szCs w:val="26"/>
        </w:rPr>
        <w:t>za brak zapłaty lub nieterminową zapłatę wynagrodzenia</w:t>
      </w:r>
      <w:r w:rsidRPr="00FB2DE2">
        <w:rPr>
          <w:rFonts w:eastAsia="Times New Roman" w:cs="Times New Roman"/>
          <w:bCs/>
          <w:noProof/>
          <w:szCs w:val="26"/>
        </w:rPr>
        <w:t xml:space="preserve"> należnego podwykonawcy z tytułu zmiany wysokości wynagrodzenia, o której mowa w § 11 – w wysokości 10% wartości Umowy, o której mowa w § 5 ust. 1 Umowy  .</w:t>
      </w:r>
    </w:p>
    <w:p w14:paraId="68E97BC8" w14:textId="1B6BC680"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wynosi </w:t>
      </w:r>
      <w:r w:rsidR="002E468E">
        <w:rPr>
          <w:rFonts w:eastAsia="Times New Roman" w:cs="Times New Roman"/>
          <w:bCs/>
          <w:noProof/>
          <w:szCs w:val="26"/>
        </w:rPr>
        <w:t>20</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6"/>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5D7592">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565694">
      <w:pPr>
        <w:pStyle w:val="Nagwek2"/>
        <w:keepNext w:val="0"/>
        <w:widowControl w:val="0"/>
        <w:numPr>
          <w:ilvl w:val="0"/>
          <w:numId w:val="14"/>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565694">
      <w:pPr>
        <w:pStyle w:val="Nagwek3"/>
        <w:widowControl w:val="0"/>
        <w:numPr>
          <w:ilvl w:val="0"/>
          <w:numId w:val="15"/>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565694">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565694">
      <w:pPr>
        <w:pStyle w:val="Nagwek2"/>
        <w:keepNext w:val="0"/>
        <w:widowControl w:val="0"/>
        <w:numPr>
          <w:ilvl w:val="0"/>
          <w:numId w:val="16"/>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565694">
      <w:pPr>
        <w:pStyle w:val="Nagwek3"/>
        <w:widowControl w:val="0"/>
        <w:numPr>
          <w:ilvl w:val="0"/>
          <w:numId w:val="17"/>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lastRenderedPageBreak/>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0863D603" w14:textId="01BB424B" w:rsidR="00E527E5" w:rsidRPr="00E527E5" w:rsidRDefault="00E527E5" w:rsidP="00FB2DE2">
      <w:pPr>
        <w:pStyle w:val="Nagwek3"/>
        <w:widowControl w:val="0"/>
        <w:ind w:left="567" w:hanging="284"/>
        <w:contextualSpacing w:val="0"/>
      </w:pPr>
      <w:r w:rsidRPr="00E527E5">
        <w:t>w sytuacji zmiany Materiału,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materiałów o parametrach technicznych lub funkcjonalnych nie gorszych niż wskazane w pierwotnej ofercie Wykonawcy;</w:t>
      </w:r>
    </w:p>
    <w:p w14:paraId="5CF6893B" w14:textId="54277296"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5A35CD23" w:rsidR="009C2EAC" w:rsidRDefault="009C2EAC" w:rsidP="00FB2DE2">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5D0BB057" w14:textId="2D6ED1C7" w:rsidR="00E527E5" w:rsidRPr="00E527E5" w:rsidRDefault="00E527E5" w:rsidP="00FB2DE2">
      <w:pPr>
        <w:pStyle w:val="Nagwek3"/>
        <w:widowControl w:val="0"/>
        <w:ind w:left="567" w:hanging="283"/>
        <w:contextualSpacing w:val="0"/>
        <w:rPr>
          <w:rFonts w:eastAsia="Arial Unicode MS"/>
        </w:rPr>
      </w:pPr>
      <w:r>
        <w:t>zmiany wynagrodzenia umownego, będącego następstwem zastosowania klauzul waloryzacyjnych, o których mowa w § 11 Umowy.</w:t>
      </w:r>
    </w:p>
    <w:p w14:paraId="7E5BC425" w14:textId="77777777" w:rsidR="009C2EAC" w:rsidRPr="009C2EAC" w:rsidRDefault="009C2EAC" w:rsidP="00FB2DE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B2DE2">
      <w:pPr>
        <w:pStyle w:val="Nagwek3"/>
        <w:widowControl w:val="0"/>
        <w:numPr>
          <w:ilvl w:val="0"/>
          <w:numId w:val="18"/>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B2DE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07668F30" w:rsidR="009C2EAC" w:rsidRDefault="009C2EAC" w:rsidP="00FB2DE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048FD119" w14:textId="1C556973" w:rsidR="009706B2" w:rsidRDefault="009706B2" w:rsidP="009706B2">
      <w:pPr>
        <w:widowControl w:val="0"/>
        <w:ind w:left="284" w:firstLine="0"/>
        <w:outlineLvl w:val="1"/>
        <w:rPr>
          <w:rFonts w:eastAsia="Times New Roman" w:cs="Times New Roman"/>
          <w:bCs/>
          <w:noProof/>
          <w:szCs w:val="26"/>
        </w:rPr>
      </w:pPr>
    </w:p>
    <w:p w14:paraId="13BB318E" w14:textId="77777777" w:rsidR="009706B2" w:rsidRDefault="009706B2" w:rsidP="009706B2">
      <w:pPr>
        <w:widowControl w:val="0"/>
        <w:ind w:left="284" w:firstLine="0"/>
        <w:outlineLvl w:val="1"/>
        <w:rPr>
          <w:rFonts w:eastAsia="Times New Roman" w:cs="Times New Roman"/>
          <w:bCs/>
          <w:noProof/>
          <w:szCs w:val="26"/>
        </w:rPr>
      </w:pPr>
    </w:p>
    <w:p w14:paraId="4987521E" w14:textId="4DDE2F3F" w:rsidR="005C41F7" w:rsidRPr="005C41F7" w:rsidRDefault="005C41F7" w:rsidP="00FB2DE2">
      <w:pPr>
        <w:widowControl w:val="0"/>
        <w:ind w:left="0" w:firstLine="0"/>
        <w:jc w:val="center"/>
        <w:outlineLvl w:val="4"/>
        <w:rPr>
          <w:b/>
          <w:bCs/>
          <w:sz w:val="22"/>
          <w:szCs w:val="20"/>
        </w:rPr>
      </w:pPr>
      <w:r w:rsidRPr="005C41F7">
        <w:rPr>
          <w:b/>
          <w:bCs/>
          <w:sz w:val="22"/>
          <w:szCs w:val="20"/>
        </w:rPr>
        <w:lastRenderedPageBreak/>
        <w:t>§1</w:t>
      </w:r>
      <w:r w:rsidR="00FB2DE2">
        <w:rPr>
          <w:b/>
          <w:bCs/>
          <w:sz w:val="22"/>
          <w:szCs w:val="20"/>
        </w:rPr>
        <w:t>1</w:t>
      </w:r>
    </w:p>
    <w:p w14:paraId="6766376A" w14:textId="77777777" w:rsidR="005C41F7" w:rsidRPr="005C41F7" w:rsidRDefault="005C41F7" w:rsidP="00FB2DE2">
      <w:pPr>
        <w:widowControl w:val="0"/>
        <w:ind w:left="0" w:firstLine="0"/>
        <w:jc w:val="center"/>
        <w:outlineLvl w:val="4"/>
        <w:rPr>
          <w:b/>
          <w:bCs/>
          <w:sz w:val="22"/>
          <w:szCs w:val="20"/>
        </w:rPr>
      </w:pPr>
      <w:r w:rsidRPr="005C41F7">
        <w:rPr>
          <w:b/>
          <w:bCs/>
          <w:sz w:val="22"/>
          <w:szCs w:val="20"/>
        </w:rPr>
        <w:t>Klauzule waloryzacyjne</w:t>
      </w:r>
    </w:p>
    <w:p w14:paraId="5768DAA3" w14:textId="77777777" w:rsidR="005C41F7" w:rsidRPr="005C41F7" w:rsidRDefault="005C41F7" w:rsidP="00FB2DE2">
      <w:pPr>
        <w:widowControl w:val="0"/>
        <w:numPr>
          <w:ilvl w:val="1"/>
          <w:numId w:val="33"/>
        </w:numPr>
        <w:tabs>
          <w:tab w:val="num" w:pos="284"/>
        </w:tabs>
        <w:ind w:left="284" w:hanging="284"/>
        <w:outlineLvl w:val="1"/>
        <w:rPr>
          <w:rFonts w:eastAsia="Times New Roman" w:cs="Times New Roman"/>
          <w:bCs/>
          <w:noProof/>
          <w:szCs w:val="26"/>
          <w:lang w:eastAsia="x-none"/>
        </w:rPr>
      </w:pPr>
      <w:r w:rsidRPr="005C41F7">
        <w:rPr>
          <w:rFonts w:eastAsia="Times New Roman" w:cs="Times New Roman"/>
          <w:bCs/>
          <w:noProof/>
          <w:szCs w:val="26"/>
          <w:lang w:eastAsia="x-none"/>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6C988617" w14:textId="77777777" w:rsidR="005C41F7" w:rsidRPr="005C41F7" w:rsidRDefault="005C41F7" w:rsidP="00FB2DE2">
      <w:pPr>
        <w:widowControl w:val="0"/>
        <w:numPr>
          <w:ilvl w:val="1"/>
          <w:numId w:val="33"/>
        </w:numPr>
        <w:tabs>
          <w:tab w:val="num" w:pos="284"/>
        </w:tabs>
        <w:ind w:left="284" w:hanging="284"/>
        <w:outlineLvl w:val="1"/>
        <w:rPr>
          <w:rFonts w:eastAsia="Times New Roman" w:cs="Times New Roman"/>
          <w:bCs/>
          <w:noProof/>
          <w:szCs w:val="26"/>
          <w:lang w:eastAsia="x-none"/>
        </w:rPr>
      </w:pPr>
      <w:r w:rsidRPr="005C41F7">
        <w:rPr>
          <w:rFonts w:eastAsia="Times New Roman" w:cs="Times New Roman"/>
          <w:bCs/>
          <w:noProof/>
          <w:szCs w:val="26"/>
          <w:lang w:eastAsia="x-none"/>
        </w:rPr>
        <w:t>Zmiana wynagrodzenia w trybie określonym w ust. 1 może zostać dokonana w sytuacji, gdy w półrocznej skali poziom zmiany cen materiałów lub kosztów implikował będzie w sposób rzeczywisty i bezpośredni odpowiednio: wzrost lub obniżenie kosztów zamówienia o więcej niż 2 % (według wskaźnika GUS, o którym mowa w ust. 3 – obowiązującego na moment złożenia oferty względem wskaźnika obowiązującego na moment dokonywania oceny poziomu cen materiałów lub kosztów w toku realizacji 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powyższego wskaźnika 2 %.</w:t>
      </w:r>
    </w:p>
    <w:p w14:paraId="325D0942" w14:textId="36857BE3" w:rsidR="005C41F7" w:rsidRPr="006C4322" w:rsidRDefault="005C41F7" w:rsidP="006C4322">
      <w:pPr>
        <w:widowControl w:val="0"/>
        <w:numPr>
          <w:ilvl w:val="0"/>
          <w:numId w:val="34"/>
        </w:numPr>
        <w:tabs>
          <w:tab w:val="num" w:pos="284"/>
        </w:tabs>
        <w:ind w:left="284" w:hanging="284"/>
        <w:rPr>
          <w:rFonts w:cs="Calibri"/>
        </w:rPr>
      </w:pPr>
      <w:r w:rsidRPr="005C41F7">
        <w:rPr>
          <w:rFonts w:cs="Calibri"/>
          <w:szCs w:val="20"/>
        </w:rPr>
        <w:t>Waloryzacja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94 ust. 1 pkt 1 lit. a ustawy z dnia 17 grudnia 1998 r. o emeryturach i rentach z Funduszu Ubezpieczeń Społecznych (</w:t>
      </w:r>
      <w:r w:rsidR="006C4322" w:rsidRPr="006C4322">
        <w:rPr>
          <w:rFonts w:cs="Calibri"/>
        </w:rPr>
        <w:t>Dz.U. 2023 poz. 1251 ze zm</w:t>
      </w:r>
      <w:r w:rsidRPr="006C4322">
        <w:rPr>
          <w:rFonts w:cs="Calibri"/>
          <w:szCs w:val="20"/>
        </w:rPr>
        <w:t xml:space="preserve">.) i poprzedzającego daną waloryzację, przy czym pierwsza waloryzacja wynagrodzenia Wykonawcy może nastąpić najwcześniej po upływie 6 miesięcy obowiązywania umowy. </w:t>
      </w:r>
    </w:p>
    <w:p w14:paraId="3638E7D8" w14:textId="77777777" w:rsidR="005C41F7" w:rsidRPr="005C41F7" w:rsidRDefault="005C41F7" w:rsidP="00FB2DE2">
      <w:pPr>
        <w:widowControl w:val="0"/>
        <w:numPr>
          <w:ilvl w:val="0"/>
          <w:numId w:val="34"/>
        </w:numPr>
        <w:tabs>
          <w:tab w:val="num" w:pos="284"/>
        </w:tabs>
        <w:ind w:left="284" w:hanging="284"/>
        <w:rPr>
          <w:rFonts w:cs="Calibri"/>
          <w:szCs w:val="20"/>
        </w:rPr>
      </w:pPr>
      <w:r w:rsidRPr="005C41F7">
        <w:rPr>
          <w:rFonts w:cs="Calibri"/>
          <w:szCs w:val="20"/>
        </w:rPr>
        <w:t xml:space="preserve">Referencyjnym punktem bazowym służącym obrazowaniu ewentualnych fluktuacji cenowych i kosztowych w trakcie trwania umowy będzie wartość wskaźnika GUS, o którym mowa w ust. 3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40230C28" w14:textId="77777777" w:rsidR="005C41F7" w:rsidRPr="005C41F7" w:rsidRDefault="005C41F7" w:rsidP="00FB2DE2">
      <w:pPr>
        <w:widowControl w:val="0"/>
        <w:numPr>
          <w:ilvl w:val="0"/>
          <w:numId w:val="34"/>
        </w:numPr>
        <w:tabs>
          <w:tab w:val="num" w:pos="284"/>
        </w:tabs>
        <w:ind w:left="284" w:hanging="284"/>
        <w:rPr>
          <w:rFonts w:cs="Calibri"/>
          <w:szCs w:val="20"/>
        </w:rPr>
      </w:pPr>
      <w:r w:rsidRPr="005C41F7">
        <w:rPr>
          <w:rFonts w:cs="Calibri"/>
          <w:szCs w:val="20"/>
        </w:rPr>
        <w:t xml:space="preserve">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w:t>
      </w:r>
      <w:proofErr w:type="spellStart"/>
      <w:r w:rsidRPr="005C41F7">
        <w:rPr>
          <w:rFonts w:cs="Calibri"/>
          <w:szCs w:val="20"/>
        </w:rPr>
        <w:t>ryzyk</w:t>
      </w:r>
      <w:proofErr w:type="spellEnd"/>
      <w:r w:rsidRPr="005C41F7">
        <w:rPr>
          <w:rFonts w:cs="Calibri"/>
          <w:szCs w:val="20"/>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 z uwagi na brak możliwości realnej weryfikacji takiego wniosku względem uwarunkowań ofertowych (tj. kontekstu ustalenia wpływu zmian na koszty realizacji zamówienia).</w:t>
      </w:r>
    </w:p>
    <w:p w14:paraId="1B962756" w14:textId="77777777" w:rsidR="005C41F7" w:rsidRPr="005C41F7" w:rsidRDefault="005C41F7" w:rsidP="00FB2DE2">
      <w:pPr>
        <w:widowControl w:val="0"/>
        <w:numPr>
          <w:ilvl w:val="0"/>
          <w:numId w:val="34"/>
        </w:numPr>
        <w:tabs>
          <w:tab w:val="num" w:pos="284"/>
        </w:tabs>
        <w:ind w:left="284" w:hanging="284"/>
        <w:rPr>
          <w:rFonts w:cs="Calibri"/>
          <w:szCs w:val="20"/>
        </w:rPr>
      </w:pPr>
      <w:r w:rsidRPr="005C41F7">
        <w:rPr>
          <w:rFonts w:cs="Calibri"/>
          <w:szCs w:val="20"/>
        </w:rPr>
        <w:t xml:space="preserve">W przypadku wystąpienia okoliczności uzasadniających zmianę, o której mowa w ust. 2, Strona uprawniona do waloryzacji, w terminie 14 dni od zaistnienia okoliczności dających podstawę do waloryzacji, występuje z wnioskiem o zmianę wynagrodzenia oraz przedstawia sposób i podstawę </w:t>
      </w:r>
      <w:r w:rsidRPr="005C41F7">
        <w:rPr>
          <w:rFonts w:cs="Calibri"/>
          <w:szCs w:val="20"/>
        </w:rPr>
        <w:lastRenderedPageBreak/>
        <w:t xml:space="preserve">wyliczenia odpowiedniej zmiany wynagrodzenia. Druga Strona Umowy przedstawia stanowisko w przedmiocie waloryzacji Umowy w terminie 14 dni od daty wpływu wniosku, o którym mowa w zdaniu pierwszym. </w:t>
      </w:r>
    </w:p>
    <w:p w14:paraId="6A6FC8AF" w14:textId="77777777" w:rsidR="005C41F7" w:rsidRPr="005C41F7" w:rsidRDefault="005C41F7" w:rsidP="00FB2DE2">
      <w:pPr>
        <w:widowControl w:val="0"/>
        <w:numPr>
          <w:ilvl w:val="0"/>
          <w:numId w:val="34"/>
        </w:numPr>
        <w:tabs>
          <w:tab w:val="num" w:pos="284"/>
        </w:tabs>
        <w:ind w:left="284" w:hanging="284"/>
        <w:rPr>
          <w:rFonts w:cs="Calibri"/>
          <w:szCs w:val="20"/>
        </w:rPr>
      </w:pPr>
      <w:r w:rsidRPr="005C41F7">
        <w:rPr>
          <w:rFonts w:cs="Calibri"/>
          <w:szCs w:val="20"/>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5D72D57D" w14:textId="77777777" w:rsidR="005C41F7" w:rsidRPr="005C41F7" w:rsidRDefault="005C41F7" w:rsidP="00FB2DE2">
      <w:pPr>
        <w:widowControl w:val="0"/>
        <w:numPr>
          <w:ilvl w:val="0"/>
          <w:numId w:val="34"/>
        </w:numPr>
        <w:tabs>
          <w:tab w:val="num" w:pos="284"/>
        </w:tabs>
        <w:ind w:left="284" w:hanging="284"/>
        <w:rPr>
          <w:rFonts w:cs="Calibri"/>
          <w:szCs w:val="20"/>
        </w:rPr>
      </w:pPr>
      <w:r w:rsidRPr="005C41F7">
        <w:rPr>
          <w:rFonts w:cs="Calibri"/>
          <w:szCs w:val="20"/>
        </w:rPr>
        <w:t xml:space="preserve">W celu wykazania wpływu zmiany cen materiałów lub kosztów na wynagrodzenie umowne należy wraz z pisemnym wnioskiem przedstawić m.in. szczegółową kalkulację kosztów wykonania umowy z uwzględnieniem zaistniałej zmiany (tzw. kalkulację wtórną – odnoszącą się do kalkulacji bazowej, o której mowa w ust. 5, pozwalającą na porównanie danych kalkulacyjnych) oraz dokumenty, dowody, informacje, etc. potwierdzające powyższe dane kalkulacyjne.  </w:t>
      </w:r>
    </w:p>
    <w:p w14:paraId="1974F62D" w14:textId="77777777" w:rsidR="005C41F7" w:rsidRPr="005C41F7" w:rsidRDefault="005C41F7" w:rsidP="00565694">
      <w:pPr>
        <w:numPr>
          <w:ilvl w:val="0"/>
          <w:numId w:val="34"/>
        </w:numPr>
        <w:tabs>
          <w:tab w:val="num" w:pos="284"/>
        </w:tabs>
        <w:ind w:left="284" w:hanging="284"/>
        <w:contextualSpacing/>
        <w:rPr>
          <w:rFonts w:cs="Calibri"/>
          <w:szCs w:val="20"/>
        </w:rPr>
      </w:pPr>
      <w:r w:rsidRPr="005C41F7">
        <w:rPr>
          <w:rFonts w:cs="Calibri"/>
          <w:szCs w:val="20"/>
        </w:rPr>
        <w:t xml:space="preserve">Waloryzacja wynagrodzenia Wykonawcy będzie mogła mieć miejsce w cyklach półrocznych (nie częściej) niż 2 razy w danym roku. Kolejnych waloryzacji wynagrodzenia dokonuje się na pierwszy dzień roboczy miesiąca następujący po upływie 6 miesięcy od dnia poprzedniej waloryzacji z zastrzeżeniem postanowień ust. 3. </w:t>
      </w:r>
    </w:p>
    <w:p w14:paraId="3714E70D" w14:textId="77777777" w:rsidR="005C41F7" w:rsidRPr="005C41F7" w:rsidRDefault="005C41F7" w:rsidP="00565694">
      <w:pPr>
        <w:numPr>
          <w:ilvl w:val="0"/>
          <w:numId w:val="34"/>
        </w:numPr>
        <w:tabs>
          <w:tab w:val="num" w:pos="284"/>
        </w:tabs>
        <w:ind w:left="284" w:hanging="284"/>
        <w:contextualSpacing/>
        <w:rPr>
          <w:rFonts w:cs="Calibri"/>
          <w:szCs w:val="20"/>
        </w:rPr>
      </w:pPr>
      <w:r w:rsidRPr="005C41F7">
        <w:rPr>
          <w:rFonts w:cs="Calibri"/>
          <w:szCs w:val="20"/>
        </w:rPr>
        <w:t>Maksymalna wartość zmiany wynagrodzenia Wykonawcy, jaką dopuszcza Zamawiający w efekcie zastosowania postanowień o zasadach wprowadzania zmian wysokości wynagrodzenia w wyniku waloryzacji, o której mowa w ust. 1 wynosi 8 % wartości Umowy (limit waloryzacji wynagrodzenia Wykonawcy z tytułu zmiany cen materiałów lub kosztów). Postanowień umownych w zakresie waloryzacji nie stosuje się od chwili osiągnięcia limitu, o którym mowa w zdaniu poprzednim.</w:t>
      </w:r>
    </w:p>
    <w:p w14:paraId="37F0BB3C" w14:textId="77777777" w:rsidR="005C41F7" w:rsidRPr="005C41F7" w:rsidRDefault="005C41F7" w:rsidP="00565694">
      <w:pPr>
        <w:numPr>
          <w:ilvl w:val="0"/>
          <w:numId w:val="34"/>
        </w:numPr>
        <w:ind w:left="284" w:hanging="284"/>
        <w:contextualSpacing/>
        <w:rPr>
          <w:rFonts w:cs="Calibri"/>
          <w:szCs w:val="20"/>
        </w:rPr>
      </w:pPr>
      <w:r w:rsidRPr="005C41F7">
        <w:rPr>
          <w:rFonts w:cs="Calibri"/>
          <w:szCs w:val="20"/>
        </w:rPr>
        <w:t>Każda kolejna waloryzacja nie będzie dotyczyła wynagrodzenia za prace wykonane do dnia poprzedniej waloryzacji. Wynagrodzenie będzie płatne w zwaloryzowanej wysokości począwszy od 1-go dnia kolejnego miesiąca następującego po zawarciu aneksu.</w:t>
      </w:r>
    </w:p>
    <w:p w14:paraId="294BBAA6" w14:textId="77777777" w:rsidR="005C41F7" w:rsidRPr="005C41F7" w:rsidRDefault="005C41F7" w:rsidP="00565694">
      <w:pPr>
        <w:numPr>
          <w:ilvl w:val="0"/>
          <w:numId w:val="34"/>
        </w:numPr>
        <w:tabs>
          <w:tab w:val="num" w:pos="709"/>
        </w:tabs>
        <w:ind w:left="284" w:hanging="284"/>
        <w:contextualSpacing/>
        <w:rPr>
          <w:rFonts w:cs="Calibri"/>
          <w:szCs w:val="20"/>
        </w:rPr>
      </w:pPr>
      <w:r w:rsidRPr="005C41F7">
        <w:rPr>
          <w:rFonts w:cs="Calibri"/>
          <w:szCs w:val="20"/>
        </w:rPr>
        <w:t>Na potrzeby waloryzacji wynagrodzenia Strony sporządzą protokół uzgodnień, w którym określą w szczególności:</w:t>
      </w:r>
    </w:p>
    <w:p w14:paraId="59444194" w14:textId="77777777" w:rsidR="005C41F7" w:rsidRPr="005C41F7" w:rsidRDefault="005C41F7" w:rsidP="005C41F7">
      <w:pPr>
        <w:ind w:left="284" w:firstLine="0"/>
        <w:rPr>
          <w:rFonts w:cs="Calibri"/>
          <w:szCs w:val="20"/>
        </w:rPr>
      </w:pPr>
      <w:r w:rsidRPr="005C41F7">
        <w:rPr>
          <w:rFonts w:cs="Calibri"/>
          <w:szCs w:val="20"/>
        </w:rPr>
        <w:t>1) okres, za który dokonują waloryzacji;</w:t>
      </w:r>
    </w:p>
    <w:p w14:paraId="2A94AB5A" w14:textId="77777777" w:rsidR="005C41F7" w:rsidRPr="005C41F7" w:rsidRDefault="005C41F7" w:rsidP="005C41F7">
      <w:pPr>
        <w:ind w:left="284" w:firstLine="0"/>
        <w:rPr>
          <w:rFonts w:cs="Calibri"/>
          <w:szCs w:val="20"/>
        </w:rPr>
      </w:pPr>
      <w:r w:rsidRPr="005C41F7">
        <w:rPr>
          <w:rFonts w:cs="Calibri"/>
          <w:szCs w:val="20"/>
        </w:rPr>
        <w:t>2) wartość wskaźnika waloryzacji;</w:t>
      </w:r>
    </w:p>
    <w:p w14:paraId="247E5458" w14:textId="77777777" w:rsidR="005C41F7" w:rsidRPr="005C41F7" w:rsidRDefault="005C41F7" w:rsidP="005C41F7">
      <w:pPr>
        <w:ind w:left="284" w:firstLine="0"/>
        <w:rPr>
          <w:rFonts w:cs="Calibri"/>
          <w:szCs w:val="20"/>
        </w:rPr>
      </w:pPr>
      <w:r w:rsidRPr="005C41F7">
        <w:rPr>
          <w:rFonts w:cs="Calibri"/>
          <w:szCs w:val="20"/>
        </w:rPr>
        <w:t>3) wartość wynagrodzenia podlegającego waloryzacji;</w:t>
      </w:r>
    </w:p>
    <w:p w14:paraId="1D7673BC" w14:textId="77777777" w:rsidR="005C41F7" w:rsidRPr="005C41F7" w:rsidRDefault="005C41F7" w:rsidP="005C41F7">
      <w:pPr>
        <w:ind w:left="284" w:firstLine="0"/>
        <w:rPr>
          <w:rFonts w:cs="Calibri"/>
          <w:szCs w:val="20"/>
        </w:rPr>
      </w:pPr>
      <w:r w:rsidRPr="005C41F7">
        <w:rPr>
          <w:rFonts w:cs="Calibri"/>
          <w:szCs w:val="20"/>
        </w:rPr>
        <w:t>4) wysokość wynagrodzenia przed i po waloryzacji;</w:t>
      </w:r>
    </w:p>
    <w:p w14:paraId="6442BCE0" w14:textId="77777777" w:rsidR="005C41F7" w:rsidRPr="005C41F7" w:rsidRDefault="005C41F7" w:rsidP="005C41F7">
      <w:pPr>
        <w:ind w:left="284" w:firstLine="0"/>
        <w:rPr>
          <w:rFonts w:cs="Calibri"/>
          <w:szCs w:val="20"/>
        </w:rPr>
      </w:pPr>
      <w:r w:rsidRPr="005C41F7">
        <w:rPr>
          <w:rFonts w:cs="Calibri"/>
          <w:szCs w:val="20"/>
        </w:rPr>
        <w:t>5) łączną wartość zmiany wynagrodzenia w wyniku waloryzacji.</w:t>
      </w:r>
    </w:p>
    <w:p w14:paraId="6F54C573" w14:textId="77777777" w:rsidR="005C41F7" w:rsidRPr="005C41F7" w:rsidRDefault="005C41F7" w:rsidP="00565694">
      <w:pPr>
        <w:numPr>
          <w:ilvl w:val="0"/>
          <w:numId w:val="34"/>
        </w:numPr>
        <w:tabs>
          <w:tab w:val="num" w:pos="284"/>
        </w:tabs>
        <w:ind w:left="284"/>
        <w:contextualSpacing/>
        <w:rPr>
          <w:rFonts w:cs="Calibri"/>
          <w:szCs w:val="20"/>
        </w:rPr>
      </w:pPr>
      <w:r w:rsidRPr="005C41F7">
        <w:rPr>
          <w:rFonts w:cs="Calibri"/>
          <w:szCs w:val="20"/>
        </w:rPr>
        <w:t xml:space="preserve">Zmiana wynagrodzenia przyjmuje formę pisemnego aneksu na podstawie § 8. </w:t>
      </w:r>
    </w:p>
    <w:p w14:paraId="2227B215" w14:textId="77777777" w:rsidR="005C41F7" w:rsidRPr="005C41F7" w:rsidRDefault="005C41F7" w:rsidP="00565694">
      <w:pPr>
        <w:numPr>
          <w:ilvl w:val="0"/>
          <w:numId w:val="34"/>
        </w:numPr>
        <w:tabs>
          <w:tab w:val="num" w:pos="993"/>
        </w:tabs>
        <w:ind w:left="284"/>
        <w:contextualSpacing/>
        <w:rPr>
          <w:rFonts w:cs="Calibri"/>
          <w:szCs w:val="20"/>
        </w:rPr>
      </w:pPr>
      <w:r w:rsidRPr="005C41F7">
        <w:rPr>
          <w:rFonts w:cs="Calibri"/>
          <w:szCs w:val="20"/>
        </w:rPr>
        <w:t>Wykonawca, którego wynagrodzenie zostało zmienione w przypadku, o którym mowa w ust. 1, zobowiązany jest do zmiany wynagrodzenia przysługującego podwykonawcy, z którym zawarł umowę, w zakresie odpowiadającym zmianom kosztów dotyczących zobowiązania podwykonawcy.</w:t>
      </w:r>
    </w:p>
    <w:p w14:paraId="5284BE5A" w14:textId="77777777" w:rsidR="005C41F7" w:rsidRPr="009C2EAC" w:rsidRDefault="005C41F7" w:rsidP="005C41F7">
      <w:pPr>
        <w:widowControl w:val="0"/>
        <w:ind w:left="284" w:firstLine="0"/>
        <w:outlineLvl w:val="1"/>
        <w:rPr>
          <w:rFonts w:eastAsia="Times New Roman" w:cs="Times New Roman"/>
          <w:bCs/>
          <w:noProof/>
          <w:szCs w:val="26"/>
        </w:rPr>
      </w:pPr>
    </w:p>
    <w:p w14:paraId="20FDCD76" w14:textId="508FBD5B" w:rsidR="009C2EAC" w:rsidRPr="009C2EAC" w:rsidRDefault="009C2EAC" w:rsidP="00F00A72">
      <w:pPr>
        <w:keepNext/>
        <w:ind w:left="0" w:firstLine="0"/>
        <w:jc w:val="center"/>
        <w:outlineLvl w:val="4"/>
        <w:rPr>
          <w:b/>
          <w:bCs/>
          <w:sz w:val="22"/>
          <w:szCs w:val="20"/>
        </w:rPr>
      </w:pPr>
      <w:r w:rsidRPr="009C2EAC">
        <w:rPr>
          <w:b/>
          <w:bCs/>
          <w:sz w:val="22"/>
          <w:szCs w:val="20"/>
        </w:rPr>
        <w:t>§ 1</w:t>
      </w:r>
      <w:r w:rsidR="00E527E5">
        <w:rPr>
          <w:b/>
          <w:bCs/>
          <w:sz w:val="22"/>
          <w:szCs w:val="20"/>
        </w:rPr>
        <w:t>2</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565694">
      <w:pPr>
        <w:pStyle w:val="Nagwek2"/>
        <w:keepNext w:val="0"/>
        <w:numPr>
          <w:ilvl w:val="0"/>
          <w:numId w:val="19"/>
        </w:numPr>
        <w:spacing w:before="0" w:after="0" w:line="360" w:lineRule="auto"/>
        <w:ind w:left="284" w:hanging="284"/>
        <w:contextualSpacing w:val="0"/>
      </w:pPr>
      <w:r w:rsidRPr="00F83276">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F83276">
        <w:lastRenderedPageBreak/>
        <w:t>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4327EAE9"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w:t>
      </w:r>
      <w:r w:rsidR="00E527E5">
        <w:rPr>
          <w:b/>
          <w:bCs/>
          <w:sz w:val="22"/>
          <w:szCs w:val="20"/>
        </w:rPr>
        <w:t>3</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565694">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59C73EEF"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t>§ 1</w:t>
      </w:r>
      <w:r w:rsidR="00E527E5">
        <w:rPr>
          <w:b/>
          <w:bCs/>
          <w:sz w:val="22"/>
          <w:szCs w:val="20"/>
        </w:rPr>
        <w:t>4</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565694">
      <w:pPr>
        <w:pStyle w:val="Nagwek2"/>
        <w:keepNext w:val="0"/>
        <w:widowControl w:val="0"/>
        <w:numPr>
          <w:ilvl w:val="0"/>
          <w:numId w:val="20"/>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565694">
      <w:pPr>
        <w:pStyle w:val="Nagwek3"/>
        <w:widowControl w:val="0"/>
        <w:numPr>
          <w:ilvl w:val="0"/>
          <w:numId w:val="21"/>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10031BE1"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w:t>
      </w:r>
      <w:r w:rsidR="00E527E5">
        <w:rPr>
          <w:b/>
          <w:bCs/>
          <w:sz w:val="22"/>
          <w:szCs w:val="20"/>
        </w:rPr>
        <w:t>5</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FEB7065"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w:t>
      </w:r>
      <w:r w:rsidR="00E527E5">
        <w:rPr>
          <w:b/>
          <w:bCs/>
          <w:sz w:val="22"/>
          <w:szCs w:val="20"/>
        </w:rPr>
        <w:t>6</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565694">
      <w:pPr>
        <w:pStyle w:val="Nagwek2"/>
        <w:keepNext w:val="0"/>
        <w:numPr>
          <w:ilvl w:val="0"/>
          <w:numId w:val="22"/>
        </w:numPr>
        <w:ind w:left="284" w:hanging="284"/>
      </w:pPr>
      <w:bookmarkStart w:id="6"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565694">
      <w:pPr>
        <w:pStyle w:val="Nagwek3"/>
        <w:numPr>
          <w:ilvl w:val="0"/>
          <w:numId w:val="24"/>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71FA794A" w14:textId="4E979F8F"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w:t>
      </w:r>
      <w:r w:rsidR="00E527E5">
        <w:rPr>
          <w:b/>
          <w:bCs/>
          <w:sz w:val="22"/>
          <w:szCs w:val="20"/>
        </w:rPr>
        <w:t>7</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565694">
      <w:pPr>
        <w:pStyle w:val="Nagwek2"/>
        <w:keepNext w:val="0"/>
        <w:numPr>
          <w:ilvl w:val="0"/>
          <w:numId w:val="23"/>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79CEF23F" w14:textId="0D7D68B0" w:rsidR="00EB5721" w:rsidRPr="00F80C8F" w:rsidRDefault="009C2EAC" w:rsidP="00F80C8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E6E9258"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1F25D738" w:rsidR="009C2EAC" w:rsidRPr="00A77DC2" w:rsidRDefault="009C2EAC" w:rsidP="00A77DC2">
      <w:pPr>
        <w:ind w:left="567"/>
        <w:rPr>
          <w:sz w:val="18"/>
          <w:szCs w:val="18"/>
        </w:rPr>
      </w:pPr>
    </w:p>
    <w:p w14:paraId="6439EB39" w14:textId="77777777" w:rsidR="00F80C8F" w:rsidRDefault="00F80C8F" w:rsidP="00DF51BB">
      <w:pPr>
        <w:jc w:val="right"/>
        <w:rPr>
          <w:szCs w:val="20"/>
        </w:rPr>
      </w:pPr>
    </w:p>
    <w:p w14:paraId="6894F992" w14:textId="77777777" w:rsidR="00F80C8F" w:rsidRDefault="00F80C8F" w:rsidP="00DF51BB">
      <w:pPr>
        <w:jc w:val="right"/>
        <w:rPr>
          <w:szCs w:val="20"/>
        </w:rPr>
      </w:pPr>
    </w:p>
    <w:p w14:paraId="02538CF4" w14:textId="77777777" w:rsidR="00F80C8F" w:rsidRDefault="00F80C8F" w:rsidP="00DF51BB">
      <w:pPr>
        <w:jc w:val="right"/>
        <w:rPr>
          <w:szCs w:val="20"/>
        </w:rPr>
      </w:pPr>
    </w:p>
    <w:p w14:paraId="3F82ED6A" w14:textId="0F68C0B9" w:rsidR="00F80C8F" w:rsidRDefault="00F80C8F" w:rsidP="00DF51BB">
      <w:pPr>
        <w:jc w:val="right"/>
        <w:rPr>
          <w:szCs w:val="20"/>
        </w:rPr>
      </w:pPr>
    </w:p>
    <w:p w14:paraId="40B62C29" w14:textId="27C8E827" w:rsidR="009706B2" w:rsidRDefault="009706B2" w:rsidP="00DF51BB">
      <w:pPr>
        <w:jc w:val="right"/>
        <w:rPr>
          <w:szCs w:val="20"/>
        </w:rPr>
      </w:pPr>
    </w:p>
    <w:p w14:paraId="617EF00A" w14:textId="5DCBA199" w:rsidR="009706B2" w:rsidRDefault="009706B2" w:rsidP="00DF51BB">
      <w:pPr>
        <w:jc w:val="right"/>
        <w:rPr>
          <w:szCs w:val="20"/>
        </w:rPr>
      </w:pPr>
    </w:p>
    <w:p w14:paraId="68034EFC" w14:textId="61FA02AB" w:rsidR="009706B2" w:rsidRDefault="009706B2" w:rsidP="00DF51BB">
      <w:pPr>
        <w:jc w:val="right"/>
        <w:rPr>
          <w:szCs w:val="20"/>
        </w:rPr>
      </w:pPr>
    </w:p>
    <w:p w14:paraId="4F455441" w14:textId="31BE1E4D" w:rsidR="009706B2" w:rsidRDefault="009706B2" w:rsidP="00DF51BB">
      <w:pPr>
        <w:jc w:val="right"/>
        <w:rPr>
          <w:szCs w:val="20"/>
        </w:rPr>
      </w:pPr>
    </w:p>
    <w:p w14:paraId="659D3DE5" w14:textId="5C5C76CC" w:rsidR="009706B2" w:rsidRDefault="009706B2" w:rsidP="00DF51BB">
      <w:pPr>
        <w:jc w:val="right"/>
        <w:rPr>
          <w:szCs w:val="20"/>
        </w:rPr>
      </w:pPr>
    </w:p>
    <w:p w14:paraId="62464C92" w14:textId="3DF45C6C" w:rsidR="009706B2" w:rsidRDefault="009706B2" w:rsidP="00DF51BB">
      <w:pPr>
        <w:jc w:val="right"/>
        <w:rPr>
          <w:szCs w:val="20"/>
        </w:rPr>
      </w:pPr>
    </w:p>
    <w:p w14:paraId="628A7DD7" w14:textId="760A7C71" w:rsidR="009706B2" w:rsidRDefault="009706B2" w:rsidP="00DF51BB">
      <w:pPr>
        <w:jc w:val="right"/>
        <w:rPr>
          <w:szCs w:val="20"/>
        </w:rPr>
      </w:pPr>
    </w:p>
    <w:p w14:paraId="0B54E501" w14:textId="52E204D8" w:rsidR="009706B2" w:rsidRDefault="009706B2" w:rsidP="00DF51BB">
      <w:pPr>
        <w:jc w:val="right"/>
        <w:rPr>
          <w:szCs w:val="20"/>
        </w:rPr>
      </w:pPr>
    </w:p>
    <w:p w14:paraId="43E0B620" w14:textId="1EB7B36F" w:rsidR="009706B2" w:rsidRDefault="009706B2" w:rsidP="00DF51BB">
      <w:pPr>
        <w:jc w:val="right"/>
        <w:rPr>
          <w:szCs w:val="20"/>
        </w:rPr>
      </w:pPr>
    </w:p>
    <w:p w14:paraId="086B5995" w14:textId="19585BB5" w:rsidR="009706B2" w:rsidRDefault="009706B2" w:rsidP="00DF51BB">
      <w:pPr>
        <w:jc w:val="right"/>
        <w:rPr>
          <w:szCs w:val="20"/>
        </w:rPr>
      </w:pPr>
    </w:p>
    <w:p w14:paraId="6DC2F988" w14:textId="6BEBBAE2" w:rsidR="009706B2" w:rsidRDefault="009706B2" w:rsidP="00DF51BB">
      <w:pPr>
        <w:jc w:val="right"/>
        <w:rPr>
          <w:szCs w:val="20"/>
        </w:rPr>
      </w:pPr>
    </w:p>
    <w:p w14:paraId="4D6D6045" w14:textId="78130DC1" w:rsidR="009706B2" w:rsidRDefault="009706B2" w:rsidP="00DF51BB">
      <w:pPr>
        <w:jc w:val="right"/>
        <w:rPr>
          <w:szCs w:val="20"/>
        </w:rPr>
      </w:pPr>
    </w:p>
    <w:p w14:paraId="0E03AB63" w14:textId="3DD2BB9F" w:rsidR="009706B2" w:rsidRDefault="009706B2" w:rsidP="00DF51BB">
      <w:pPr>
        <w:jc w:val="right"/>
        <w:rPr>
          <w:szCs w:val="20"/>
        </w:rPr>
      </w:pPr>
    </w:p>
    <w:p w14:paraId="5874A79D" w14:textId="0E4F1E9C" w:rsidR="009706B2" w:rsidRDefault="009706B2" w:rsidP="00DF51BB">
      <w:pPr>
        <w:jc w:val="right"/>
        <w:rPr>
          <w:szCs w:val="20"/>
        </w:rPr>
      </w:pPr>
    </w:p>
    <w:p w14:paraId="0C5601B8" w14:textId="5A8CA86A" w:rsidR="009706B2" w:rsidRDefault="009706B2" w:rsidP="00DF51BB">
      <w:pPr>
        <w:jc w:val="right"/>
        <w:rPr>
          <w:szCs w:val="20"/>
        </w:rPr>
      </w:pPr>
    </w:p>
    <w:p w14:paraId="6125C9AA" w14:textId="01B672D3" w:rsidR="009706B2" w:rsidRDefault="009706B2" w:rsidP="00DF51BB">
      <w:pPr>
        <w:jc w:val="right"/>
        <w:rPr>
          <w:szCs w:val="20"/>
        </w:rPr>
      </w:pPr>
    </w:p>
    <w:p w14:paraId="4F5FC9FD" w14:textId="28D4D7BD" w:rsidR="009706B2" w:rsidRDefault="009706B2" w:rsidP="00DF51BB">
      <w:pPr>
        <w:jc w:val="right"/>
        <w:rPr>
          <w:szCs w:val="20"/>
        </w:rPr>
      </w:pPr>
    </w:p>
    <w:p w14:paraId="08653C90" w14:textId="2ED11E0E" w:rsidR="009706B2" w:rsidRDefault="009706B2" w:rsidP="00DF51BB">
      <w:pPr>
        <w:jc w:val="right"/>
        <w:rPr>
          <w:szCs w:val="20"/>
        </w:rPr>
      </w:pPr>
    </w:p>
    <w:p w14:paraId="277ACC57" w14:textId="2CFDE37F" w:rsidR="009706B2" w:rsidRDefault="009706B2" w:rsidP="00DF51BB">
      <w:pPr>
        <w:jc w:val="right"/>
        <w:rPr>
          <w:szCs w:val="20"/>
        </w:rPr>
      </w:pPr>
    </w:p>
    <w:p w14:paraId="230D5A54" w14:textId="524EFE2A" w:rsidR="009706B2" w:rsidRDefault="009706B2" w:rsidP="00DF51BB">
      <w:pPr>
        <w:jc w:val="right"/>
        <w:rPr>
          <w:szCs w:val="20"/>
        </w:rPr>
      </w:pPr>
    </w:p>
    <w:p w14:paraId="3B796D32" w14:textId="3C5EEC22" w:rsidR="009706B2" w:rsidRDefault="009706B2" w:rsidP="00DF51BB">
      <w:pPr>
        <w:jc w:val="right"/>
        <w:rPr>
          <w:szCs w:val="20"/>
        </w:rPr>
      </w:pPr>
    </w:p>
    <w:p w14:paraId="2095AD72" w14:textId="292BA0C5" w:rsidR="009706B2" w:rsidRDefault="009706B2" w:rsidP="00DF51BB">
      <w:pPr>
        <w:jc w:val="right"/>
        <w:rPr>
          <w:szCs w:val="20"/>
        </w:rPr>
      </w:pPr>
    </w:p>
    <w:p w14:paraId="09C35B72" w14:textId="2697C888" w:rsidR="009706B2" w:rsidRDefault="009706B2" w:rsidP="00DF51BB">
      <w:pPr>
        <w:jc w:val="right"/>
        <w:rPr>
          <w:szCs w:val="20"/>
        </w:rPr>
      </w:pPr>
    </w:p>
    <w:p w14:paraId="27F4D203" w14:textId="7629974D" w:rsidR="009706B2" w:rsidRDefault="009706B2" w:rsidP="00DF51BB">
      <w:pPr>
        <w:jc w:val="right"/>
        <w:rPr>
          <w:szCs w:val="20"/>
        </w:rPr>
      </w:pPr>
    </w:p>
    <w:p w14:paraId="349E597D" w14:textId="39DBD545" w:rsidR="009706B2" w:rsidRDefault="009706B2" w:rsidP="00DF51BB">
      <w:pPr>
        <w:jc w:val="right"/>
        <w:rPr>
          <w:szCs w:val="20"/>
        </w:rPr>
      </w:pPr>
    </w:p>
    <w:p w14:paraId="41918F22" w14:textId="77777777" w:rsidR="009706B2" w:rsidRDefault="009706B2" w:rsidP="00DF51BB">
      <w:pPr>
        <w:jc w:val="right"/>
        <w:rPr>
          <w:szCs w:val="20"/>
        </w:rPr>
      </w:pPr>
    </w:p>
    <w:p w14:paraId="63431579" w14:textId="5A530F68"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30822C"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46B32BA3" w:rsidR="009C2EAC" w:rsidRPr="009C2EAC" w:rsidRDefault="009C2EAC" w:rsidP="009C2EAC">
      <w:pPr>
        <w:ind w:left="567"/>
        <w:rPr>
          <w:szCs w:val="20"/>
        </w:rPr>
      </w:pPr>
      <w:r w:rsidRPr="009C2EAC">
        <w:rPr>
          <w:szCs w:val="20"/>
        </w:rPr>
        <w:t>Na wniosek Wykonawcy potwierdza się niniejszym, że w dniu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388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3511"/>
        <w:gridCol w:w="1209"/>
        <w:gridCol w:w="1938"/>
      </w:tblGrid>
      <w:tr w:rsidR="00805093" w:rsidRPr="009C2EAC" w14:paraId="06492794" w14:textId="77777777" w:rsidTr="00805093">
        <w:tc>
          <w:tcPr>
            <w:tcW w:w="651" w:type="pct"/>
            <w:tcBorders>
              <w:top w:val="single" w:sz="4" w:space="0" w:color="auto"/>
              <w:left w:val="single" w:sz="4" w:space="0" w:color="auto"/>
              <w:bottom w:val="single" w:sz="4" w:space="0" w:color="auto"/>
              <w:right w:val="single" w:sz="4" w:space="0" w:color="auto"/>
            </w:tcBorders>
            <w:hideMark/>
          </w:tcPr>
          <w:p w14:paraId="670F5BEE" w14:textId="77777777" w:rsidR="00805093" w:rsidRPr="009C2EAC" w:rsidRDefault="00805093" w:rsidP="009C2EAC">
            <w:pPr>
              <w:jc w:val="center"/>
              <w:rPr>
                <w:sz w:val="18"/>
                <w:szCs w:val="18"/>
              </w:rPr>
            </w:pPr>
            <w:r w:rsidRPr="009C2EAC">
              <w:rPr>
                <w:sz w:val="18"/>
                <w:szCs w:val="18"/>
              </w:rPr>
              <w:t>lp.</w:t>
            </w:r>
          </w:p>
        </w:tc>
        <w:tc>
          <w:tcPr>
            <w:tcW w:w="2293" w:type="pct"/>
            <w:tcBorders>
              <w:top w:val="single" w:sz="4" w:space="0" w:color="auto"/>
              <w:left w:val="single" w:sz="4" w:space="0" w:color="auto"/>
              <w:bottom w:val="single" w:sz="4" w:space="0" w:color="auto"/>
              <w:right w:val="single" w:sz="4" w:space="0" w:color="auto"/>
            </w:tcBorders>
            <w:hideMark/>
          </w:tcPr>
          <w:p w14:paraId="5346A402" w14:textId="6B1363A3" w:rsidR="00805093" w:rsidRPr="009C2EAC" w:rsidRDefault="00805093" w:rsidP="009C2EAC">
            <w:pPr>
              <w:ind w:left="30" w:hanging="30"/>
              <w:jc w:val="center"/>
              <w:rPr>
                <w:sz w:val="18"/>
                <w:szCs w:val="18"/>
              </w:rPr>
            </w:pPr>
            <w:r w:rsidRPr="009C2EAC">
              <w:rPr>
                <w:sz w:val="18"/>
                <w:szCs w:val="18"/>
              </w:rPr>
              <w:t xml:space="preserve">Nazwa Przedmiotu </w:t>
            </w:r>
            <w:r>
              <w:rPr>
                <w:sz w:val="18"/>
                <w:szCs w:val="18"/>
              </w:rPr>
              <w:t>U</w:t>
            </w:r>
            <w:r w:rsidRPr="009C2EAC">
              <w:rPr>
                <w:sz w:val="18"/>
                <w:szCs w:val="18"/>
              </w:rPr>
              <w:t>mowy/</w:t>
            </w:r>
          </w:p>
          <w:p w14:paraId="580EC5CE" w14:textId="77777777" w:rsidR="00805093" w:rsidRPr="009C2EAC" w:rsidRDefault="00805093" w:rsidP="009C2EAC">
            <w:pPr>
              <w:ind w:left="30" w:hanging="30"/>
              <w:jc w:val="center"/>
              <w:rPr>
                <w:sz w:val="18"/>
                <w:szCs w:val="18"/>
              </w:rPr>
            </w:pPr>
            <w:r w:rsidRPr="009C2EAC">
              <w:rPr>
                <w:sz w:val="18"/>
                <w:szCs w:val="18"/>
              </w:rPr>
              <w:t>(z uwzględnieniem elementów składowych, producent, model)</w:t>
            </w:r>
          </w:p>
        </w:tc>
        <w:tc>
          <w:tcPr>
            <w:tcW w:w="790" w:type="pct"/>
            <w:tcBorders>
              <w:top w:val="single" w:sz="4" w:space="0" w:color="auto"/>
              <w:left w:val="single" w:sz="4" w:space="0" w:color="auto"/>
              <w:bottom w:val="single" w:sz="4" w:space="0" w:color="auto"/>
              <w:right w:val="single" w:sz="4" w:space="0" w:color="auto"/>
            </w:tcBorders>
            <w:hideMark/>
          </w:tcPr>
          <w:p w14:paraId="49C74AF3" w14:textId="77777777" w:rsidR="00805093" w:rsidRPr="009C2EAC" w:rsidRDefault="00805093" w:rsidP="009C2EAC">
            <w:pPr>
              <w:ind w:hanging="785"/>
              <w:jc w:val="center"/>
              <w:rPr>
                <w:sz w:val="18"/>
                <w:szCs w:val="18"/>
              </w:rPr>
            </w:pPr>
            <w:r w:rsidRPr="009C2EAC">
              <w:rPr>
                <w:sz w:val="18"/>
                <w:szCs w:val="18"/>
              </w:rPr>
              <w:t>Ilość</w:t>
            </w:r>
          </w:p>
        </w:tc>
        <w:tc>
          <w:tcPr>
            <w:tcW w:w="1267" w:type="pct"/>
            <w:tcBorders>
              <w:top w:val="single" w:sz="4" w:space="0" w:color="auto"/>
              <w:left w:val="single" w:sz="4" w:space="0" w:color="auto"/>
              <w:bottom w:val="single" w:sz="4" w:space="0" w:color="auto"/>
              <w:right w:val="single" w:sz="4" w:space="0" w:color="auto"/>
            </w:tcBorders>
            <w:hideMark/>
          </w:tcPr>
          <w:p w14:paraId="7D932151" w14:textId="77777777" w:rsidR="00805093" w:rsidRPr="009C2EAC" w:rsidRDefault="00805093" w:rsidP="009C2EAC">
            <w:pPr>
              <w:ind w:hanging="860"/>
              <w:jc w:val="center"/>
              <w:rPr>
                <w:sz w:val="18"/>
                <w:szCs w:val="18"/>
              </w:rPr>
            </w:pPr>
            <w:r w:rsidRPr="009C2EAC">
              <w:rPr>
                <w:sz w:val="18"/>
                <w:szCs w:val="18"/>
              </w:rPr>
              <w:t>Cena netto</w:t>
            </w:r>
          </w:p>
        </w:tc>
      </w:tr>
      <w:tr w:rsidR="00805093" w:rsidRPr="009C2EAC" w14:paraId="6495BC7C" w14:textId="77777777" w:rsidTr="00805093">
        <w:trPr>
          <w:trHeight w:val="667"/>
        </w:trPr>
        <w:tc>
          <w:tcPr>
            <w:tcW w:w="651" w:type="pct"/>
            <w:tcBorders>
              <w:top w:val="single" w:sz="4" w:space="0" w:color="auto"/>
              <w:left w:val="single" w:sz="4" w:space="0" w:color="auto"/>
              <w:bottom w:val="single" w:sz="4" w:space="0" w:color="auto"/>
              <w:right w:val="single" w:sz="4" w:space="0" w:color="auto"/>
            </w:tcBorders>
            <w:hideMark/>
          </w:tcPr>
          <w:p w14:paraId="3F801CF3" w14:textId="77777777" w:rsidR="00805093" w:rsidRPr="009C2EAC" w:rsidRDefault="00805093" w:rsidP="009C2EAC">
            <w:pPr>
              <w:jc w:val="left"/>
              <w:rPr>
                <w:szCs w:val="20"/>
              </w:rPr>
            </w:pPr>
            <w:r w:rsidRPr="009C2EAC">
              <w:rPr>
                <w:szCs w:val="20"/>
              </w:rPr>
              <w:t>1.</w:t>
            </w:r>
          </w:p>
        </w:tc>
        <w:tc>
          <w:tcPr>
            <w:tcW w:w="2293" w:type="pct"/>
            <w:tcBorders>
              <w:top w:val="single" w:sz="4" w:space="0" w:color="auto"/>
              <w:left w:val="single" w:sz="4" w:space="0" w:color="auto"/>
              <w:bottom w:val="single" w:sz="4" w:space="0" w:color="auto"/>
              <w:right w:val="single" w:sz="4" w:space="0" w:color="auto"/>
            </w:tcBorders>
          </w:tcPr>
          <w:p w14:paraId="30E37B5B" w14:textId="77777777" w:rsidR="00805093" w:rsidRPr="009C2EAC" w:rsidRDefault="00805093" w:rsidP="009C2EAC">
            <w:pPr>
              <w:ind w:left="0" w:firstLine="0"/>
              <w:rPr>
                <w:szCs w:val="20"/>
              </w:rPr>
            </w:pPr>
          </w:p>
          <w:p w14:paraId="22002D2C" w14:textId="77777777" w:rsidR="00805093" w:rsidRPr="009C2EAC" w:rsidRDefault="00805093" w:rsidP="009C2EAC">
            <w:pPr>
              <w:rPr>
                <w:szCs w:val="20"/>
              </w:rPr>
            </w:pPr>
          </w:p>
        </w:tc>
        <w:tc>
          <w:tcPr>
            <w:tcW w:w="790" w:type="pct"/>
            <w:tcBorders>
              <w:top w:val="single" w:sz="4" w:space="0" w:color="auto"/>
              <w:left w:val="single" w:sz="4" w:space="0" w:color="auto"/>
              <w:bottom w:val="single" w:sz="4" w:space="0" w:color="auto"/>
              <w:right w:val="single" w:sz="4" w:space="0" w:color="auto"/>
            </w:tcBorders>
          </w:tcPr>
          <w:p w14:paraId="7BD1C606" w14:textId="77777777" w:rsidR="00805093" w:rsidRPr="009C2EAC" w:rsidRDefault="00805093" w:rsidP="009C2EAC">
            <w:pPr>
              <w:rPr>
                <w:szCs w:val="20"/>
              </w:rPr>
            </w:pPr>
          </w:p>
        </w:tc>
        <w:tc>
          <w:tcPr>
            <w:tcW w:w="1267" w:type="pct"/>
            <w:tcBorders>
              <w:top w:val="single" w:sz="4" w:space="0" w:color="auto"/>
              <w:left w:val="single" w:sz="4" w:space="0" w:color="auto"/>
              <w:bottom w:val="single" w:sz="4" w:space="0" w:color="auto"/>
              <w:right w:val="single" w:sz="4" w:space="0" w:color="auto"/>
            </w:tcBorders>
          </w:tcPr>
          <w:p w14:paraId="39A6DA9A" w14:textId="77777777" w:rsidR="00805093" w:rsidRPr="009C2EAC" w:rsidRDefault="00805093" w:rsidP="009C2EAC">
            <w:pPr>
              <w:rPr>
                <w:szCs w:val="20"/>
              </w:rPr>
            </w:pPr>
          </w:p>
        </w:tc>
      </w:tr>
      <w:tr w:rsidR="00805093" w:rsidRPr="009C2EAC" w14:paraId="72AD9FC8" w14:textId="77777777" w:rsidTr="00805093">
        <w:tc>
          <w:tcPr>
            <w:tcW w:w="651" w:type="pct"/>
            <w:tcBorders>
              <w:top w:val="single" w:sz="4" w:space="0" w:color="auto"/>
              <w:left w:val="single" w:sz="4" w:space="0" w:color="auto"/>
              <w:bottom w:val="single" w:sz="4" w:space="0" w:color="auto"/>
              <w:right w:val="single" w:sz="4" w:space="0" w:color="auto"/>
            </w:tcBorders>
            <w:hideMark/>
          </w:tcPr>
          <w:p w14:paraId="5F6CC620" w14:textId="77777777" w:rsidR="00805093" w:rsidRPr="009C2EAC" w:rsidRDefault="00805093" w:rsidP="009C2EAC">
            <w:pPr>
              <w:jc w:val="left"/>
              <w:rPr>
                <w:szCs w:val="20"/>
              </w:rPr>
            </w:pPr>
            <w:r w:rsidRPr="009C2EAC">
              <w:rPr>
                <w:szCs w:val="20"/>
              </w:rPr>
              <w:t>2.</w:t>
            </w:r>
          </w:p>
        </w:tc>
        <w:tc>
          <w:tcPr>
            <w:tcW w:w="2293" w:type="pct"/>
            <w:tcBorders>
              <w:top w:val="single" w:sz="4" w:space="0" w:color="auto"/>
              <w:left w:val="single" w:sz="4" w:space="0" w:color="auto"/>
              <w:bottom w:val="single" w:sz="4" w:space="0" w:color="auto"/>
              <w:right w:val="single" w:sz="4" w:space="0" w:color="auto"/>
            </w:tcBorders>
          </w:tcPr>
          <w:p w14:paraId="6AF994BC" w14:textId="77777777" w:rsidR="00805093" w:rsidRPr="009C2EAC" w:rsidRDefault="00805093" w:rsidP="009C2EAC">
            <w:pPr>
              <w:rPr>
                <w:szCs w:val="20"/>
              </w:rPr>
            </w:pPr>
          </w:p>
          <w:p w14:paraId="03CBEBB5" w14:textId="77777777" w:rsidR="00805093" w:rsidRPr="009C2EAC" w:rsidRDefault="00805093" w:rsidP="009C2EAC">
            <w:pPr>
              <w:ind w:left="0" w:firstLine="0"/>
              <w:rPr>
                <w:szCs w:val="20"/>
              </w:rPr>
            </w:pPr>
          </w:p>
        </w:tc>
        <w:tc>
          <w:tcPr>
            <w:tcW w:w="790" w:type="pct"/>
            <w:tcBorders>
              <w:top w:val="single" w:sz="4" w:space="0" w:color="auto"/>
              <w:left w:val="single" w:sz="4" w:space="0" w:color="auto"/>
              <w:bottom w:val="single" w:sz="4" w:space="0" w:color="auto"/>
              <w:right w:val="single" w:sz="4" w:space="0" w:color="auto"/>
            </w:tcBorders>
          </w:tcPr>
          <w:p w14:paraId="411E3886" w14:textId="77777777" w:rsidR="00805093" w:rsidRPr="009C2EAC" w:rsidRDefault="00805093" w:rsidP="009C2EAC">
            <w:pPr>
              <w:rPr>
                <w:szCs w:val="20"/>
              </w:rPr>
            </w:pPr>
          </w:p>
        </w:tc>
        <w:tc>
          <w:tcPr>
            <w:tcW w:w="1267" w:type="pct"/>
            <w:tcBorders>
              <w:top w:val="single" w:sz="4" w:space="0" w:color="auto"/>
              <w:left w:val="single" w:sz="4" w:space="0" w:color="auto"/>
              <w:bottom w:val="single" w:sz="4" w:space="0" w:color="auto"/>
              <w:right w:val="single" w:sz="4" w:space="0" w:color="auto"/>
            </w:tcBorders>
          </w:tcPr>
          <w:p w14:paraId="3F6B483E" w14:textId="77777777" w:rsidR="00805093" w:rsidRPr="009C2EAC" w:rsidRDefault="00805093" w:rsidP="009C2EAC">
            <w:pPr>
              <w:rPr>
                <w:szCs w:val="20"/>
              </w:rPr>
            </w:pPr>
          </w:p>
        </w:tc>
      </w:tr>
      <w:tr w:rsidR="00805093" w:rsidRPr="009C2EAC" w14:paraId="60FB5D88" w14:textId="77777777" w:rsidTr="00805093">
        <w:trPr>
          <w:trHeight w:val="472"/>
        </w:trPr>
        <w:tc>
          <w:tcPr>
            <w:tcW w:w="651" w:type="pct"/>
            <w:tcBorders>
              <w:top w:val="single" w:sz="4" w:space="0" w:color="auto"/>
              <w:left w:val="single" w:sz="4" w:space="0" w:color="auto"/>
              <w:bottom w:val="single" w:sz="4" w:space="0" w:color="auto"/>
              <w:right w:val="single" w:sz="4" w:space="0" w:color="auto"/>
            </w:tcBorders>
            <w:hideMark/>
          </w:tcPr>
          <w:p w14:paraId="09D7B8DD" w14:textId="77777777" w:rsidR="00805093" w:rsidRPr="009C2EAC" w:rsidRDefault="00805093" w:rsidP="009C2EAC">
            <w:pPr>
              <w:rPr>
                <w:szCs w:val="20"/>
              </w:rPr>
            </w:pPr>
            <w:r w:rsidRPr="009C2EAC">
              <w:rPr>
                <w:szCs w:val="20"/>
              </w:rPr>
              <w:t>3.</w:t>
            </w:r>
          </w:p>
        </w:tc>
        <w:tc>
          <w:tcPr>
            <w:tcW w:w="2293" w:type="pct"/>
            <w:tcBorders>
              <w:top w:val="single" w:sz="4" w:space="0" w:color="auto"/>
              <w:left w:val="single" w:sz="4" w:space="0" w:color="auto"/>
              <w:bottom w:val="single" w:sz="4" w:space="0" w:color="auto"/>
              <w:right w:val="single" w:sz="4" w:space="0" w:color="auto"/>
            </w:tcBorders>
          </w:tcPr>
          <w:p w14:paraId="33DBBDD8" w14:textId="77777777" w:rsidR="00805093" w:rsidRPr="009C2EAC" w:rsidRDefault="00805093" w:rsidP="009C2EAC">
            <w:pPr>
              <w:ind w:left="0" w:firstLine="0"/>
              <w:rPr>
                <w:szCs w:val="20"/>
              </w:rPr>
            </w:pPr>
          </w:p>
          <w:p w14:paraId="100ECCDB" w14:textId="77777777" w:rsidR="00805093" w:rsidRPr="009C2EAC" w:rsidRDefault="00805093" w:rsidP="009C2EAC">
            <w:pPr>
              <w:rPr>
                <w:szCs w:val="20"/>
              </w:rPr>
            </w:pPr>
          </w:p>
        </w:tc>
        <w:tc>
          <w:tcPr>
            <w:tcW w:w="790" w:type="pct"/>
            <w:tcBorders>
              <w:top w:val="single" w:sz="4" w:space="0" w:color="auto"/>
              <w:left w:val="single" w:sz="4" w:space="0" w:color="auto"/>
              <w:bottom w:val="single" w:sz="4" w:space="0" w:color="auto"/>
              <w:right w:val="single" w:sz="4" w:space="0" w:color="auto"/>
            </w:tcBorders>
          </w:tcPr>
          <w:p w14:paraId="22D5A8AE" w14:textId="77777777" w:rsidR="00805093" w:rsidRPr="009C2EAC" w:rsidRDefault="00805093" w:rsidP="009C2EAC">
            <w:pPr>
              <w:rPr>
                <w:szCs w:val="20"/>
              </w:rPr>
            </w:pPr>
          </w:p>
        </w:tc>
        <w:tc>
          <w:tcPr>
            <w:tcW w:w="1267" w:type="pct"/>
            <w:tcBorders>
              <w:top w:val="single" w:sz="4" w:space="0" w:color="auto"/>
              <w:left w:val="single" w:sz="4" w:space="0" w:color="auto"/>
              <w:bottom w:val="single" w:sz="4" w:space="0" w:color="auto"/>
              <w:right w:val="single" w:sz="4" w:space="0" w:color="auto"/>
            </w:tcBorders>
          </w:tcPr>
          <w:p w14:paraId="79B4DABF" w14:textId="77777777" w:rsidR="00805093" w:rsidRPr="009C2EAC" w:rsidRDefault="00805093" w:rsidP="009C2EAC">
            <w:pPr>
              <w:rPr>
                <w:szCs w:val="20"/>
              </w:rPr>
            </w:pPr>
          </w:p>
        </w:tc>
      </w:tr>
      <w:tr w:rsidR="00805093" w:rsidRPr="009C2EAC" w14:paraId="55EFAD11" w14:textId="77777777" w:rsidTr="00805093">
        <w:trPr>
          <w:trHeight w:val="472"/>
        </w:trPr>
        <w:tc>
          <w:tcPr>
            <w:tcW w:w="651" w:type="pct"/>
            <w:tcBorders>
              <w:top w:val="single" w:sz="4" w:space="0" w:color="auto"/>
              <w:left w:val="single" w:sz="4" w:space="0" w:color="auto"/>
              <w:bottom w:val="single" w:sz="4" w:space="0" w:color="auto"/>
              <w:right w:val="single" w:sz="4" w:space="0" w:color="auto"/>
            </w:tcBorders>
          </w:tcPr>
          <w:p w14:paraId="48B41D18" w14:textId="77777777" w:rsidR="00805093" w:rsidRDefault="00805093" w:rsidP="009C2EAC">
            <w:pPr>
              <w:rPr>
                <w:szCs w:val="20"/>
              </w:rPr>
            </w:pPr>
            <w:r>
              <w:rPr>
                <w:szCs w:val="20"/>
              </w:rPr>
              <w:t>4.</w:t>
            </w:r>
          </w:p>
          <w:p w14:paraId="434A1116" w14:textId="611A4ACA" w:rsidR="00805093" w:rsidRPr="009C2EAC" w:rsidRDefault="00805093" w:rsidP="009C2EAC">
            <w:pPr>
              <w:rPr>
                <w:szCs w:val="20"/>
              </w:rPr>
            </w:pPr>
          </w:p>
        </w:tc>
        <w:tc>
          <w:tcPr>
            <w:tcW w:w="2293" w:type="pct"/>
            <w:tcBorders>
              <w:top w:val="single" w:sz="4" w:space="0" w:color="auto"/>
              <w:left w:val="single" w:sz="4" w:space="0" w:color="auto"/>
              <w:bottom w:val="single" w:sz="4" w:space="0" w:color="auto"/>
              <w:right w:val="single" w:sz="4" w:space="0" w:color="auto"/>
            </w:tcBorders>
          </w:tcPr>
          <w:p w14:paraId="0B7E451F" w14:textId="77777777" w:rsidR="00805093" w:rsidRPr="009C2EAC" w:rsidRDefault="00805093" w:rsidP="009C2EAC">
            <w:pPr>
              <w:ind w:left="0" w:firstLine="0"/>
              <w:rPr>
                <w:szCs w:val="20"/>
              </w:rPr>
            </w:pPr>
          </w:p>
        </w:tc>
        <w:tc>
          <w:tcPr>
            <w:tcW w:w="790" w:type="pct"/>
            <w:tcBorders>
              <w:top w:val="single" w:sz="4" w:space="0" w:color="auto"/>
              <w:left w:val="single" w:sz="4" w:space="0" w:color="auto"/>
              <w:bottom w:val="single" w:sz="4" w:space="0" w:color="auto"/>
              <w:right w:val="single" w:sz="4" w:space="0" w:color="auto"/>
            </w:tcBorders>
          </w:tcPr>
          <w:p w14:paraId="062E7EB9" w14:textId="77777777" w:rsidR="00805093" w:rsidRPr="009C2EAC" w:rsidRDefault="00805093" w:rsidP="009C2EAC">
            <w:pPr>
              <w:rPr>
                <w:szCs w:val="20"/>
              </w:rPr>
            </w:pPr>
          </w:p>
        </w:tc>
        <w:tc>
          <w:tcPr>
            <w:tcW w:w="1267" w:type="pct"/>
            <w:tcBorders>
              <w:top w:val="single" w:sz="4" w:space="0" w:color="auto"/>
              <w:left w:val="single" w:sz="4" w:space="0" w:color="auto"/>
              <w:bottom w:val="single" w:sz="4" w:space="0" w:color="auto"/>
              <w:right w:val="single" w:sz="4" w:space="0" w:color="auto"/>
            </w:tcBorders>
          </w:tcPr>
          <w:p w14:paraId="40C0251F" w14:textId="77777777" w:rsidR="00805093" w:rsidRPr="009C2EAC" w:rsidRDefault="00805093" w:rsidP="009C2EAC">
            <w:pPr>
              <w:rPr>
                <w:szCs w:val="20"/>
              </w:rPr>
            </w:pPr>
          </w:p>
        </w:tc>
      </w:tr>
      <w:tr w:rsidR="00805093" w:rsidRPr="009C2EAC" w14:paraId="2F09E449" w14:textId="77777777" w:rsidTr="00805093">
        <w:trPr>
          <w:trHeight w:val="472"/>
        </w:trPr>
        <w:tc>
          <w:tcPr>
            <w:tcW w:w="651" w:type="pct"/>
            <w:tcBorders>
              <w:top w:val="single" w:sz="4" w:space="0" w:color="auto"/>
              <w:left w:val="single" w:sz="4" w:space="0" w:color="auto"/>
              <w:bottom w:val="single" w:sz="4" w:space="0" w:color="auto"/>
              <w:right w:val="single" w:sz="4" w:space="0" w:color="auto"/>
            </w:tcBorders>
          </w:tcPr>
          <w:p w14:paraId="45BF9094" w14:textId="77777777" w:rsidR="00805093" w:rsidRDefault="00805093" w:rsidP="009C2EAC">
            <w:pPr>
              <w:rPr>
                <w:szCs w:val="20"/>
              </w:rPr>
            </w:pPr>
            <w:r>
              <w:rPr>
                <w:szCs w:val="20"/>
              </w:rPr>
              <w:t>5.</w:t>
            </w:r>
          </w:p>
          <w:p w14:paraId="4374AD65" w14:textId="03BEB201" w:rsidR="00805093" w:rsidRDefault="00805093" w:rsidP="009C2EAC">
            <w:pPr>
              <w:rPr>
                <w:szCs w:val="20"/>
              </w:rPr>
            </w:pPr>
          </w:p>
        </w:tc>
        <w:tc>
          <w:tcPr>
            <w:tcW w:w="2293" w:type="pct"/>
            <w:tcBorders>
              <w:top w:val="single" w:sz="4" w:space="0" w:color="auto"/>
              <w:left w:val="single" w:sz="4" w:space="0" w:color="auto"/>
              <w:bottom w:val="single" w:sz="4" w:space="0" w:color="auto"/>
              <w:right w:val="single" w:sz="4" w:space="0" w:color="auto"/>
            </w:tcBorders>
          </w:tcPr>
          <w:p w14:paraId="6E2CC56B" w14:textId="77777777" w:rsidR="00805093" w:rsidRPr="009C2EAC" w:rsidRDefault="00805093" w:rsidP="009C2EAC">
            <w:pPr>
              <w:ind w:left="0" w:firstLine="0"/>
              <w:rPr>
                <w:szCs w:val="20"/>
              </w:rPr>
            </w:pPr>
          </w:p>
        </w:tc>
        <w:tc>
          <w:tcPr>
            <w:tcW w:w="790" w:type="pct"/>
            <w:tcBorders>
              <w:top w:val="single" w:sz="4" w:space="0" w:color="auto"/>
              <w:left w:val="single" w:sz="4" w:space="0" w:color="auto"/>
              <w:bottom w:val="single" w:sz="4" w:space="0" w:color="auto"/>
              <w:right w:val="single" w:sz="4" w:space="0" w:color="auto"/>
            </w:tcBorders>
          </w:tcPr>
          <w:p w14:paraId="469E8FE2" w14:textId="77777777" w:rsidR="00805093" w:rsidRPr="009C2EAC" w:rsidRDefault="00805093" w:rsidP="009C2EAC">
            <w:pPr>
              <w:rPr>
                <w:szCs w:val="20"/>
              </w:rPr>
            </w:pPr>
          </w:p>
        </w:tc>
        <w:tc>
          <w:tcPr>
            <w:tcW w:w="1267" w:type="pct"/>
            <w:tcBorders>
              <w:top w:val="single" w:sz="4" w:space="0" w:color="auto"/>
              <w:left w:val="single" w:sz="4" w:space="0" w:color="auto"/>
              <w:bottom w:val="single" w:sz="4" w:space="0" w:color="auto"/>
              <w:right w:val="single" w:sz="4" w:space="0" w:color="auto"/>
            </w:tcBorders>
          </w:tcPr>
          <w:p w14:paraId="4C02AE3D" w14:textId="77777777" w:rsidR="00805093" w:rsidRPr="009C2EAC" w:rsidRDefault="0080509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1CDAC3D1" w:rsidR="00F80C8F" w:rsidRDefault="00F80C8F" w:rsidP="00DF51BB">
      <w:pPr>
        <w:ind w:left="0" w:firstLine="0"/>
      </w:pPr>
    </w:p>
    <w:p w14:paraId="5DBA9EE4" w14:textId="77777777" w:rsidR="00F80C8F" w:rsidRPr="00F80C8F" w:rsidRDefault="00F80C8F" w:rsidP="00F80C8F"/>
    <w:p w14:paraId="36A5AC4B" w14:textId="77777777" w:rsidR="00F80C8F" w:rsidRPr="00F80C8F" w:rsidRDefault="00F80C8F" w:rsidP="00F80C8F"/>
    <w:p w14:paraId="10E614B4" w14:textId="77777777" w:rsidR="00F80C8F" w:rsidRPr="00F80C8F" w:rsidRDefault="00F80C8F" w:rsidP="00F80C8F"/>
    <w:p w14:paraId="5142B458" w14:textId="77777777" w:rsidR="00F80C8F" w:rsidRPr="00F80C8F" w:rsidRDefault="00F80C8F" w:rsidP="00F80C8F"/>
    <w:p w14:paraId="0F96E745" w14:textId="222D3892" w:rsidR="007566B0" w:rsidRPr="00F80C8F" w:rsidRDefault="007566B0" w:rsidP="00F80C8F">
      <w:pPr>
        <w:jc w:val="right"/>
      </w:pPr>
    </w:p>
    <w:sectPr w:rsidR="007566B0" w:rsidRPr="00F80C8F" w:rsidSect="00D9766C">
      <w:headerReference w:type="default" r:id="rId8"/>
      <w:footerReference w:type="default" r:id="rId9"/>
      <w:headerReference w:type="first" r:id="rId10"/>
      <w:footerReference w:type="first" r:id="rId11"/>
      <w:pgSz w:w="11906" w:h="16838" w:code="9"/>
      <w:pgMar w:top="568" w:right="1134" w:bottom="567"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16"/>
        <w:szCs w:val="16"/>
      </w:rPr>
      <w:id w:val="-35046454"/>
      <w:docPartObj>
        <w:docPartGallery w:val="Page Numbers (Bottom of Page)"/>
        <w:docPartUnique/>
      </w:docPartObj>
    </w:sdtPr>
    <w:sdtEndPr/>
    <w:sdtContent>
      <w:p w14:paraId="2DC12E4B" w14:textId="0FAE0174" w:rsidR="003D07A1" w:rsidRPr="003D07A1" w:rsidRDefault="002146FA" w:rsidP="00F65982">
        <w:pPr>
          <w:pStyle w:val="Stopka"/>
          <w:spacing w:before="240"/>
          <w:jc w:val="right"/>
          <w:rPr>
            <w:rFonts w:eastAsiaTheme="majorEastAsia" w:cstheme="majorBidi"/>
            <w:sz w:val="16"/>
            <w:szCs w:val="16"/>
          </w:rPr>
        </w:pPr>
        <w:r w:rsidRPr="003D07A1">
          <w:rPr>
            <w:rFonts w:eastAsiaTheme="majorEastAsia" w:cstheme="majorBidi"/>
            <w:sz w:val="16"/>
            <w:szCs w:val="16"/>
          </w:rPr>
          <w:t xml:space="preserve">str. </w:t>
        </w:r>
        <w:r w:rsidRPr="003D07A1">
          <w:rPr>
            <w:rFonts w:eastAsiaTheme="minorEastAsia" w:cs="Times New Roman"/>
            <w:sz w:val="16"/>
            <w:szCs w:val="16"/>
          </w:rPr>
          <w:fldChar w:fldCharType="begin"/>
        </w:r>
        <w:r w:rsidRPr="003D07A1">
          <w:rPr>
            <w:sz w:val="16"/>
            <w:szCs w:val="16"/>
          </w:rPr>
          <w:instrText>PAGE    \* MERGEFORMAT</w:instrText>
        </w:r>
        <w:r w:rsidRPr="003D07A1">
          <w:rPr>
            <w:rFonts w:eastAsiaTheme="minorEastAsia" w:cs="Times New Roman"/>
            <w:sz w:val="16"/>
            <w:szCs w:val="16"/>
          </w:rPr>
          <w:fldChar w:fldCharType="separate"/>
        </w:r>
        <w:r w:rsidRPr="003D07A1">
          <w:rPr>
            <w:rFonts w:eastAsiaTheme="majorEastAsia" w:cstheme="majorBidi"/>
            <w:sz w:val="16"/>
            <w:szCs w:val="16"/>
          </w:rPr>
          <w:t>2</w:t>
        </w:r>
        <w:r w:rsidRPr="003D07A1">
          <w:rPr>
            <w:rFonts w:eastAsiaTheme="majorEastAsia" w:cstheme="majorBidi"/>
            <w:sz w:val="16"/>
            <w:szCs w:val="16"/>
          </w:rPr>
          <w:fldChar w:fldCharType="end"/>
        </w:r>
        <w:r w:rsidRPr="003D07A1">
          <w:rPr>
            <w:rFonts w:eastAsiaTheme="majorEastAsia" w:cstheme="majorBidi"/>
            <w:sz w:val="16"/>
            <w:szCs w:val="16"/>
          </w:rPr>
          <w:t xml:space="preserve"> z </w:t>
        </w:r>
        <w:r w:rsidR="00DC01E6">
          <w:rPr>
            <w:rFonts w:eastAsiaTheme="majorEastAsia" w:cstheme="majorBidi"/>
            <w:sz w:val="16"/>
            <w:szCs w:val="16"/>
          </w:rPr>
          <w:t>20</w:t>
        </w:r>
      </w:p>
      <w:p w14:paraId="12842965" w14:textId="0B3FE858" w:rsidR="002146FA" w:rsidRPr="003D07A1" w:rsidRDefault="005C0C87" w:rsidP="00BB360B">
        <w:pPr>
          <w:pStyle w:val="Stopka"/>
          <w:spacing w:before="120"/>
          <w:jc w:val="right"/>
          <w:rPr>
            <w:rFonts w:eastAsiaTheme="majorEastAsia" w:cstheme="majorBidi"/>
            <w:sz w:val="16"/>
            <w:szCs w:val="16"/>
          </w:rPr>
        </w:pPr>
      </w:p>
    </w:sdtContent>
  </w:sdt>
  <w:p w14:paraId="6C92B549" w14:textId="369EF770" w:rsidR="00F470FB" w:rsidRPr="003D07A1" w:rsidRDefault="00F470FB" w:rsidP="00045BBB">
    <w:pPr>
      <w:pStyle w:val="Stopka"/>
      <w:ind w:left="284"/>
      <w:rPr>
        <w:rFonts w:ascii="PT Sans" w:hAnsi="PT Sans"/>
        <w:sz w:val="16"/>
        <w:szCs w:val="16"/>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3" w:name="_Hlk136601009" w:displacedByCustomXml="next"/>
  <w:bookmarkStart w:id="14"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0"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3"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0288"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3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5C0C87"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4"/>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14FAC6E4"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xml:space="preserve">. Dotyczy jedynie </w:t>
      </w:r>
      <w:r w:rsidR="00DD1C03">
        <w:rPr>
          <w:rFonts w:ascii="Bahnschrift" w:hAnsi="Bahnschrift" w:cs="Arial"/>
          <w:sz w:val="16"/>
          <w:szCs w:val="16"/>
        </w:rPr>
        <w:t>W</w:t>
      </w:r>
      <w:r w:rsidRPr="00681F6C">
        <w:rPr>
          <w:rFonts w:ascii="Bahnschrift" w:hAnsi="Bahnschrift" w:cs="Arial"/>
          <w:sz w:val="16"/>
          <w:szCs w:val="16"/>
        </w:rPr>
        <w:t>ykonawców wspólnie ubiegających się o udzielenie zamówienia.</w:t>
      </w:r>
    </w:p>
  </w:footnote>
  <w:footnote w:id="2">
    <w:p w14:paraId="30822BA1" w14:textId="77777777" w:rsidR="00D50BD4" w:rsidRPr="005B713B" w:rsidRDefault="00D50BD4" w:rsidP="00D50BD4">
      <w:pPr>
        <w:pStyle w:val="Tekstprzypisudolnego"/>
        <w:spacing w:after="0" w:line="240" w:lineRule="auto"/>
        <w:ind w:left="284"/>
        <w:rPr>
          <w:rFonts w:ascii="Bahnschrift" w:hAnsi="Bahnschrift" w:cs="Arial"/>
          <w:i/>
          <w:sz w:val="16"/>
          <w:szCs w:val="16"/>
        </w:rPr>
      </w:pPr>
      <w:r w:rsidRPr="005B713B">
        <w:rPr>
          <w:rStyle w:val="Odwoanieprzypisudolnego"/>
          <w:rFonts w:ascii="Bahnschrift" w:hAnsi="Bahnschrift" w:cs="Arial"/>
          <w:sz w:val="16"/>
          <w:szCs w:val="16"/>
          <w:vertAlign w:val="baseline"/>
        </w:rPr>
        <w:footnoteRef/>
      </w:r>
      <w:r w:rsidRPr="005B713B">
        <w:rPr>
          <w:rFonts w:ascii="Bahnschrift" w:hAnsi="Bahnschrift" w:cs="Arial"/>
          <w:i/>
          <w:sz w:val="16"/>
          <w:szCs w:val="16"/>
        </w:rPr>
        <w:t xml:space="preserve">. </w:t>
      </w:r>
      <w:r w:rsidRPr="005B713B">
        <w:rPr>
          <w:rFonts w:ascii="Bahnschrift" w:hAnsi="Bahnschrift" w:cs="Arial"/>
          <w:sz w:val="16"/>
          <w:szCs w:val="16"/>
        </w:rPr>
        <w:t>Jeżeli Wykonawca zamierza realizować zamówienie przy udziale podwykonawcy.</w:t>
      </w:r>
    </w:p>
  </w:footnote>
  <w:footnote w:id="3">
    <w:p w14:paraId="30533379" w14:textId="51EFE3E8" w:rsidR="00974E18" w:rsidRPr="0042085F" w:rsidRDefault="00974E18" w:rsidP="009B4776">
      <w:pPr>
        <w:pStyle w:val="Tekstprzypisudolnego"/>
        <w:spacing w:after="0" w:line="36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w:t>
      </w:r>
      <w:r w:rsidR="009B4776">
        <w:rPr>
          <w:rFonts w:ascii="Bahnschrift" w:hAnsi="Bahnschrift" w:cs="Arial"/>
          <w:sz w:val="16"/>
          <w:szCs w:val="16"/>
        </w:rPr>
        <w:t xml:space="preserve"> </w:t>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4">
    <w:p w14:paraId="5F3E9C64" w14:textId="5EBC2776" w:rsidR="00F470FB" w:rsidRPr="00323109" w:rsidRDefault="00F470FB" w:rsidP="009C2EAC">
      <w:pPr>
        <w:pStyle w:val="Tekstprzypisudolnego"/>
        <w:spacing w:after="0" w:line="240" w:lineRule="auto"/>
        <w:ind w:left="284" w:hanging="142"/>
        <w:rPr>
          <w:rFonts w:ascii="Bahnschrift" w:hAnsi="Bahnschrift" w:cs="Arial"/>
          <w:sz w:val="16"/>
          <w:szCs w:val="16"/>
        </w:rPr>
      </w:pPr>
      <w:r w:rsidRPr="00323109">
        <w:rPr>
          <w:rFonts w:ascii="Bahnschrift" w:hAnsi="Bahnschrift"/>
          <w:sz w:val="16"/>
          <w:szCs w:val="16"/>
        </w:rPr>
        <w:footnoteRef/>
      </w:r>
      <w:r w:rsidR="00323109">
        <w:rPr>
          <w:rFonts w:ascii="Bahnschrift" w:hAnsi="Bahnschrift" w:cs="Arial"/>
          <w:sz w:val="16"/>
          <w:szCs w:val="16"/>
        </w:rPr>
        <w:t>.</w:t>
      </w:r>
      <w:r w:rsidRPr="00323109">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5">
    <w:p w14:paraId="66F797E6" w14:textId="136B0154" w:rsidR="00560993" w:rsidRPr="00307107" w:rsidRDefault="00560993" w:rsidP="00323109">
      <w:pPr>
        <w:pStyle w:val="Tekstprzypisudolnego"/>
        <w:ind w:left="142" w:firstLine="0"/>
        <w:rPr>
          <w:rFonts w:ascii="Bahnschrift" w:hAnsi="Bahnschrift"/>
          <w:sz w:val="22"/>
          <w:szCs w:val="22"/>
          <w:vertAlign w:val="superscript"/>
        </w:rPr>
      </w:pPr>
      <w:r w:rsidRPr="00323109">
        <w:rPr>
          <w:rStyle w:val="Odwoanieprzypisudolnego"/>
          <w:rFonts w:ascii="Bahnschrift" w:hAnsi="Bahnschrift"/>
          <w:sz w:val="16"/>
          <w:szCs w:val="16"/>
          <w:vertAlign w:val="baseline"/>
        </w:rPr>
        <w:footnoteRef/>
      </w:r>
      <w:r w:rsidR="00323109">
        <w:rPr>
          <w:rFonts w:ascii="Bahnschrift" w:hAnsi="Bahnschrift"/>
          <w:sz w:val="16"/>
          <w:szCs w:val="16"/>
        </w:rPr>
        <w:t xml:space="preserve">. </w:t>
      </w:r>
      <w:r w:rsidRPr="00323109">
        <w:rPr>
          <w:rFonts w:ascii="Bahnschrift" w:hAnsi="Bahnschrift"/>
          <w:sz w:val="16"/>
          <w:szCs w:val="16"/>
        </w:rPr>
        <w:t>Zgodnie z ofertą Wykonawcy.</w:t>
      </w:r>
    </w:p>
  </w:footnote>
  <w:footnote w:id="6">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1F379" w14:textId="77777777" w:rsidR="00F65982" w:rsidRDefault="00F65982" w:rsidP="00303464">
    <w:pPr>
      <w:pStyle w:val="Nagwek"/>
      <w:spacing w:before="36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7" w:name="_Hlk138251184"/>
    <w:bookmarkStart w:id="8" w:name="_Hlk138251185"/>
  </w:p>
  <w:p w14:paraId="3036128A" w14:textId="4AB764DA" w:rsidR="0006215F" w:rsidRDefault="002146FA" w:rsidP="0006215F">
    <w:pPr>
      <w:tabs>
        <w:tab w:val="left" w:pos="3300"/>
      </w:tabs>
      <w:spacing w:line="240" w:lineRule="auto"/>
      <w:ind w:left="0" w:firstLine="0"/>
    </w:pPr>
    <w:bookmarkStart w:id="9" w:name="_Hlk138250737"/>
    <w:bookmarkStart w:id="10" w:name="_Hlk138250738"/>
    <w:bookmarkStart w:id="11" w:name="_Hlk138250247"/>
    <w:bookmarkStart w:id="12" w:name="_Hlk138250248"/>
    <w:r w:rsidRPr="00A4141F">
      <w:rPr>
        <w:rFonts w:eastAsia="Palatino Linotype" w:cs="Times New Roman"/>
        <w:noProof/>
        <w:lang w:eastAsia="pl-PL"/>
      </w:rPr>
      <w:drawing>
        <wp:anchor distT="0" distB="0" distL="114300" distR="114300" simplePos="0" relativeHeight="251654144"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7"/>
    <w:bookmarkEnd w:id="8"/>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22C07D2"/>
    <w:multiLevelType w:val="hybridMultilevel"/>
    <w:tmpl w:val="53AEC4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B9415C"/>
    <w:multiLevelType w:val="hybridMultilevel"/>
    <w:tmpl w:val="6FB61396"/>
    <w:lvl w:ilvl="0" w:tplc="377A9E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1433A4"/>
    <w:multiLevelType w:val="hybridMultilevel"/>
    <w:tmpl w:val="664E3D42"/>
    <w:lvl w:ilvl="0" w:tplc="071AB76E">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F33B24"/>
    <w:multiLevelType w:val="hybridMultilevel"/>
    <w:tmpl w:val="C576D7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BD54A41"/>
    <w:multiLevelType w:val="hybridMultilevel"/>
    <w:tmpl w:val="79E0FAB2"/>
    <w:lvl w:ilvl="0" w:tplc="CE82E2FC">
      <w:start w:val="1"/>
      <w:numFmt w:val="decimal"/>
      <w:pStyle w:val="Nagwek2"/>
      <w:lvlText w:val="%1."/>
      <w:lvlJc w:val="left"/>
      <w:pPr>
        <w:ind w:left="360" w:hanging="360"/>
      </w:pPr>
      <w:rPr>
        <w:rFonts w:ascii="Bahnschrift" w:hAnsi="Bahnschrift" w:hint="default"/>
        <w:b w:val="0"/>
        <w:i w:val="0"/>
        <w:strike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AB0AC7"/>
    <w:multiLevelType w:val="multilevel"/>
    <w:tmpl w:val="68C836C0"/>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start w:val="1"/>
      <w:numFmt w:val="decimal"/>
      <w:lvlText w:val="%5)"/>
      <w:lvlJc w:val="left"/>
      <w:pPr>
        <w:ind w:left="3600" w:hanging="360"/>
      </w:pPr>
      <w:rPr>
        <w:rFonts w:ascii="Arial" w:eastAsia="Calibri" w:hAnsi="Arial" w:cs="Arial"/>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5A3F5E08"/>
    <w:multiLevelType w:val="multilevel"/>
    <w:tmpl w:val="75AE0B24"/>
    <w:lvl w:ilvl="0">
      <w:start w:val="3"/>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5" w15:restartNumberingAfterBreak="0">
    <w:nsid w:val="61641193"/>
    <w:multiLevelType w:val="hybridMultilevel"/>
    <w:tmpl w:val="DF28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7241C2"/>
    <w:multiLevelType w:val="hybridMultilevel"/>
    <w:tmpl w:val="C266440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7928447D"/>
    <w:multiLevelType w:val="hybridMultilevel"/>
    <w:tmpl w:val="69F075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10"/>
  </w:num>
  <w:num w:numId="3">
    <w:abstractNumId w:val="6"/>
  </w:num>
  <w:num w:numId="4">
    <w:abstractNumId w:val="12"/>
  </w:num>
  <w:num w:numId="5">
    <w:abstractNumId w:val="6"/>
    <w:lvlOverride w:ilvl="0">
      <w:startOverride w:val="1"/>
    </w:lvlOverride>
  </w:num>
  <w:num w:numId="6">
    <w:abstractNumId w:val="10"/>
  </w:num>
  <w:num w:numId="7">
    <w:abstractNumId w:val="7"/>
  </w:num>
  <w:num w:numId="8">
    <w:abstractNumId w:val="8"/>
  </w:num>
  <w:num w:numId="9">
    <w:abstractNumId w:val="10"/>
    <w:lvlOverride w:ilvl="0">
      <w:startOverride w:val="3"/>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1"/>
    </w:lvlOverride>
  </w:num>
  <w:num w:numId="14">
    <w:abstractNumId w:val="10"/>
    <w:lvlOverride w:ilvl="0">
      <w:startOverride w:val="1"/>
    </w:lvlOverride>
  </w:num>
  <w:num w:numId="15">
    <w:abstractNumId w:val="6"/>
    <w:lvlOverride w:ilvl="0">
      <w:startOverride w:val="1"/>
    </w:lvlOverride>
  </w:num>
  <w:num w:numId="16">
    <w:abstractNumId w:val="10"/>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6"/>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10"/>
    <w:lvlOverride w:ilvl="0">
      <w:startOverride w:val="1"/>
    </w:lvlOverride>
  </w:num>
  <w:num w:numId="27">
    <w:abstractNumId w:val="6"/>
  </w:num>
  <w:num w:numId="28">
    <w:abstractNumId w:val="17"/>
  </w:num>
  <w:num w:numId="29">
    <w:abstractNumId w:val="15"/>
  </w:num>
  <w:num w:numId="30">
    <w:abstractNumId w:val="13"/>
  </w:num>
  <w:num w:numId="31">
    <w:abstractNumId w:val="10"/>
    <w:lvlOverride w:ilvl="0">
      <w:startOverride w:val="1"/>
    </w:lvlOverride>
  </w:num>
  <w:num w:numId="32">
    <w:abstractNumId w:val="10"/>
    <w:lvlOverride w:ilvl="0">
      <w:startOverride w:val="1"/>
    </w:lvlOverride>
  </w:num>
  <w:num w:numId="33">
    <w:abstractNumId w:val="0"/>
  </w:num>
  <w:num w:numId="34">
    <w:abstractNumId w:val="14"/>
  </w:num>
  <w:num w:numId="35">
    <w:abstractNumId w:val="10"/>
  </w:num>
  <w:num w:numId="36">
    <w:abstractNumId w:val="10"/>
    <w:lvlOverride w:ilvl="0">
      <w:startOverride w:val="2"/>
    </w:lvlOverride>
  </w:num>
  <w:num w:numId="37">
    <w:abstractNumId w:val="10"/>
    <w:lvlOverride w:ilvl="0">
      <w:startOverride w:val="1"/>
    </w:lvlOverride>
  </w:num>
  <w:num w:numId="38">
    <w:abstractNumId w:val="4"/>
  </w:num>
  <w:num w:numId="39">
    <w:abstractNumId w:val="10"/>
    <w:lvlOverride w:ilvl="0">
      <w:startOverride w:val="1"/>
    </w:lvlOverride>
  </w:num>
  <w:num w:numId="40">
    <w:abstractNumId w:val="5"/>
  </w:num>
  <w:num w:numId="41">
    <w:abstractNumId w:val="3"/>
  </w:num>
  <w:num w:numId="42">
    <w:abstractNumId w:val="1"/>
  </w:num>
  <w:num w:numId="43">
    <w:abstractNumId w:val="16"/>
  </w:num>
  <w:num w:numId="44">
    <w:abstractNumId w:val="10"/>
    <w:lvlOverride w:ilvl="0">
      <w:startOverride w:val="6"/>
    </w:lvlOverride>
  </w:num>
  <w:num w:numId="45">
    <w:abstractNumId w:val="2"/>
  </w:num>
  <w:num w:numId="46">
    <w:abstractNumId w:val="9"/>
  </w:num>
  <w:num w:numId="47">
    <w:abstractNumId w:val="10"/>
    <w:lvlOverride w:ilvl="0">
      <w:startOverride w:val="1"/>
    </w:lvlOverride>
  </w:num>
  <w:num w:numId="48">
    <w:abstractNumId w:val="6"/>
    <w:lvlOverride w:ilvl="0">
      <w:startOverride w:val="1"/>
    </w:lvlOverride>
  </w:num>
  <w:num w:numId="49">
    <w:abstractNumId w:val="10"/>
    <w:lvlOverride w:ilvl="0">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379D2"/>
    <w:rsid w:val="00041F3F"/>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7740"/>
    <w:rsid w:val="000978BA"/>
    <w:rsid w:val="000A0A8A"/>
    <w:rsid w:val="000A2883"/>
    <w:rsid w:val="000A35E0"/>
    <w:rsid w:val="000A37EA"/>
    <w:rsid w:val="000A3D64"/>
    <w:rsid w:val="000A4A6D"/>
    <w:rsid w:val="000A5BCB"/>
    <w:rsid w:val="000A7454"/>
    <w:rsid w:val="000B0AAE"/>
    <w:rsid w:val="000C35A2"/>
    <w:rsid w:val="000C3B6A"/>
    <w:rsid w:val="000C5ABC"/>
    <w:rsid w:val="000C6E83"/>
    <w:rsid w:val="000D0B19"/>
    <w:rsid w:val="000D1F37"/>
    <w:rsid w:val="000E4217"/>
    <w:rsid w:val="000E55CD"/>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3567"/>
    <w:rsid w:val="00155256"/>
    <w:rsid w:val="0015756C"/>
    <w:rsid w:val="00157924"/>
    <w:rsid w:val="00165985"/>
    <w:rsid w:val="00170642"/>
    <w:rsid w:val="001814C5"/>
    <w:rsid w:val="00183235"/>
    <w:rsid w:val="001863EA"/>
    <w:rsid w:val="001902EC"/>
    <w:rsid w:val="00190BC1"/>
    <w:rsid w:val="00191FC0"/>
    <w:rsid w:val="00194016"/>
    <w:rsid w:val="00197885"/>
    <w:rsid w:val="00197CBB"/>
    <w:rsid w:val="001A0C84"/>
    <w:rsid w:val="001A1F4A"/>
    <w:rsid w:val="001A2F09"/>
    <w:rsid w:val="001A6930"/>
    <w:rsid w:val="001B1AC0"/>
    <w:rsid w:val="001B500B"/>
    <w:rsid w:val="001C20E0"/>
    <w:rsid w:val="001C43D0"/>
    <w:rsid w:val="001C746C"/>
    <w:rsid w:val="001D05CD"/>
    <w:rsid w:val="001D46BB"/>
    <w:rsid w:val="001E0C9A"/>
    <w:rsid w:val="001E3AE7"/>
    <w:rsid w:val="001E4BD9"/>
    <w:rsid w:val="001E4E88"/>
    <w:rsid w:val="001F7B7A"/>
    <w:rsid w:val="00200A27"/>
    <w:rsid w:val="00203917"/>
    <w:rsid w:val="00206E06"/>
    <w:rsid w:val="00207630"/>
    <w:rsid w:val="002146FA"/>
    <w:rsid w:val="002165FC"/>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3CD7"/>
    <w:rsid w:val="002A46AC"/>
    <w:rsid w:val="002A50F6"/>
    <w:rsid w:val="002A6E94"/>
    <w:rsid w:val="002A747E"/>
    <w:rsid w:val="002B0AD5"/>
    <w:rsid w:val="002B0C91"/>
    <w:rsid w:val="002B20B0"/>
    <w:rsid w:val="002B3B39"/>
    <w:rsid w:val="002B5872"/>
    <w:rsid w:val="002B6782"/>
    <w:rsid w:val="002C182B"/>
    <w:rsid w:val="002C35BC"/>
    <w:rsid w:val="002C58C5"/>
    <w:rsid w:val="002C74B2"/>
    <w:rsid w:val="002D273D"/>
    <w:rsid w:val="002D2B66"/>
    <w:rsid w:val="002D2F12"/>
    <w:rsid w:val="002D64F0"/>
    <w:rsid w:val="002E468E"/>
    <w:rsid w:val="002E4CF0"/>
    <w:rsid w:val="002E5E4E"/>
    <w:rsid w:val="002F44FC"/>
    <w:rsid w:val="002F53F1"/>
    <w:rsid w:val="002F5524"/>
    <w:rsid w:val="002F56CF"/>
    <w:rsid w:val="00303464"/>
    <w:rsid w:val="00305D5C"/>
    <w:rsid w:val="0031115A"/>
    <w:rsid w:val="003144B0"/>
    <w:rsid w:val="00317F1D"/>
    <w:rsid w:val="00321B53"/>
    <w:rsid w:val="00323109"/>
    <w:rsid w:val="00324CDF"/>
    <w:rsid w:val="00326210"/>
    <w:rsid w:val="003322E2"/>
    <w:rsid w:val="003327C2"/>
    <w:rsid w:val="00334831"/>
    <w:rsid w:val="003439DD"/>
    <w:rsid w:val="00345671"/>
    <w:rsid w:val="0035058A"/>
    <w:rsid w:val="00353CED"/>
    <w:rsid w:val="00354EEE"/>
    <w:rsid w:val="00357D01"/>
    <w:rsid w:val="003636A2"/>
    <w:rsid w:val="00364386"/>
    <w:rsid w:val="00370276"/>
    <w:rsid w:val="003728E9"/>
    <w:rsid w:val="00376FDF"/>
    <w:rsid w:val="00382315"/>
    <w:rsid w:val="00384DA3"/>
    <w:rsid w:val="003925AC"/>
    <w:rsid w:val="00392FAB"/>
    <w:rsid w:val="003935AD"/>
    <w:rsid w:val="003951F8"/>
    <w:rsid w:val="003A2237"/>
    <w:rsid w:val="003B21F8"/>
    <w:rsid w:val="003B3416"/>
    <w:rsid w:val="003C094D"/>
    <w:rsid w:val="003C0CBE"/>
    <w:rsid w:val="003C3AC5"/>
    <w:rsid w:val="003C461B"/>
    <w:rsid w:val="003C6D2D"/>
    <w:rsid w:val="003C6D9B"/>
    <w:rsid w:val="003C6FE1"/>
    <w:rsid w:val="003D07A1"/>
    <w:rsid w:val="003D36DB"/>
    <w:rsid w:val="003D6003"/>
    <w:rsid w:val="003D6BBB"/>
    <w:rsid w:val="003D7AB9"/>
    <w:rsid w:val="003E05AE"/>
    <w:rsid w:val="003E3BDD"/>
    <w:rsid w:val="003F2143"/>
    <w:rsid w:val="003F491E"/>
    <w:rsid w:val="003F5479"/>
    <w:rsid w:val="004016A9"/>
    <w:rsid w:val="00402A27"/>
    <w:rsid w:val="004045CF"/>
    <w:rsid w:val="00404C44"/>
    <w:rsid w:val="00405CE2"/>
    <w:rsid w:val="004106DF"/>
    <w:rsid w:val="00410DFD"/>
    <w:rsid w:val="00414063"/>
    <w:rsid w:val="00416D5A"/>
    <w:rsid w:val="0042085F"/>
    <w:rsid w:val="00422056"/>
    <w:rsid w:val="0042752D"/>
    <w:rsid w:val="00430D9E"/>
    <w:rsid w:val="0043134E"/>
    <w:rsid w:val="004356C4"/>
    <w:rsid w:val="00436F8D"/>
    <w:rsid w:val="0044160A"/>
    <w:rsid w:val="00442109"/>
    <w:rsid w:val="00444CFD"/>
    <w:rsid w:val="004516FA"/>
    <w:rsid w:val="00455B33"/>
    <w:rsid w:val="00456665"/>
    <w:rsid w:val="00457D79"/>
    <w:rsid w:val="00467882"/>
    <w:rsid w:val="0047139A"/>
    <w:rsid w:val="00471B27"/>
    <w:rsid w:val="00473D30"/>
    <w:rsid w:val="00473F6B"/>
    <w:rsid w:val="00475AAC"/>
    <w:rsid w:val="00477897"/>
    <w:rsid w:val="00477FA3"/>
    <w:rsid w:val="004837D8"/>
    <w:rsid w:val="00490CBC"/>
    <w:rsid w:val="0049570C"/>
    <w:rsid w:val="004960E1"/>
    <w:rsid w:val="004A2BDB"/>
    <w:rsid w:val="004A6BB3"/>
    <w:rsid w:val="004B3353"/>
    <w:rsid w:val="004B4CE9"/>
    <w:rsid w:val="004B7C2C"/>
    <w:rsid w:val="004C0E1D"/>
    <w:rsid w:val="004D22E3"/>
    <w:rsid w:val="004D2D43"/>
    <w:rsid w:val="004E0BD8"/>
    <w:rsid w:val="004E41E1"/>
    <w:rsid w:val="004F088D"/>
    <w:rsid w:val="00507C06"/>
    <w:rsid w:val="005149DB"/>
    <w:rsid w:val="00515101"/>
    <w:rsid w:val="00524F3C"/>
    <w:rsid w:val="0052703A"/>
    <w:rsid w:val="00530CAA"/>
    <w:rsid w:val="005355C6"/>
    <w:rsid w:val="00544100"/>
    <w:rsid w:val="0055317F"/>
    <w:rsid w:val="00553D74"/>
    <w:rsid w:val="00554026"/>
    <w:rsid w:val="00555C10"/>
    <w:rsid w:val="00557CB8"/>
    <w:rsid w:val="00560993"/>
    <w:rsid w:val="00560E85"/>
    <w:rsid w:val="005625C2"/>
    <w:rsid w:val="00562CA4"/>
    <w:rsid w:val="00565694"/>
    <w:rsid w:val="00566D02"/>
    <w:rsid w:val="00570D3A"/>
    <w:rsid w:val="00573D47"/>
    <w:rsid w:val="00584E90"/>
    <w:rsid w:val="00586657"/>
    <w:rsid w:val="00590C44"/>
    <w:rsid w:val="00590E77"/>
    <w:rsid w:val="005968E9"/>
    <w:rsid w:val="005976A8"/>
    <w:rsid w:val="005A058D"/>
    <w:rsid w:val="005A1895"/>
    <w:rsid w:val="005A19CF"/>
    <w:rsid w:val="005A269D"/>
    <w:rsid w:val="005B1062"/>
    <w:rsid w:val="005B34FE"/>
    <w:rsid w:val="005B5871"/>
    <w:rsid w:val="005B713B"/>
    <w:rsid w:val="005C0C87"/>
    <w:rsid w:val="005C41F7"/>
    <w:rsid w:val="005D2930"/>
    <w:rsid w:val="005D3EFE"/>
    <w:rsid w:val="005D4855"/>
    <w:rsid w:val="005D5757"/>
    <w:rsid w:val="005D63CD"/>
    <w:rsid w:val="005D6930"/>
    <w:rsid w:val="005D7199"/>
    <w:rsid w:val="005D7592"/>
    <w:rsid w:val="005D7EA1"/>
    <w:rsid w:val="005E7B56"/>
    <w:rsid w:val="005F0C33"/>
    <w:rsid w:val="005F2A5F"/>
    <w:rsid w:val="005F47E3"/>
    <w:rsid w:val="005F55F0"/>
    <w:rsid w:val="006000D9"/>
    <w:rsid w:val="00602A59"/>
    <w:rsid w:val="00602F9D"/>
    <w:rsid w:val="00604E76"/>
    <w:rsid w:val="00605637"/>
    <w:rsid w:val="0060617B"/>
    <w:rsid w:val="006066A1"/>
    <w:rsid w:val="0061008C"/>
    <w:rsid w:val="00610A45"/>
    <w:rsid w:val="00610E69"/>
    <w:rsid w:val="0061140F"/>
    <w:rsid w:val="00614792"/>
    <w:rsid w:val="00616560"/>
    <w:rsid w:val="0061721E"/>
    <w:rsid w:val="006378CF"/>
    <w:rsid w:val="00641A3E"/>
    <w:rsid w:val="00642C54"/>
    <w:rsid w:val="0066172A"/>
    <w:rsid w:val="00663D66"/>
    <w:rsid w:val="006675AE"/>
    <w:rsid w:val="00671CA8"/>
    <w:rsid w:val="006727FE"/>
    <w:rsid w:val="00672E4B"/>
    <w:rsid w:val="00673F0B"/>
    <w:rsid w:val="006750CE"/>
    <w:rsid w:val="00681F6C"/>
    <w:rsid w:val="00687243"/>
    <w:rsid w:val="006901E3"/>
    <w:rsid w:val="00691D7C"/>
    <w:rsid w:val="00692EEF"/>
    <w:rsid w:val="00696973"/>
    <w:rsid w:val="006A1250"/>
    <w:rsid w:val="006A5F11"/>
    <w:rsid w:val="006A784F"/>
    <w:rsid w:val="006B318B"/>
    <w:rsid w:val="006C4322"/>
    <w:rsid w:val="006C5845"/>
    <w:rsid w:val="006D3219"/>
    <w:rsid w:val="006D6009"/>
    <w:rsid w:val="006D73C1"/>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196"/>
    <w:rsid w:val="00733EB6"/>
    <w:rsid w:val="007347EC"/>
    <w:rsid w:val="00743CB0"/>
    <w:rsid w:val="00747C84"/>
    <w:rsid w:val="00747E14"/>
    <w:rsid w:val="00752908"/>
    <w:rsid w:val="00753946"/>
    <w:rsid w:val="007566B0"/>
    <w:rsid w:val="0075719A"/>
    <w:rsid w:val="007622B3"/>
    <w:rsid w:val="00764740"/>
    <w:rsid w:val="00765CD8"/>
    <w:rsid w:val="007667C8"/>
    <w:rsid w:val="00773686"/>
    <w:rsid w:val="007736C6"/>
    <w:rsid w:val="0077432F"/>
    <w:rsid w:val="00774987"/>
    <w:rsid w:val="00777490"/>
    <w:rsid w:val="007776C0"/>
    <w:rsid w:val="007777EF"/>
    <w:rsid w:val="00781509"/>
    <w:rsid w:val="00781B28"/>
    <w:rsid w:val="00782008"/>
    <w:rsid w:val="00782423"/>
    <w:rsid w:val="0078526B"/>
    <w:rsid w:val="00791BE2"/>
    <w:rsid w:val="0079207F"/>
    <w:rsid w:val="00794699"/>
    <w:rsid w:val="00794879"/>
    <w:rsid w:val="0079578B"/>
    <w:rsid w:val="007A06EE"/>
    <w:rsid w:val="007B1224"/>
    <w:rsid w:val="007B551E"/>
    <w:rsid w:val="007B78E5"/>
    <w:rsid w:val="007C0300"/>
    <w:rsid w:val="007C2A63"/>
    <w:rsid w:val="007C4B5D"/>
    <w:rsid w:val="007C52C3"/>
    <w:rsid w:val="007C7952"/>
    <w:rsid w:val="007D12A1"/>
    <w:rsid w:val="007D406B"/>
    <w:rsid w:val="007D67F0"/>
    <w:rsid w:val="007E1600"/>
    <w:rsid w:val="007E1EB6"/>
    <w:rsid w:val="007E65ED"/>
    <w:rsid w:val="007E73BA"/>
    <w:rsid w:val="007F0C22"/>
    <w:rsid w:val="007F153F"/>
    <w:rsid w:val="007F1CC6"/>
    <w:rsid w:val="007F2357"/>
    <w:rsid w:val="007F728E"/>
    <w:rsid w:val="0080127A"/>
    <w:rsid w:val="00801A5D"/>
    <w:rsid w:val="00805093"/>
    <w:rsid w:val="00805508"/>
    <w:rsid w:val="00812343"/>
    <w:rsid w:val="00815FE8"/>
    <w:rsid w:val="00816F19"/>
    <w:rsid w:val="0082259F"/>
    <w:rsid w:val="008267E1"/>
    <w:rsid w:val="008278FB"/>
    <w:rsid w:val="008325FA"/>
    <w:rsid w:val="008349C6"/>
    <w:rsid w:val="00834B53"/>
    <w:rsid w:val="00845B0F"/>
    <w:rsid w:val="00846CDE"/>
    <w:rsid w:val="008614DC"/>
    <w:rsid w:val="00874687"/>
    <w:rsid w:val="00876189"/>
    <w:rsid w:val="00876C2B"/>
    <w:rsid w:val="008771E4"/>
    <w:rsid w:val="00877825"/>
    <w:rsid w:val="00884A25"/>
    <w:rsid w:val="00886073"/>
    <w:rsid w:val="00890677"/>
    <w:rsid w:val="0089185F"/>
    <w:rsid w:val="00891C1C"/>
    <w:rsid w:val="0089556C"/>
    <w:rsid w:val="00896AA9"/>
    <w:rsid w:val="008974DB"/>
    <w:rsid w:val="008A365F"/>
    <w:rsid w:val="008A431F"/>
    <w:rsid w:val="008A72DD"/>
    <w:rsid w:val="008B0002"/>
    <w:rsid w:val="008B209B"/>
    <w:rsid w:val="008B69B5"/>
    <w:rsid w:val="008D5E0B"/>
    <w:rsid w:val="008D6FBC"/>
    <w:rsid w:val="008E3701"/>
    <w:rsid w:val="008E3D66"/>
    <w:rsid w:val="008E7464"/>
    <w:rsid w:val="008E7BEC"/>
    <w:rsid w:val="008F1340"/>
    <w:rsid w:val="008F1477"/>
    <w:rsid w:val="008F27B6"/>
    <w:rsid w:val="008F2B8E"/>
    <w:rsid w:val="008F5FAE"/>
    <w:rsid w:val="0090225A"/>
    <w:rsid w:val="00902AD1"/>
    <w:rsid w:val="00903543"/>
    <w:rsid w:val="009049AD"/>
    <w:rsid w:val="00906545"/>
    <w:rsid w:val="00907E2D"/>
    <w:rsid w:val="00910A00"/>
    <w:rsid w:val="00912E09"/>
    <w:rsid w:val="009159B0"/>
    <w:rsid w:val="00915A9C"/>
    <w:rsid w:val="009161D6"/>
    <w:rsid w:val="0091661F"/>
    <w:rsid w:val="00923402"/>
    <w:rsid w:val="0092658D"/>
    <w:rsid w:val="0093436C"/>
    <w:rsid w:val="009361D0"/>
    <w:rsid w:val="0094408B"/>
    <w:rsid w:val="0094703D"/>
    <w:rsid w:val="00953442"/>
    <w:rsid w:val="00956290"/>
    <w:rsid w:val="00957171"/>
    <w:rsid w:val="00957C9F"/>
    <w:rsid w:val="00960554"/>
    <w:rsid w:val="00961D5D"/>
    <w:rsid w:val="009706B2"/>
    <w:rsid w:val="00974E18"/>
    <w:rsid w:val="00976CEA"/>
    <w:rsid w:val="0098442D"/>
    <w:rsid w:val="00985869"/>
    <w:rsid w:val="00986A6D"/>
    <w:rsid w:val="00990E43"/>
    <w:rsid w:val="0099161D"/>
    <w:rsid w:val="00992857"/>
    <w:rsid w:val="00992CC9"/>
    <w:rsid w:val="00993E14"/>
    <w:rsid w:val="00996376"/>
    <w:rsid w:val="009A1C4B"/>
    <w:rsid w:val="009A1D27"/>
    <w:rsid w:val="009A3127"/>
    <w:rsid w:val="009A7AB0"/>
    <w:rsid w:val="009A7B87"/>
    <w:rsid w:val="009B0E1F"/>
    <w:rsid w:val="009B281A"/>
    <w:rsid w:val="009B4776"/>
    <w:rsid w:val="009B5DBA"/>
    <w:rsid w:val="009B64C5"/>
    <w:rsid w:val="009B751E"/>
    <w:rsid w:val="009C2EAC"/>
    <w:rsid w:val="009C40E6"/>
    <w:rsid w:val="009D33A0"/>
    <w:rsid w:val="009D7BC2"/>
    <w:rsid w:val="009E3A39"/>
    <w:rsid w:val="009E4BCB"/>
    <w:rsid w:val="009E68C1"/>
    <w:rsid w:val="009F4FCD"/>
    <w:rsid w:val="009F4FE4"/>
    <w:rsid w:val="009F5C6B"/>
    <w:rsid w:val="009F6977"/>
    <w:rsid w:val="009F6A1C"/>
    <w:rsid w:val="009F6A8A"/>
    <w:rsid w:val="00A02413"/>
    <w:rsid w:val="00A0368D"/>
    <w:rsid w:val="00A054D6"/>
    <w:rsid w:val="00A10728"/>
    <w:rsid w:val="00A2561E"/>
    <w:rsid w:val="00A30093"/>
    <w:rsid w:val="00A36825"/>
    <w:rsid w:val="00A3700E"/>
    <w:rsid w:val="00A46D93"/>
    <w:rsid w:val="00A55268"/>
    <w:rsid w:val="00A57F79"/>
    <w:rsid w:val="00A60F4E"/>
    <w:rsid w:val="00A62353"/>
    <w:rsid w:val="00A62983"/>
    <w:rsid w:val="00A62DD6"/>
    <w:rsid w:val="00A724B6"/>
    <w:rsid w:val="00A77A9C"/>
    <w:rsid w:val="00A77DC2"/>
    <w:rsid w:val="00A853B3"/>
    <w:rsid w:val="00A867B7"/>
    <w:rsid w:val="00A953DB"/>
    <w:rsid w:val="00A96A3F"/>
    <w:rsid w:val="00AA2383"/>
    <w:rsid w:val="00AA5FE3"/>
    <w:rsid w:val="00AA6936"/>
    <w:rsid w:val="00AB494E"/>
    <w:rsid w:val="00AC358A"/>
    <w:rsid w:val="00AD1DEF"/>
    <w:rsid w:val="00AD725D"/>
    <w:rsid w:val="00AD7B52"/>
    <w:rsid w:val="00AE0D46"/>
    <w:rsid w:val="00AE0D7B"/>
    <w:rsid w:val="00AE0FC0"/>
    <w:rsid w:val="00AE77D0"/>
    <w:rsid w:val="00AF09ED"/>
    <w:rsid w:val="00AF3FA8"/>
    <w:rsid w:val="00AF5007"/>
    <w:rsid w:val="00AF5375"/>
    <w:rsid w:val="00AF6E83"/>
    <w:rsid w:val="00AF756E"/>
    <w:rsid w:val="00AF7FE4"/>
    <w:rsid w:val="00B015D9"/>
    <w:rsid w:val="00B01AF8"/>
    <w:rsid w:val="00B025ED"/>
    <w:rsid w:val="00B07845"/>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46F5"/>
    <w:rsid w:val="00B66BD4"/>
    <w:rsid w:val="00B7376D"/>
    <w:rsid w:val="00B73B67"/>
    <w:rsid w:val="00B7608D"/>
    <w:rsid w:val="00B76598"/>
    <w:rsid w:val="00B833F9"/>
    <w:rsid w:val="00B841A2"/>
    <w:rsid w:val="00B85E20"/>
    <w:rsid w:val="00B915A5"/>
    <w:rsid w:val="00B92B34"/>
    <w:rsid w:val="00B945EF"/>
    <w:rsid w:val="00BA337D"/>
    <w:rsid w:val="00BA4B90"/>
    <w:rsid w:val="00BA4C2B"/>
    <w:rsid w:val="00BA4FE0"/>
    <w:rsid w:val="00BA7E0B"/>
    <w:rsid w:val="00BA7EAE"/>
    <w:rsid w:val="00BB33A4"/>
    <w:rsid w:val="00BB360B"/>
    <w:rsid w:val="00BB50C1"/>
    <w:rsid w:val="00BC46CE"/>
    <w:rsid w:val="00BC4ABA"/>
    <w:rsid w:val="00BC690D"/>
    <w:rsid w:val="00BD1DFF"/>
    <w:rsid w:val="00BE07E2"/>
    <w:rsid w:val="00BE37F3"/>
    <w:rsid w:val="00BE405E"/>
    <w:rsid w:val="00BE4C01"/>
    <w:rsid w:val="00BE7EB1"/>
    <w:rsid w:val="00BF120E"/>
    <w:rsid w:val="00BF289C"/>
    <w:rsid w:val="00BF4BB9"/>
    <w:rsid w:val="00BF716F"/>
    <w:rsid w:val="00BF722B"/>
    <w:rsid w:val="00BF753A"/>
    <w:rsid w:val="00BF7C1E"/>
    <w:rsid w:val="00C03F1B"/>
    <w:rsid w:val="00C05BDC"/>
    <w:rsid w:val="00C06BAC"/>
    <w:rsid w:val="00C14A8D"/>
    <w:rsid w:val="00C243F8"/>
    <w:rsid w:val="00C25340"/>
    <w:rsid w:val="00C253AF"/>
    <w:rsid w:val="00C32198"/>
    <w:rsid w:val="00C325E2"/>
    <w:rsid w:val="00C40558"/>
    <w:rsid w:val="00C40A8A"/>
    <w:rsid w:val="00C458C1"/>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B1467"/>
    <w:rsid w:val="00CC04D4"/>
    <w:rsid w:val="00CC1292"/>
    <w:rsid w:val="00CC51E5"/>
    <w:rsid w:val="00CC547F"/>
    <w:rsid w:val="00CC69F6"/>
    <w:rsid w:val="00CC7034"/>
    <w:rsid w:val="00CD1C73"/>
    <w:rsid w:val="00CD43A4"/>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BD4"/>
    <w:rsid w:val="00D54C1C"/>
    <w:rsid w:val="00D57F65"/>
    <w:rsid w:val="00D61394"/>
    <w:rsid w:val="00D6293A"/>
    <w:rsid w:val="00D65CB7"/>
    <w:rsid w:val="00D70D0D"/>
    <w:rsid w:val="00D71118"/>
    <w:rsid w:val="00D749C0"/>
    <w:rsid w:val="00D75DC5"/>
    <w:rsid w:val="00D76A15"/>
    <w:rsid w:val="00D83762"/>
    <w:rsid w:val="00D83EC3"/>
    <w:rsid w:val="00D85C54"/>
    <w:rsid w:val="00D963CD"/>
    <w:rsid w:val="00D9766C"/>
    <w:rsid w:val="00DA00C8"/>
    <w:rsid w:val="00DA3CE7"/>
    <w:rsid w:val="00DA74F9"/>
    <w:rsid w:val="00DB0C3E"/>
    <w:rsid w:val="00DB17C2"/>
    <w:rsid w:val="00DB261B"/>
    <w:rsid w:val="00DB655D"/>
    <w:rsid w:val="00DB6C11"/>
    <w:rsid w:val="00DC01E6"/>
    <w:rsid w:val="00DC093A"/>
    <w:rsid w:val="00DC5771"/>
    <w:rsid w:val="00DD1C03"/>
    <w:rsid w:val="00DD437E"/>
    <w:rsid w:val="00DE0205"/>
    <w:rsid w:val="00DE1639"/>
    <w:rsid w:val="00DE7088"/>
    <w:rsid w:val="00DE720A"/>
    <w:rsid w:val="00DF04EF"/>
    <w:rsid w:val="00DF45E8"/>
    <w:rsid w:val="00DF4FFF"/>
    <w:rsid w:val="00DF51BB"/>
    <w:rsid w:val="00E054BA"/>
    <w:rsid w:val="00E10CF3"/>
    <w:rsid w:val="00E131C9"/>
    <w:rsid w:val="00E1454C"/>
    <w:rsid w:val="00E1641F"/>
    <w:rsid w:val="00E20A11"/>
    <w:rsid w:val="00E25C1E"/>
    <w:rsid w:val="00E32027"/>
    <w:rsid w:val="00E36F6A"/>
    <w:rsid w:val="00E43754"/>
    <w:rsid w:val="00E4497C"/>
    <w:rsid w:val="00E46046"/>
    <w:rsid w:val="00E50E74"/>
    <w:rsid w:val="00E527E5"/>
    <w:rsid w:val="00E57DC0"/>
    <w:rsid w:val="00E60D50"/>
    <w:rsid w:val="00E63544"/>
    <w:rsid w:val="00E65319"/>
    <w:rsid w:val="00E654E3"/>
    <w:rsid w:val="00E6681D"/>
    <w:rsid w:val="00E66882"/>
    <w:rsid w:val="00E7441E"/>
    <w:rsid w:val="00E77832"/>
    <w:rsid w:val="00E91836"/>
    <w:rsid w:val="00E92633"/>
    <w:rsid w:val="00E93D14"/>
    <w:rsid w:val="00EA1299"/>
    <w:rsid w:val="00EA3288"/>
    <w:rsid w:val="00EA7362"/>
    <w:rsid w:val="00EB0A45"/>
    <w:rsid w:val="00EB16BF"/>
    <w:rsid w:val="00EB27A6"/>
    <w:rsid w:val="00EB5721"/>
    <w:rsid w:val="00EB611D"/>
    <w:rsid w:val="00ED09B0"/>
    <w:rsid w:val="00ED5508"/>
    <w:rsid w:val="00ED5702"/>
    <w:rsid w:val="00ED57DE"/>
    <w:rsid w:val="00ED6871"/>
    <w:rsid w:val="00EE14B3"/>
    <w:rsid w:val="00EE380D"/>
    <w:rsid w:val="00EE444D"/>
    <w:rsid w:val="00EE6932"/>
    <w:rsid w:val="00EF12B3"/>
    <w:rsid w:val="00EF1DFA"/>
    <w:rsid w:val="00F00A72"/>
    <w:rsid w:val="00F01522"/>
    <w:rsid w:val="00F02223"/>
    <w:rsid w:val="00F0343C"/>
    <w:rsid w:val="00F13328"/>
    <w:rsid w:val="00F1351F"/>
    <w:rsid w:val="00F14ACD"/>
    <w:rsid w:val="00F16680"/>
    <w:rsid w:val="00F17680"/>
    <w:rsid w:val="00F20D57"/>
    <w:rsid w:val="00F210D0"/>
    <w:rsid w:val="00F23144"/>
    <w:rsid w:val="00F26024"/>
    <w:rsid w:val="00F3429A"/>
    <w:rsid w:val="00F358F7"/>
    <w:rsid w:val="00F43774"/>
    <w:rsid w:val="00F43F03"/>
    <w:rsid w:val="00F470FB"/>
    <w:rsid w:val="00F507AC"/>
    <w:rsid w:val="00F54060"/>
    <w:rsid w:val="00F564B8"/>
    <w:rsid w:val="00F6051D"/>
    <w:rsid w:val="00F64A76"/>
    <w:rsid w:val="00F64DA8"/>
    <w:rsid w:val="00F65982"/>
    <w:rsid w:val="00F65A36"/>
    <w:rsid w:val="00F80C8F"/>
    <w:rsid w:val="00F81CA1"/>
    <w:rsid w:val="00F8247C"/>
    <w:rsid w:val="00F82895"/>
    <w:rsid w:val="00F83276"/>
    <w:rsid w:val="00F84EF3"/>
    <w:rsid w:val="00F85C46"/>
    <w:rsid w:val="00F96B4C"/>
    <w:rsid w:val="00F9784B"/>
    <w:rsid w:val="00FA14E9"/>
    <w:rsid w:val="00FA5124"/>
    <w:rsid w:val="00FB0199"/>
    <w:rsid w:val="00FB1D1B"/>
    <w:rsid w:val="00FB2DE2"/>
    <w:rsid w:val="00FB3C0F"/>
    <w:rsid w:val="00FB3F58"/>
    <w:rsid w:val="00FB4E8F"/>
    <w:rsid w:val="00FC5477"/>
    <w:rsid w:val="00FD073F"/>
    <w:rsid w:val="00FD1789"/>
    <w:rsid w:val="00FD23D3"/>
    <w:rsid w:val="00FE10A7"/>
    <w:rsid w:val="00FE2B3F"/>
    <w:rsid w:val="00FE4D03"/>
    <w:rsid w:val="00FF54A4"/>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qFormat/>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9B141-7A81-4387-923A-7276FCB8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20</Pages>
  <Words>7748</Words>
  <Characters>46491</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Kalina Rożek</cp:lastModifiedBy>
  <cp:revision>247</cp:revision>
  <cp:lastPrinted>2024-02-01T09:13:00Z</cp:lastPrinted>
  <dcterms:created xsi:type="dcterms:W3CDTF">2023-04-27T12:06:00Z</dcterms:created>
  <dcterms:modified xsi:type="dcterms:W3CDTF">2024-04-02T10:11:00Z</dcterms:modified>
</cp:coreProperties>
</file>