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7D68" w14:textId="53C1B47E" w:rsidR="00DD5C91" w:rsidRDefault="00DD5C91" w:rsidP="00DD5C91">
      <w:pPr>
        <w:pStyle w:val="Tekstpodstawowy2"/>
        <w:ind w:left="4248"/>
        <w:rPr>
          <w:sz w:val="20"/>
        </w:rPr>
      </w:pPr>
      <w:r>
        <w:rPr>
          <w:sz w:val="20"/>
        </w:rPr>
        <w:t xml:space="preserve">Bielsko-Biała, </w:t>
      </w:r>
      <w:r w:rsidR="001D01C5">
        <w:rPr>
          <w:sz w:val="20"/>
        </w:rPr>
        <w:t>21</w:t>
      </w:r>
      <w:r>
        <w:rPr>
          <w:sz w:val="20"/>
        </w:rPr>
        <w:t xml:space="preserve"> lutego 2022 r.</w:t>
      </w:r>
    </w:p>
    <w:p w14:paraId="5CBCA8BD" w14:textId="77777777" w:rsidR="00DD5C91" w:rsidRDefault="00DD5C91" w:rsidP="00DD5C91">
      <w:pPr>
        <w:pStyle w:val="Tekstpodstawowy2"/>
        <w:rPr>
          <w:sz w:val="20"/>
        </w:rPr>
      </w:pPr>
    </w:p>
    <w:p w14:paraId="4CA25013" w14:textId="77777777" w:rsidR="00DD5C91" w:rsidRDefault="00DD5C91" w:rsidP="00DD5C91">
      <w:pPr>
        <w:pStyle w:val="Tekstpodstawowy2"/>
        <w:rPr>
          <w:sz w:val="20"/>
        </w:rPr>
      </w:pPr>
      <w:r>
        <w:rPr>
          <w:sz w:val="20"/>
        </w:rPr>
        <w:t>DZP-3411/01/22</w:t>
      </w:r>
    </w:p>
    <w:p w14:paraId="09E6B495" w14:textId="77777777" w:rsidR="00DD5C91" w:rsidRDefault="00DD5C91" w:rsidP="00DD5C91">
      <w:pPr>
        <w:pStyle w:val="Tekstpodstawowy2"/>
        <w:rPr>
          <w:sz w:val="20"/>
        </w:rPr>
      </w:pPr>
    </w:p>
    <w:p w14:paraId="72AA7D23" w14:textId="77777777" w:rsidR="00DD5C91" w:rsidRDefault="00DD5C91" w:rsidP="00DD5C91">
      <w:pPr>
        <w:jc w:val="both"/>
        <w:rPr>
          <w:rFonts w:ascii="Tahoma" w:hAnsi="Tahoma" w:cs="Tahoma"/>
          <w:b/>
          <w:bCs/>
          <w:sz w:val="20"/>
        </w:rPr>
      </w:pPr>
    </w:p>
    <w:p w14:paraId="118F8CB9" w14:textId="77777777" w:rsidR="00DD5C91" w:rsidRDefault="00DD5C91" w:rsidP="00DD5C91">
      <w:pPr>
        <w:jc w:val="both"/>
        <w:rPr>
          <w:rFonts w:ascii="Tahoma" w:hAnsi="Tahoma" w:cs="Tahoma"/>
          <w:sz w:val="20"/>
        </w:rPr>
      </w:pPr>
    </w:p>
    <w:p w14:paraId="4B1642FD" w14:textId="77777777" w:rsidR="00DD5C91" w:rsidRDefault="00DD5C91" w:rsidP="00DD5C91">
      <w:pPr>
        <w:ind w:left="5664" w:hanging="1411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Do Wykonawców ubiegających </w:t>
      </w:r>
    </w:p>
    <w:p w14:paraId="3014BD13" w14:textId="77777777" w:rsidR="00DD5C91" w:rsidRDefault="00DD5C91" w:rsidP="00DD5C91">
      <w:pPr>
        <w:ind w:left="5664" w:hanging="141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się o udzielenie zamówienia</w:t>
      </w:r>
    </w:p>
    <w:p w14:paraId="26A66196" w14:textId="77777777" w:rsidR="00DD5C91" w:rsidRDefault="00DD5C91" w:rsidP="00DD5C91">
      <w:pPr>
        <w:ind w:firstLine="4253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</w:rPr>
        <w:t>_____________________________________</w:t>
      </w:r>
    </w:p>
    <w:p w14:paraId="57FA8F9B" w14:textId="77777777" w:rsidR="00DD5C91" w:rsidRDefault="00DD5C91" w:rsidP="00DD5C91">
      <w:pPr>
        <w:jc w:val="both"/>
        <w:rPr>
          <w:rFonts w:ascii="Tahoma" w:hAnsi="Tahoma" w:cs="Tahoma"/>
          <w:sz w:val="18"/>
          <w:szCs w:val="22"/>
        </w:rPr>
      </w:pPr>
    </w:p>
    <w:p w14:paraId="42641E87" w14:textId="77777777" w:rsidR="00DD5C91" w:rsidRDefault="00DD5C91" w:rsidP="00DD5C91">
      <w:pPr>
        <w:jc w:val="both"/>
        <w:rPr>
          <w:rFonts w:ascii="Tahoma" w:hAnsi="Tahoma" w:cs="Tahoma"/>
          <w:sz w:val="18"/>
          <w:szCs w:val="22"/>
        </w:rPr>
      </w:pPr>
    </w:p>
    <w:p w14:paraId="15F3E621" w14:textId="77777777" w:rsidR="00DD5C91" w:rsidRDefault="00DD5C91" w:rsidP="00DD5C91">
      <w:pPr>
        <w:jc w:val="both"/>
        <w:rPr>
          <w:rFonts w:ascii="Tahoma" w:hAnsi="Tahoma" w:cs="Tahoma"/>
          <w:sz w:val="18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8012"/>
      </w:tblGrid>
      <w:tr w:rsidR="00DD5C91" w14:paraId="2EA4E9D9" w14:textId="77777777" w:rsidTr="00B05569">
        <w:trPr>
          <w:trHeight w:val="595"/>
        </w:trPr>
        <w:tc>
          <w:tcPr>
            <w:tcW w:w="1063" w:type="dxa"/>
          </w:tcPr>
          <w:p w14:paraId="48D04599" w14:textId="77777777" w:rsidR="00DD5C91" w:rsidRDefault="00DD5C91" w:rsidP="00B05569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Dotyczy:</w:t>
            </w:r>
          </w:p>
        </w:tc>
        <w:tc>
          <w:tcPr>
            <w:tcW w:w="8149" w:type="dxa"/>
          </w:tcPr>
          <w:p w14:paraId="790ACE9A" w14:textId="77777777" w:rsidR="00DD5C91" w:rsidRDefault="00DD5C91" w:rsidP="00B05569">
            <w:pPr>
              <w:jc w:val="both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przetargu nieograniczonego na System wnoszenia za pomocą mobilnych kasowników opłat za przejazdy przy pomocy zbliżeniowych kart płatniczych lub zbliżeniowych płatności mobilnych dla Miejskiego Zakładu Komunikacyjnego w Bielsku-Białej Sp. z o.o.</w:t>
            </w:r>
          </w:p>
        </w:tc>
      </w:tr>
    </w:tbl>
    <w:p w14:paraId="07AC0613" w14:textId="77777777" w:rsidR="00DD5C91" w:rsidRDefault="00DD5C91" w:rsidP="00DD5C91">
      <w:pPr>
        <w:jc w:val="both"/>
        <w:rPr>
          <w:rFonts w:ascii="Tahoma" w:hAnsi="Tahoma" w:cs="Tahoma"/>
        </w:rPr>
      </w:pPr>
    </w:p>
    <w:p w14:paraId="36B2F667" w14:textId="28FB9593" w:rsidR="00805DA9" w:rsidRDefault="00DD5C91" w:rsidP="00DD5C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Zamawiający, na podstawie art. 137 ust. 1 ustawy z dnia 11 września 2019 r. Prawo zamówień publicznych (tekst jednolity Dz. U. z 2021 r. poz. 1129 z późn. zm.) zwanej dalej Pzp dokonuje </w:t>
      </w:r>
      <w:r w:rsidR="00805DA9">
        <w:rPr>
          <w:rFonts w:ascii="Tahoma" w:hAnsi="Tahoma" w:cs="Tahoma"/>
          <w:sz w:val="20"/>
          <w:szCs w:val="20"/>
        </w:rPr>
        <w:br/>
        <w:t xml:space="preserve">w </w:t>
      </w:r>
      <w:r>
        <w:rPr>
          <w:rFonts w:ascii="Tahoma" w:hAnsi="Tahoma" w:cs="Tahoma"/>
          <w:sz w:val="20"/>
          <w:szCs w:val="20"/>
        </w:rPr>
        <w:t>zmiany zapisów</w:t>
      </w:r>
      <w:r w:rsidR="00805DA9">
        <w:rPr>
          <w:rFonts w:ascii="Tahoma" w:hAnsi="Tahoma" w:cs="Tahoma"/>
          <w:sz w:val="20"/>
          <w:szCs w:val="20"/>
        </w:rPr>
        <w:t>:</w:t>
      </w:r>
    </w:p>
    <w:p w14:paraId="15C1472B" w14:textId="77777777" w:rsidR="00805DA9" w:rsidRDefault="00805DA9" w:rsidP="00DD5C91">
      <w:pPr>
        <w:jc w:val="both"/>
        <w:rPr>
          <w:rFonts w:ascii="Tahoma" w:hAnsi="Tahoma" w:cs="Tahoma"/>
          <w:sz w:val="20"/>
          <w:szCs w:val="20"/>
        </w:rPr>
      </w:pPr>
    </w:p>
    <w:p w14:paraId="72AFFDB2" w14:textId="373872A6" w:rsidR="00DD5C91" w:rsidRPr="00805DA9" w:rsidRDefault="00805DA9" w:rsidP="00805DA9">
      <w:pPr>
        <w:pStyle w:val="Akapitzlist"/>
        <w:numPr>
          <w:ilvl w:val="0"/>
          <w:numId w:val="2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805DA9">
        <w:rPr>
          <w:rFonts w:ascii="Tahoma" w:hAnsi="Tahoma" w:cs="Tahoma"/>
          <w:b/>
          <w:bCs/>
          <w:sz w:val="20"/>
          <w:szCs w:val="20"/>
        </w:rPr>
        <w:t xml:space="preserve">Załącznika Nr 3 do </w:t>
      </w:r>
      <w:r w:rsidR="00DD5C91" w:rsidRPr="00805DA9">
        <w:rPr>
          <w:rFonts w:ascii="Tahoma" w:hAnsi="Tahoma" w:cs="Tahoma"/>
          <w:b/>
          <w:bCs/>
          <w:sz w:val="20"/>
          <w:szCs w:val="20"/>
        </w:rPr>
        <w:t>SWZ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14:paraId="707BD4E5" w14:textId="52C8845C" w:rsidR="00DD5C91" w:rsidRDefault="00805DA9" w:rsidP="00805DA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Punkt 4.1. pn. Budowa Systemu informatycznego SPO oraz jego wdrożenie otrzymuje następujące brzmienie: </w:t>
      </w:r>
    </w:p>
    <w:p w14:paraId="3C92B9C5" w14:textId="4DF0E98B" w:rsidR="001D01C5" w:rsidRDefault="00805DA9" w:rsidP="00805DA9">
      <w:pPr>
        <w:jc w:val="both"/>
        <w:rPr>
          <w:rFonts w:ascii="Tahoma" w:hAnsi="Tahoma" w:cs="Tahoma"/>
          <w:sz w:val="20"/>
          <w:szCs w:val="20"/>
        </w:rPr>
      </w:pPr>
      <w:r w:rsidRPr="00805DA9">
        <w:rPr>
          <w:rFonts w:ascii="Tahoma" w:hAnsi="Tahoma" w:cs="Tahoma"/>
          <w:sz w:val="20"/>
          <w:szCs w:val="20"/>
        </w:rPr>
        <w:t>Wykonawca zobowiązuje się do budowy Systemu Centralnego, który od momentu uruchomienia będzie zapewniał pełną funkcjonalność. Ponadto, umożliwi pasażerom nabycie uprawnień do przejazdu za pomocą Karty EMV. W S</w:t>
      </w:r>
      <w:r>
        <w:rPr>
          <w:rFonts w:ascii="Tahoma" w:hAnsi="Tahoma" w:cs="Tahoma"/>
          <w:sz w:val="20"/>
          <w:szCs w:val="20"/>
        </w:rPr>
        <w:t xml:space="preserve">ystemie </w:t>
      </w:r>
      <w:r w:rsidRPr="00805DA9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oboru </w:t>
      </w:r>
      <w:r w:rsidRPr="00805DA9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płat</w:t>
      </w:r>
      <w:r w:rsidRPr="00805DA9">
        <w:rPr>
          <w:rFonts w:ascii="Tahoma" w:hAnsi="Tahoma" w:cs="Tahoma"/>
          <w:sz w:val="20"/>
          <w:szCs w:val="20"/>
        </w:rPr>
        <w:t xml:space="preserve"> postawiono na rozwiązanie oparte o aplikację centralną, umieszczoną w infrastrukturze chmurowej, uzupełnioną o urządzenia </w:t>
      </w:r>
      <w:proofErr w:type="spellStart"/>
      <w:r w:rsidRPr="00805DA9">
        <w:rPr>
          <w:rFonts w:ascii="Tahoma" w:hAnsi="Tahoma" w:cs="Tahoma"/>
          <w:sz w:val="20"/>
          <w:szCs w:val="20"/>
        </w:rPr>
        <w:t>IoT</w:t>
      </w:r>
      <w:proofErr w:type="spellEnd"/>
      <w:r w:rsidRPr="00805DA9">
        <w:rPr>
          <w:rFonts w:ascii="Tahoma" w:hAnsi="Tahoma" w:cs="Tahoma"/>
          <w:sz w:val="20"/>
          <w:szCs w:val="20"/>
        </w:rPr>
        <w:t xml:space="preserve"> znajdujące się w pojazdach, czyli o tzw. mobilne kasowniki. Będą one umożliwiały obsługę płatności zbliżeniowych przy pomocy Kart EMV, poprzez mechanizm </w:t>
      </w:r>
      <w:proofErr w:type="spellStart"/>
      <w:r w:rsidRPr="00805DA9">
        <w:rPr>
          <w:rFonts w:ascii="Tahoma" w:hAnsi="Tahoma" w:cs="Tahoma"/>
          <w:sz w:val="20"/>
          <w:szCs w:val="20"/>
        </w:rPr>
        <w:t>tokenizacji</w:t>
      </w:r>
      <w:proofErr w:type="spellEnd"/>
      <w:r w:rsidRPr="00805DA9">
        <w:rPr>
          <w:rFonts w:ascii="Tahoma" w:hAnsi="Tahoma" w:cs="Tahoma"/>
          <w:sz w:val="20"/>
          <w:szCs w:val="20"/>
        </w:rPr>
        <w:t xml:space="preserve"> numeru karty. Jednocześnie przypisywane będą uprawnienia do przejazdu do danej Karty EMV, bez konieczności generowania dodatkowych kodów lub wydruku biletu w formie papierowej.</w:t>
      </w:r>
      <w:r>
        <w:rPr>
          <w:rFonts w:ascii="Tahoma" w:hAnsi="Tahoma" w:cs="Tahoma"/>
          <w:sz w:val="20"/>
          <w:szCs w:val="20"/>
        </w:rPr>
        <w:t xml:space="preserve"> </w:t>
      </w:r>
      <w:r w:rsidRPr="00805DA9">
        <w:rPr>
          <w:rFonts w:ascii="Tahoma" w:hAnsi="Tahoma" w:cs="Tahoma"/>
          <w:sz w:val="20"/>
          <w:szCs w:val="20"/>
        </w:rPr>
        <w:t>W okresie wdrożenia oraz w okresie świadczenia usług płatniczych i serwisowych, Wykonawca zapewni pełną infrastrukturę chmurową oraz licencje niezbędne do korzystania z usług chmurowych do obsługi SPO.</w:t>
      </w:r>
    </w:p>
    <w:p w14:paraId="28CE34B6" w14:textId="09C8E76A" w:rsidR="001D01C5" w:rsidRDefault="001D01C5" w:rsidP="00DD5C91">
      <w:pPr>
        <w:rPr>
          <w:rFonts w:ascii="Tahoma" w:hAnsi="Tahoma" w:cs="Tahoma"/>
          <w:sz w:val="20"/>
          <w:szCs w:val="20"/>
        </w:rPr>
      </w:pPr>
    </w:p>
    <w:p w14:paraId="7B5AC9D1" w14:textId="34E7029E" w:rsidR="00805DA9" w:rsidRPr="00805DA9" w:rsidRDefault="00805DA9" w:rsidP="00805DA9">
      <w:pPr>
        <w:pStyle w:val="Akapitzlist"/>
        <w:numPr>
          <w:ilvl w:val="0"/>
          <w:numId w:val="2"/>
        </w:numPr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805DA9">
        <w:rPr>
          <w:rFonts w:ascii="Tahoma" w:hAnsi="Tahoma" w:cs="Tahoma"/>
          <w:b/>
          <w:bCs/>
          <w:sz w:val="20"/>
          <w:szCs w:val="20"/>
        </w:rPr>
        <w:t xml:space="preserve">Załącznika Nr </w:t>
      </w:r>
      <w:r w:rsidR="00392C21">
        <w:rPr>
          <w:rFonts w:ascii="Tahoma" w:hAnsi="Tahoma" w:cs="Tahoma"/>
          <w:b/>
          <w:bCs/>
          <w:sz w:val="20"/>
          <w:szCs w:val="20"/>
        </w:rPr>
        <w:t>2a</w:t>
      </w:r>
      <w:r w:rsidRPr="00805DA9">
        <w:rPr>
          <w:rFonts w:ascii="Tahoma" w:hAnsi="Tahoma" w:cs="Tahoma"/>
          <w:b/>
          <w:bCs/>
          <w:sz w:val="20"/>
          <w:szCs w:val="20"/>
        </w:rPr>
        <w:t xml:space="preserve"> do SWZ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14:paraId="6DC78027" w14:textId="09860349" w:rsidR="001F6CA3" w:rsidRPr="001F6CA3" w:rsidRDefault="001F6CA3" w:rsidP="001F6CA3">
      <w:pPr>
        <w:jc w:val="both"/>
        <w:rPr>
          <w:rFonts w:ascii="Tahoma" w:hAnsi="Tahoma" w:cs="Tahoma"/>
          <w:sz w:val="20"/>
          <w:szCs w:val="20"/>
        </w:rPr>
      </w:pPr>
      <w:r w:rsidRPr="001F6CA3">
        <w:rPr>
          <w:rFonts w:ascii="Tahoma" w:hAnsi="Tahoma" w:cs="Tahoma"/>
          <w:sz w:val="20"/>
          <w:szCs w:val="20"/>
        </w:rPr>
        <w:t xml:space="preserve">Punkt 1. pn. Budowa Systemu informatycznego SPO oraz jego wdrożenie otrzymuje następujące brzmienie: </w:t>
      </w:r>
    </w:p>
    <w:p w14:paraId="688D5A21" w14:textId="2BC7C005" w:rsidR="001D01C5" w:rsidRDefault="001F6CA3" w:rsidP="00DD5C91">
      <w:pPr>
        <w:rPr>
          <w:rFonts w:ascii="Tahoma" w:hAnsi="Tahoma" w:cs="Tahoma"/>
          <w:sz w:val="20"/>
          <w:szCs w:val="20"/>
        </w:rPr>
      </w:pPr>
      <w:r w:rsidRPr="001F6CA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291E5C94" wp14:editId="33AEE852">
            <wp:extent cx="5760720" cy="2209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0F778" w14:textId="5A6B2EEE" w:rsidR="001D01C5" w:rsidRDefault="001D01C5" w:rsidP="00DD5C91">
      <w:pPr>
        <w:rPr>
          <w:rFonts w:ascii="Tahoma" w:hAnsi="Tahoma" w:cs="Tahoma"/>
          <w:sz w:val="20"/>
          <w:szCs w:val="20"/>
        </w:rPr>
      </w:pPr>
    </w:p>
    <w:p w14:paraId="6D89FBA3" w14:textId="032CDDA2" w:rsidR="005D3C91" w:rsidRDefault="005D3C91" w:rsidP="005D3C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zamieszcza aktualn</w:t>
      </w:r>
      <w:r w:rsidR="001F6CA3">
        <w:rPr>
          <w:rFonts w:ascii="Tahoma" w:hAnsi="Tahoma" w:cs="Tahoma"/>
          <w:sz w:val="20"/>
          <w:szCs w:val="20"/>
        </w:rPr>
        <w:t>e wersje powyższych Załączników do</w:t>
      </w:r>
      <w:r>
        <w:rPr>
          <w:rFonts w:ascii="Tahoma" w:hAnsi="Tahoma" w:cs="Tahoma"/>
          <w:sz w:val="20"/>
          <w:szCs w:val="20"/>
        </w:rPr>
        <w:t xml:space="preserve"> SWZ na stronie prowadzonego postępowania i jednocześnie informuje, że wszystkie zmiany zostały zaznaczone kolorem zielonym. </w:t>
      </w:r>
    </w:p>
    <w:p w14:paraId="01416165" w14:textId="77777777" w:rsidR="005D3C91" w:rsidRDefault="005D3C91" w:rsidP="00DD5C91">
      <w:pPr>
        <w:rPr>
          <w:rFonts w:ascii="Tahoma" w:hAnsi="Tahoma" w:cs="Tahoma"/>
          <w:sz w:val="20"/>
          <w:szCs w:val="20"/>
        </w:rPr>
      </w:pPr>
    </w:p>
    <w:p w14:paraId="0E7A3E92" w14:textId="581366C2" w:rsidR="005A5BD3" w:rsidRPr="005A5BD3" w:rsidRDefault="005A5BD3" w:rsidP="001F6CA3">
      <w:pPr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poważaniem </w:t>
      </w:r>
    </w:p>
    <w:sectPr w:rsidR="005A5BD3" w:rsidRPr="005A5BD3" w:rsidSect="001D1E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5821C4"/>
    <w:multiLevelType w:val="singleLevel"/>
    <w:tmpl w:val="9A5821C4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178C0CD1"/>
    <w:multiLevelType w:val="hybridMultilevel"/>
    <w:tmpl w:val="4F641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91"/>
    <w:rsid w:val="00151AC6"/>
    <w:rsid w:val="0019329F"/>
    <w:rsid w:val="001D01C5"/>
    <w:rsid w:val="001D1E7E"/>
    <w:rsid w:val="001F6CA3"/>
    <w:rsid w:val="00223EEF"/>
    <w:rsid w:val="00392C21"/>
    <w:rsid w:val="00534B3F"/>
    <w:rsid w:val="00547F7B"/>
    <w:rsid w:val="005A5BD3"/>
    <w:rsid w:val="005D3C91"/>
    <w:rsid w:val="00722E0B"/>
    <w:rsid w:val="00797A1F"/>
    <w:rsid w:val="00805DA9"/>
    <w:rsid w:val="00A64684"/>
    <w:rsid w:val="00CC08BA"/>
    <w:rsid w:val="00DD5C91"/>
    <w:rsid w:val="00E9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E788"/>
  <w15:chartTrackingRefBased/>
  <w15:docId w15:val="{D8D22D85-4EA0-4384-B0B6-70129288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D5C91"/>
    <w:pPr>
      <w:jc w:val="both"/>
    </w:pPr>
    <w:rPr>
      <w:rFonts w:ascii="Tahoma" w:hAnsi="Tahoma" w:cs="Tahom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5C91"/>
    <w:rPr>
      <w:rFonts w:ascii="Tahoma" w:eastAsia="Times New Roman" w:hAnsi="Tahoma" w:cs="Tahoma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Fornal</dc:creator>
  <cp:keywords/>
  <dc:description/>
  <cp:lastModifiedBy>Renata Fornal</cp:lastModifiedBy>
  <cp:revision>6</cp:revision>
  <dcterms:created xsi:type="dcterms:W3CDTF">2022-02-21T08:47:00Z</dcterms:created>
  <dcterms:modified xsi:type="dcterms:W3CDTF">2022-02-21T09:48:00Z</dcterms:modified>
</cp:coreProperties>
</file>