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D02" w:rsidRPr="00802193" w:rsidRDefault="00601D02" w:rsidP="003D083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3"/>
          <w:szCs w:val="23"/>
        </w:rPr>
      </w:pPr>
      <w:r w:rsidRPr="006E6E09">
        <w:rPr>
          <w:rFonts w:ascii="Arial" w:hAnsi="Arial" w:cs="Arial"/>
          <w:sz w:val="23"/>
          <w:szCs w:val="23"/>
        </w:rPr>
        <w:t xml:space="preserve">  </w:t>
      </w:r>
      <w:r w:rsidR="00342340">
        <w:rPr>
          <w:rFonts w:ascii="Arial" w:hAnsi="Arial" w:cs="Arial"/>
          <w:b/>
          <w:sz w:val="23"/>
          <w:szCs w:val="23"/>
        </w:rPr>
        <w:t xml:space="preserve">Załącznik nr </w:t>
      </w:r>
      <w:r w:rsidR="00A42ABC">
        <w:rPr>
          <w:rFonts w:ascii="Arial" w:hAnsi="Arial" w:cs="Arial"/>
          <w:b/>
          <w:sz w:val="23"/>
          <w:szCs w:val="23"/>
        </w:rPr>
        <w:t>5</w:t>
      </w:r>
      <w:r w:rsidR="00342340">
        <w:rPr>
          <w:rFonts w:ascii="Arial" w:hAnsi="Arial" w:cs="Arial"/>
          <w:b/>
          <w:sz w:val="23"/>
          <w:szCs w:val="23"/>
        </w:rPr>
        <w:t xml:space="preserve"> </w:t>
      </w:r>
      <w:r w:rsidRPr="00802193">
        <w:rPr>
          <w:rFonts w:ascii="Arial" w:hAnsi="Arial" w:cs="Arial"/>
          <w:b/>
          <w:sz w:val="23"/>
          <w:szCs w:val="23"/>
        </w:rPr>
        <w:t xml:space="preserve">do umowy                                                           </w:t>
      </w:r>
    </w:p>
    <w:p w:rsidR="00F40A28" w:rsidRDefault="00F40A28" w:rsidP="003D083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3"/>
          <w:szCs w:val="23"/>
        </w:rPr>
      </w:pPr>
    </w:p>
    <w:p w:rsidR="00FD1179" w:rsidRPr="005F6C6E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16"/>
          <w:szCs w:val="16"/>
        </w:rPr>
      </w:pPr>
      <w:r w:rsidRPr="005F6C6E"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           Załącznik do decyzji Nr 145/MON</w:t>
      </w:r>
    </w:p>
    <w:p w:rsidR="00FD1179" w:rsidRPr="005F6C6E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16"/>
          <w:szCs w:val="16"/>
        </w:rPr>
      </w:pPr>
      <w:r w:rsidRPr="005F6C6E"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Ministra Obrony Narodowej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16"/>
          <w:szCs w:val="16"/>
        </w:rPr>
      </w:pPr>
      <w:r w:rsidRPr="005F6C6E"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        z dnia 13 lipca 2017 r. (poz.</w:t>
      </w:r>
      <w:r>
        <w:rPr>
          <w:rFonts w:ascii="Arial" w:eastAsia="Calibri" w:hAnsi="Arial" w:cs="Arial"/>
          <w:sz w:val="16"/>
          <w:szCs w:val="16"/>
        </w:rPr>
        <w:t xml:space="preserve"> 157)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>ZASADY POSTĘPOW</w:t>
      </w:r>
      <w:r w:rsidRPr="00FD1179">
        <w:rPr>
          <w:rFonts w:ascii="Arial" w:eastAsia="Calibri" w:hAnsi="Arial" w:cs="Arial"/>
          <w:b/>
          <w:bCs/>
          <w:sz w:val="20"/>
          <w:szCs w:val="20"/>
        </w:rPr>
        <w:t>ANIA W KONTAKTACH Z WYKONAWCAMI</w:t>
      </w:r>
    </w:p>
    <w:p w:rsidR="00FD1179" w:rsidRPr="00FD1179" w:rsidRDefault="00FD1179" w:rsidP="00FD1179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>Rozdział 1</w:t>
      </w:r>
    </w:p>
    <w:p w:rsidR="00FD1179" w:rsidRPr="00FD1179" w:rsidRDefault="00FD1179" w:rsidP="00FD1179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Postanowienia ogólne</w:t>
      </w:r>
    </w:p>
    <w:p w:rsidR="00FD1179" w:rsidRPr="00FD1179" w:rsidRDefault="00FD1179" w:rsidP="00FD1179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>§ 1</w:t>
      </w:r>
      <w:r w:rsidRPr="00FD1179">
        <w:rPr>
          <w:rFonts w:ascii="Arial" w:eastAsia="Calibri" w:hAnsi="Arial" w:cs="Arial"/>
          <w:sz w:val="20"/>
          <w:szCs w:val="20"/>
        </w:rPr>
        <w:t xml:space="preserve">. 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</w:t>
      </w:r>
      <w:r>
        <w:rPr>
          <w:rFonts w:ascii="Arial" w:eastAsia="Calibri" w:hAnsi="Arial" w:cs="Arial"/>
          <w:sz w:val="20"/>
          <w:szCs w:val="20"/>
        </w:rPr>
        <w:br/>
      </w:r>
      <w:r w:rsidRPr="00FD1179">
        <w:rPr>
          <w:rFonts w:ascii="Arial" w:eastAsia="Calibri" w:hAnsi="Arial" w:cs="Arial"/>
          <w:sz w:val="20"/>
          <w:szCs w:val="20"/>
        </w:rPr>
        <w:t>z wyłączeniem spółek dla których Minister Obrony Narodowej wykonuje uprawnienia majątkowe przysługujące Skarbowi Państwa z tytułu należących do Skarbu Państwa akcji lub udziałów w tych spółkach, zwanych dalej "jednostkami organizacyjnymi", oraz osób fizycznych świadczących pracę na podstawie umów cywilnoprawnych w Ministerstwie Obrony Narodowej lub w jednostkach organizacyjnych – w stosunku do osób prawnych, osób fizycznych oraz jednostek organizacyjnych niebędących osobami prawnymi, którym ustawa przyznaje zdolność prawną:</w:t>
      </w:r>
    </w:p>
    <w:p w:rsidR="00FD1179" w:rsidRPr="00FD1179" w:rsidRDefault="00FD1179" w:rsidP="00030404">
      <w:pPr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 xml:space="preserve">wykonujących na rzecz Skarbu Państwa lub państwowej osoby prawnej odpłatne umowy, </w:t>
      </w:r>
      <w:r>
        <w:rPr>
          <w:rFonts w:ascii="Arial" w:eastAsia="Calibri" w:hAnsi="Arial" w:cs="Arial"/>
          <w:sz w:val="20"/>
          <w:szCs w:val="20"/>
        </w:rPr>
        <w:br/>
      </w:r>
      <w:r w:rsidRPr="00FD1179">
        <w:rPr>
          <w:rFonts w:ascii="Arial" w:eastAsia="Calibri" w:hAnsi="Arial" w:cs="Arial"/>
          <w:sz w:val="20"/>
          <w:szCs w:val="20"/>
        </w:rPr>
        <w:t xml:space="preserve">w szczególności na dostawy, świadczenie usług lub roboty budowlane; </w:t>
      </w:r>
    </w:p>
    <w:p w:rsidR="00FD1179" w:rsidRPr="00FD1179" w:rsidRDefault="00FD1179" w:rsidP="00030404">
      <w:pPr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które z racji zakresu prowadzonej działalności mogą starać się o zawarcie umów, o których mowa w pkt 1;</w:t>
      </w:r>
    </w:p>
    <w:p w:rsidR="00FD1179" w:rsidRPr="00FD1179" w:rsidRDefault="00FD1179" w:rsidP="00030404">
      <w:pPr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które działają w imieniu lub na rzecz podmiotów wskazanych w pkt 1 lub 2, zwanych dalej "wykonawcami".</w:t>
      </w:r>
    </w:p>
    <w:p w:rsidR="00FD1179" w:rsidRPr="00FD1179" w:rsidRDefault="00FD1179" w:rsidP="00FD117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 xml:space="preserve">§ 2. </w:t>
      </w:r>
      <w:r w:rsidRPr="00FD1179">
        <w:rPr>
          <w:rFonts w:ascii="Arial" w:eastAsia="Calibri" w:hAnsi="Arial" w:cs="Arial"/>
          <w:sz w:val="20"/>
          <w:szCs w:val="20"/>
        </w:rPr>
        <w:t>W kontaktach z wykonawcami należy zachować świadomość, że mogą oni stosować działania mające na celu zapewnienie im przychylności, skutkujące naruszeniem zasady bezstronności, równego traktowania lub uczciwej ko</w:t>
      </w:r>
      <w:r>
        <w:rPr>
          <w:rFonts w:ascii="Arial" w:eastAsia="Calibri" w:hAnsi="Arial" w:cs="Arial"/>
          <w:sz w:val="20"/>
          <w:szCs w:val="20"/>
        </w:rPr>
        <w:t>nkurencji (reguła wzajemności).</w:t>
      </w:r>
    </w:p>
    <w:p w:rsidR="00FD1179" w:rsidRPr="00FD1179" w:rsidRDefault="00FD1179" w:rsidP="00FD1179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 xml:space="preserve">§ 3. </w:t>
      </w:r>
      <w:r w:rsidRPr="00FD1179">
        <w:rPr>
          <w:rFonts w:ascii="Arial" w:eastAsia="Calibri" w:hAnsi="Arial" w:cs="Arial"/>
          <w:sz w:val="20"/>
          <w:szCs w:val="20"/>
        </w:rPr>
        <w:t>W kontaktach z wykonawcami należy kierować się zasadami:</w:t>
      </w:r>
    </w:p>
    <w:p w:rsidR="00FD1179" w:rsidRPr="00FD1179" w:rsidRDefault="00FD1179" w:rsidP="00030404">
      <w:pPr>
        <w:numPr>
          <w:ilvl w:val="1"/>
          <w:numId w:val="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godności i honoru;</w:t>
      </w:r>
    </w:p>
    <w:p w:rsidR="00FD1179" w:rsidRPr="00FD1179" w:rsidRDefault="00FD1179" w:rsidP="00030404">
      <w:pPr>
        <w:numPr>
          <w:ilvl w:val="1"/>
          <w:numId w:val="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zdrowego rozsądku i umiaru;</w:t>
      </w:r>
    </w:p>
    <w:p w:rsidR="00FD1179" w:rsidRPr="00FD1179" w:rsidRDefault="00FD1179" w:rsidP="00030404">
      <w:pPr>
        <w:numPr>
          <w:ilvl w:val="1"/>
          <w:numId w:val="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ochrony dobrego imienia Ministerstwa Obrony Narodowej i Sił Zbrojnych Rzeczypospolitej Polskiej;</w:t>
      </w:r>
    </w:p>
    <w:p w:rsidR="00FD1179" w:rsidRPr="00FD1179" w:rsidRDefault="00FD1179" w:rsidP="00030404">
      <w:pPr>
        <w:numPr>
          <w:ilvl w:val="1"/>
          <w:numId w:val="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pierwszeństwa interesów Ministerstwa Obrony Narodowej i Sił Zbrojnych Rzeczypospolitej Polskiej;</w:t>
      </w:r>
    </w:p>
    <w:p w:rsidR="00FD1179" w:rsidRPr="00FD1179" w:rsidRDefault="00FD1179" w:rsidP="00030404">
      <w:pPr>
        <w:numPr>
          <w:ilvl w:val="1"/>
          <w:numId w:val="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unikania sytuacji, które mogłyby wywoływać powstanie długu materialnego lub honorowego albo poczucia wdzięczności;</w:t>
      </w:r>
    </w:p>
    <w:p w:rsidR="00FD1179" w:rsidRDefault="00FD1179" w:rsidP="00030404">
      <w:pPr>
        <w:numPr>
          <w:ilvl w:val="1"/>
          <w:numId w:val="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bezstronności oraz unikania zachowań faworyzujących konkretnego wykonawcę w stosunku  do jego konkurencji.</w:t>
      </w:r>
    </w:p>
    <w:p w:rsidR="00FD1179" w:rsidRPr="00FD1179" w:rsidRDefault="00FD1179" w:rsidP="00FD1179">
      <w:pPr>
        <w:autoSpaceDE w:val="0"/>
        <w:autoSpaceDN w:val="0"/>
        <w:adjustRightInd w:val="0"/>
        <w:spacing w:after="0"/>
        <w:ind w:left="851"/>
        <w:jc w:val="both"/>
        <w:rPr>
          <w:rFonts w:ascii="Arial" w:eastAsia="Calibri" w:hAnsi="Arial" w:cs="Arial"/>
          <w:sz w:val="20"/>
          <w:szCs w:val="20"/>
        </w:rPr>
      </w:pPr>
    </w:p>
    <w:p w:rsidR="00FD1179" w:rsidRPr="00FD1179" w:rsidRDefault="00FD1179" w:rsidP="00FD1179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>Rozdział 2</w:t>
      </w:r>
    </w:p>
    <w:p w:rsidR="00FD1179" w:rsidRPr="00FD1179" w:rsidRDefault="00FD1179" w:rsidP="00FD1179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>Rozl</w:t>
      </w:r>
      <w:r>
        <w:rPr>
          <w:rFonts w:ascii="Arial" w:eastAsia="Calibri" w:hAnsi="Arial" w:cs="Arial"/>
          <w:b/>
          <w:bCs/>
          <w:sz w:val="20"/>
          <w:szCs w:val="20"/>
        </w:rPr>
        <w:t>iczanie kosztów</w:t>
      </w:r>
    </w:p>
    <w:p w:rsidR="00FD1179" w:rsidRPr="00FD1179" w:rsidRDefault="00FD1179" w:rsidP="00FD1179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 xml:space="preserve">§ 4. </w:t>
      </w:r>
      <w:r w:rsidRPr="00FD1179">
        <w:rPr>
          <w:rFonts w:ascii="Arial" w:eastAsia="Calibri" w:hAnsi="Arial" w:cs="Arial"/>
          <w:sz w:val="20"/>
          <w:szCs w:val="20"/>
        </w:rPr>
        <w:t>1. Przy rozliczaniu kosztów poniesionych w związku z bezpośrednimi kontaktami z  wykonawcami należy przyjąć zasadę "każdy płaci za siebie", w szczególności:</w:t>
      </w:r>
    </w:p>
    <w:p w:rsidR="00FD1179" w:rsidRPr="00FD1179" w:rsidRDefault="00FD1179" w:rsidP="00030404">
      <w:pPr>
        <w:numPr>
          <w:ilvl w:val="1"/>
          <w:numId w:val="3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koszty podróży służbowych, w tym koszty dojazdów, wyżywienia i noclegów pokrywa się wyłącznie z budżetu, którego dysponentem jest Minister Obrony Narodowej;</w:t>
      </w:r>
    </w:p>
    <w:p w:rsidR="00FD1179" w:rsidRPr="00FD1179" w:rsidRDefault="00FD1179" w:rsidP="00030404">
      <w:pPr>
        <w:numPr>
          <w:ilvl w:val="1"/>
          <w:numId w:val="3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 xml:space="preserve">w restauracjach i innych miejscach wspólnego przebywania rachunki należy opłacać z  własnych środków w ramach późniejszego rozliczenia służbowego, lub ze środków pochodzących </w:t>
      </w:r>
      <w:r w:rsidR="00030404">
        <w:rPr>
          <w:rFonts w:ascii="Arial" w:eastAsia="Calibri" w:hAnsi="Arial" w:cs="Arial"/>
          <w:sz w:val="20"/>
          <w:szCs w:val="20"/>
        </w:rPr>
        <w:br/>
      </w:r>
      <w:r w:rsidRPr="00FD1179">
        <w:rPr>
          <w:rFonts w:ascii="Arial" w:eastAsia="Calibri" w:hAnsi="Arial" w:cs="Arial"/>
          <w:sz w:val="20"/>
          <w:szCs w:val="20"/>
        </w:rPr>
        <w:t>z budżetu, którego dysponentem jest Minister Obrony Narodowej (karty płatnicze).</w:t>
      </w:r>
    </w:p>
    <w:p w:rsidR="00FD1179" w:rsidRPr="00FD1179" w:rsidRDefault="00FD1179" w:rsidP="00FD1179">
      <w:pPr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 xml:space="preserve">Niedopuszczalne jest korzystanie z fundowanego przez wykonawców wyżywienia, transportu, ani </w:t>
      </w:r>
      <w:r w:rsidR="00030404">
        <w:rPr>
          <w:rFonts w:ascii="Arial" w:eastAsia="Calibri" w:hAnsi="Arial" w:cs="Arial"/>
          <w:sz w:val="20"/>
          <w:szCs w:val="20"/>
        </w:rPr>
        <w:br/>
      </w:r>
      <w:r w:rsidRPr="00FD1179">
        <w:rPr>
          <w:rFonts w:ascii="Arial" w:eastAsia="Calibri" w:hAnsi="Arial" w:cs="Arial"/>
          <w:sz w:val="20"/>
          <w:szCs w:val="20"/>
        </w:rPr>
        <w:t>z pokrywania przez nich innych kosztów i zobowiązań z wyjątkiem:</w:t>
      </w:r>
    </w:p>
    <w:p w:rsidR="00FD1179" w:rsidRPr="00FD1179" w:rsidRDefault="00FD1179" w:rsidP="00030404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lastRenderedPageBreak/>
        <w:t>drobnych poczęstunków serwowanych w trakcie podróży służbowych;</w:t>
      </w:r>
    </w:p>
    <w:p w:rsidR="00FD1179" w:rsidRPr="00FD1179" w:rsidRDefault="00FD1179" w:rsidP="00030404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transportu związanego z wykonywaniem zadań w ramach podróży służbowych.</w:t>
      </w:r>
    </w:p>
    <w:p w:rsidR="00FD1179" w:rsidRPr="00FD1179" w:rsidRDefault="00FD1179" w:rsidP="00FD1179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D1179" w:rsidRPr="00FD1179" w:rsidRDefault="00FD1179" w:rsidP="00030404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>Rozdział 3</w:t>
      </w:r>
    </w:p>
    <w:p w:rsidR="00FD1179" w:rsidRPr="00FD1179" w:rsidRDefault="00FD1179" w:rsidP="00030404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 xml:space="preserve">Przedsięwzięcia i </w:t>
      </w:r>
      <w:r w:rsidR="00030404">
        <w:rPr>
          <w:rFonts w:ascii="Arial" w:eastAsia="Calibri" w:hAnsi="Arial" w:cs="Arial"/>
          <w:b/>
          <w:bCs/>
          <w:sz w:val="20"/>
          <w:szCs w:val="20"/>
        </w:rPr>
        <w:t>spotkania z udziałem wykonawców</w:t>
      </w:r>
    </w:p>
    <w:p w:rsidR="00FD1179" w:rsidRPr="00FD1179" w:rsidRDefault="00FD1179" w:rsidP="00030404">
      <w:pPr>
        <w:autoSpaceDE w:val="0"/>
        <w:autoSpaceDN w:val="0"/>
        <w:adjustRightInd w:val="0"/>
        <w:spacing w:after="0"/>
        <w:rPr>
          <w:rFonts w:ascii="Arial" w:eastAsia="Calibri" w:hAnsi="Arial" w:cs="Arial"/>
          <w:sz w:val="20"/>
          <w:szCs w:val="20"/>
        </w:rPr>
      </w:pPr>
      <w:bookmarkStart w:id="0" w:name="_GoBack"/>
      <w:r w:rsidRPr="00FD1179">
        <w:rPr>
          <w:rFonts w:ascii="Arial" w:eastAsia="Calibri" w:hAnsi="Arial" w:cs="Arial"/>
          <w:b/>
          <w:bCs/>
          <w:sz w:val="20"/>
          <w:szCs w:val="20"/>
        </w:rPr>
        <w:t xml:space="preserve">§ 5. </w:t>
      </w:r>
      <w:r w:rsidRPr="00FD1179">
        <w:rPr>
          <w:rFonts w:ascii="Arial" w:eastAsia="Calibri" w:hAnsi="Arial" w:cs="Arial"/>
          <w:sz w:val="20"/>
          <w:szCs w:val="20"/>
        </w:rPr>
        <w:t>1. Dopuszczalne są przedsięwzięcia związane z zawarciem lub realizacją umowy, organizowane wspólnie przez komórki lub jednostki organizacyjne oraz wykonawców.</w:t>
      </w:r>
    </w:p>
    <w:p w:rsidR="00FD1179" w:rsidRPr="00FD1179" w:rsidRDefault="00FD1179" w:rsidP="00030404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Dopuszczalne jest udzielanie pomocy krajowym przedsiębiorstwom sektora obronnego w przedsięwzięciach promocyjnych skierowanych na rynki zagraniczne, w tym w ramach międzynarodowych targów, pokazów, wystaw i konferencji o tematyce obronnej, w szczególności w postaci wystawiania referencji dla sprzętu będącego na wyposażeniu Sił Zbrojnych Rzeczypospolitej Polskiej oraz udostępniania informacji i materiałów będących w posiadaniu resortu obrony narodowej, a stanowiących informację publiczną lub informację przetworzoną w rozumieniu przepisów o dostępie do informacji publicznej.</w:t>
      </w:r>
    </w:p>
    <w:p w:rsidR="00FD1179" w:rsidRPr="00FD1179" w:rsidRDefault="00FD1179" w:rsidP="00030404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Dopuszczalny jest udział w posiedzeniach i konferencjach organizowanych lub współorganizowanych przez organizacje międzynarodowe, których członkiem jest Rzeczpospolita Polska, a w szczególności przez Organizację Traktatu Północnoatlantyckiego lub Unię Europejską, odbywających się z udziałem wykonawców, a także w przedsięwzięciach realizowanych przez komórki lub jednostki organizacyjne, które wynikają z zaakceptowanego rocznego planu współpracy międzynarodowej resortu obrony narodowej.</w:t>
      </w:r>
    </w:p>
    <w:p w:rsidR="00FD1179" w:rsidRPr="00FD1179" w:rsidRDefault="00FD1179" w:rsidP="00030404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Zaangażowanie w inne niż wymienione w ust. 1-3 przedsięwzięcia z udziałem wykonawców, w tym w szczególności konferencje, seminaria, sympozja – dopuszczalne jest wyłącznie po uzyskaniu od organizatora informacji zgodnej z wzorem zapytania, zawartym w załączniku Nr 1 do Zasad postępowania w kontaktach z wykonawcami oraz udzieleniu pisemnej zgody dyrektora (szefa, komendanta, kierownika, dowódcy, prezesa) komórki lub jednostki organizacyjnej na uczestnictwo w takim przedsięwzięciu. W przypadku chęci uczestnictwa dyrektora (szefa, komendanta, kierownika, dowódcy, prezesa) w przedsięwzięciu z udziałem wykonawców, pisemną zgodę wydaje jego bezpośredni przełożony.</w:t>
      </w:r>
    </w:p>
    <w:p w:rsidR="00FD1179" w:rsidRPr="00FD1179" w:rsidRDefault="00FD1179" w:rsidP="00030404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Obowiązki, o których mowa w ust. 4, nie dotyczą przypadku, gdy organizatorem, lub współorganizatorem przedsięwzięcia jest Ministerstwo Obrony Narodowej lub inne instytucje krajowej administracji rządowej.</w:t>
      </w:r>
    </w:p>
    <w:p w:rsidR="00FD1179" w:rsidRPr="00FD1179" w:rsidRDefault="00FD1179" w:rsidP="0003040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>§ 6</w:t>
      </w:r>
      <w:r w:rsidRPr="00FD1179">
        <w:rPr>
          <w:rFonts w:ascii="Arial" w:eastAsia="Calibri" w:hAnsi="Arial" w:cs="Arial"/>
          <w:sz w:val="20"/>
          <w:szCs w:val="20"/>
        </w:rPr>
        <w:t>. 1. Wszelkie spotkania z wykonawcami, jeżeli nie mają charakteru:</w:t>
      </w:r>
    </w:p>
    <w:p w:rsidR="00FD1179" w:rsidRPr="00FD1179" w:rsidRDefault="00FD1179" w:rsidP="00030404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przedsięwzięć wymienionych w § 5 ust. 1-3, lub</w:t>
      </w:r>
    </w:p>
    <w:p w:rsidR="00FD1179" w:rsidRPr="00FD1179" w:rsidRDefault="00FD1179" w:rsidP="00030404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 xml:space="preserve">konferencji, seminariów lub sympozjów wymienionych w § 5 ust. 4 i 5, lub </w:t>
      </w:r>
    </w:p>
    <w:p w:rsidR="00FD1179" w:rsidRPr="00FD1179" w:rsidRDefault="00FD1179" w:rsidP="00030404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spotkań towarzyskich, odbywających się poza godzinami pracy, podczas których nie poruszano żadnych kwestii służbowych, lub</w:t>
      </w:r>
    </w:p>
    <w:p w:rsidR="00FD1179" w:rsidRPr="00FD1179" w:rsidRDefault="00FD1179" w:rsidP="00030404">
      <w:pPr>
        <w:numPr>
          <w:ilvl w:val="0"/>
          <w:numId w:val="12"/>
        </w:numPr>
        <w:autoSpaceDE w:val="0"/>
        <w:autoSpaceDN w:val="0"/>
        <w:adjustRightInd w:val="0"/>
        <w:spacing w:after="0"/>
        <w:ind w:hanging="219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spotkań o charakterze jedynie organizacyjno-porządkowym – powinny odbywać się przy udziale co najmniej dwóch osób będących  przedstawicielami komórek lub jednostek organizacyjnych (zasada „wielu par oczu”), w przeciwnym wypadku całość spotkania powinna zostać utrwalona za pomocą urządzeń i środków technicznych służących do utrwalania dźwięku albo obrazu i dźwięku.</w:t>
      </w:r>
    </w:p>
    <w:p w:rsidR="00FD1179" w:rsidRPr="00FD1179" w:rsidRDefault="00FD1179" w:rsidP="00030404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Utrwalenie przebiegu spotkania z wykonawcami za pomocą urządzeń i środków technicznych służących do utrwalania dźwięku albo obrazu i dźwięku, zwane dalej „zapisem”, następuje po uprzednim uzyskaniu zgody wykonawcy na taki sposób utrwalenia przebiegu spotkania.</w:t>
      </w:r>
    </w:p>
    <w:p w:rsidR="00FD1179" w:rsidRPr="00FD1179" w:rsidRDefault="00FD1179" w:rsidP="00030404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Niedopuszczalne jest kontynuowanie spotkania z wykonawcą, który nie wyraził zgody na utrwalenie jego przebiegu, przy jednoczesnym braku możliwości zapewnienia udziału dwóch osób w spotkaniu, o którym mowa w ust. 1.</w:t>
      </w:r>
    </w:p>
    <w:bookmarkEnd w:id="0"/>
    <w:p w:rsidR="00FD1179" w:rsidRPr="00FD1179" w:rsidRDefault="00FD1179" w:rsidP="00FD1179">
      <w:pPr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Zapis następuje za pomocą urządzeń i środków technicznych wykorzystujących technikę cyfrową, zapewniającą:</w:t>
      </w:r>
    </w:p>
    <w:p w:rsidR="00FD1179" w:rsidRPr="00FD1179" w:rsidRDefault="00FD1179" w:rsidP="00FD1179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integralność zapisu;</w:t>
      </w:r>
    </w:p>
    <w:p w:rsidR="00FD1179" w:rsidRPr="00FD1179" w:rsidRDefault="00FD1179" w:rsidP="00FD1179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kopiowanie zapisu pomiędzy urządzeniami, środkami technicznymi i informatycznymi nośnikami danych;</w:t>
      </w:r>
    </w:p>
    <w:p w:rsidR="00FD1179" w:rsidRPr="00FD1179" w:rsidRDefault="00FD1179" w:rsidP="00FD1179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lastRenderedPageBreak/>
        <w:t>zabezpieczenie zapisu, w szczególności przed utratą lub nieuzasadnioną zmianą;</w:t>
      </w:r>
    </w:p>
    <w:p w:rsidR="00FD1179" w:rsidRPr="00FD1179" w:rsidRDefault="00FD1179" w:rsidP="00FD1179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odtworzenie zapisu także przy użyciu urządzeń i środków technicznych korygujących lub wzmacniających utrwalony dźwięk lub obraz;</w:t>
      </w:r>
    </w:p>
    <w:p w:rsidR="00FD1179" w:rsidRPr="00FD1179" w:rsidRDefault="00FD1179" w:rsidP="00FD1179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udostępnienie zapisu na informatycznym nośniku danych;</w:t>
      </w:r>
    </w:p>
    <w:p w:rsidR="00FD1179" w:rsidRPr="00FD1179" w:rsidRDefault="00FD1179" w:rsidP="00FD1179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możliwość bieżącej kontroli dokonywanego zapisu.</w:t>
      </w:r>
    </w:p>
    <w:p w:rsidR="00FD1179" w:rsidRPr="00FD1179" w:rsidRDefault="00FD1179" w:rsidP="00FD1179">
      <w:pPr>
        <w:numPr>
          <w:ilvl w:val="0"/>
          <w:numId w:val="8"/>
        </w:numPr>
        <w:autoSpaceDE w:val="0"/>
        <w:autoSpaceDN w:val="0"/>
        <w:adjustRightInd w:val="0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Informatyczne nośniki danych na których dokonano zapisu podlegają zdeponowaniu w kancelarii komórki lub jednostki organizacyjnej, której pracownik lub żołnierz brał udział w spotkaniu z wykonawcą, gdzie następnie są archiwizowane przez okres 3 lat.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>Rozdział 4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>Sponsorowanie przedsięwzięć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D1179" w:rsidRPr="00FD1179" w:rsidRDefault="00FD1179" w:rsidP="00FD117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 xml:space="preserve">§ 7. </w:t>
      </w:r>
      <w:r w:rsidRPr="00FD1179">
        <w:rPr>
          <w:rFonts w:ascii="Arial" w:eastAsia="Calibri" w:hAnsi="Arial" w:cs="Arial"/>
          <w:sz w:val="20"/>
          <w:szCs w:val="20"/>
        </w:rPr>
        <w:t>Z zastrzeżeniem § 5 ust. 1-3, niedopuszczalne jest, aby przedsięwzięcia organizowane lub współorganizowane przez komórki lub jednostki organizacyjne były finansowane,  współfinansowane lub w inny sposób materialnie wspierane przez wykonawców, chyba że jest to związane bezpośrednio z koniecznością pokrycia kosztów wynikających z uczestnictwa wykonawcy w danym przedsięwzięciu.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>Rozdział 5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>Prezenty, materiały promocyjne i informacyjne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D1179" w:rsidRPr="00FD1179" w:rsidRDefault="00FD1179" w:rsidP="00FD117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 xml:space="preserve">§ 8. </w:t>
      </w:r>
      <w:r w:rsidRPr="00FD1179">
        <w:rPr>
          <w:rFonts w:ascii="Arial" w:eastAsia="Calibri" w:hAnsi="Arial" w:cs="Arial"/>
          <w:sz w:val="20"/>
          <w:szCs w:val="20"/>
        </w:rPr>
        <w:t>1. Niedopuszczalne jest przyjmowanie od wykonawców prezentów w postaci jakichkolwiek  korzyści majątkowych lub osobistych.</w:t>
      </w:r>
    </w:p>
    <w:p w:rsidR="00FD1179" w:rsidRPr="00FD1179" w:rsidRDefault="00FD1179" w:rsidP="00FD1179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Dopuszczalne jest przyjmowanie materiałów promocyjnych o znikomej wartości handlowej.</w:t>
      </w:r>
    </w:p>
    <w:p w:rsidR="00FD1179" w:rsidRPr="00FD1179" w:rsidRDefault="00FD1179" w:rsidP="00FD1179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Dopuszczalne i zalecane jest przyjmowanie materiałów informacyjnych.</w:t>
      </w:r>
    </w:p>
    <w:p w:rsidR="00FD1179" w:rsidRPr="00FD1179" w:rsidRDefault="00FD1179" w:rsidP="00FD1179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Dopuszcza się eksponowanie w salach konferencyjnych oraz w innych miejscach powszechnie dostępnych na terenie komórek i jednostek organizacyjnych otrzymanych od wykonawców materiałów promujących Siły Zbrojne Rzeczypospolitej Polskiej.</w:t>
      </w:r>
    </w:p>
    <w:p w:rsidR="00FD1179" w:rsidRPr="00FD1179" w:rsidRDefault="00FD1179" w:rsidP="00FD1179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Niewskazane jest używanie na terenie komórek i jednostek organizacyjnych materiałów i oznaczeń promujących wykonawców, w tym także materiałów biurowych.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 xml:space="preserve">                                      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>Rozdział 6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>Kontakty towarzyskie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D1179" w:rsidRPr="00FD1179" w:rsidRDefault="00FD1179" w:rsidP="00FD117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 xml:space="preserve">§ 9. </w:t>
      </w:r>
      <w:r w:rsidRPr="00FD1179">
        <w:rPr>
          <w:rFonts w:ascii="Arial" w:eastAsia="Calibri" w:hAnsi="Arial" w:cs="Arial"/>
          <w:sz w:val="20"/>
          <w:szCs w:val="20"/>
        </w:rPr>
        <w:t>1. Kontakty towarzyskie z wykonawcami, nawiązane zanim powstały relacje wynikające z  wykonywanych obowiązków mogą być kontynuowane, przy zachowaniu zasad określonych w § 3 niniejszego załącznika.</w:t>
      </w:r>
    </w:p>
    <w:p w:rsidR="00FD1179" w:rsidRPr="00FD1179" w:rsidRDefault="00FD1179" w:rsidP="00FD1179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W przypadkach innych niż określone w ust. 1, nie zaleca się nawiązywania kontaktów towarzyskich z wykonawcami.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lastRenderedPageBreak/>
        <w:t>Rozdział 7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>Najem i użyczanie lokali oraz terenów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D1179" w:rsidRPr="00FD1179" w:rsidRDefault="00FD1179" w:rsidP="00FD117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 xml:space="preserve">§ 10. </w:t>
      </w:r>
      <w:r w:rsidRPr="00FD1179">
        <w:rPr>
          <w:rFonts w:ascii="Arial" w:eastAsia="Calibri" w:hAnsi="Arial" w:cs="Arial"/>
          <w:sz w:val="20"/>
          <w:szCs w:val="20"/>
        </w:rPr>
        <w:t>Dopuszczalne jest wynajmowanie lub użyczanie wykonawcom lokali i terenów  resortu obrony narodowej w celu:</w:t>
      </w:r>
    </w:p>
    <w:p w:rsidR="00FD1179" w:rsidRPr="00FD1179" w:rsidRDefault="00FD1179" w:rsidP="00FD1179">
      <w:pPr>
        <w:numPr>
          <w:ilvl w:val="0"/>
          <w:numId w:val="14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przeprowadzenia prezentacji lub pokazów na rzecz komórek lub jednostek  organizacyjnych;</w:t>
      </w:r>
    </w:p>
    <w:p w:rsidR="00FD1179" w:rsidRPr="00FD1179" w:rsidRDefault="00FD1179" w:rsidP="00FD1179">
      <w:pPr>
        <w:numPr>
          <w:ilvl w:val="0"/>
          <w:numId w:val="14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przeprowadzenia prezentacji lub pokazów organizowanych przez krajowe przedsiębiorstwa sektora obronnego dla odbiorców zagranicznych;</w:t>
      </w:r>
    </w:p>
    <w:p w:rsidR="00FD1179" w:rsidRPr="00FD1179" w:rsidRDefault="00FD1179" w:rsidP="00FD1179">
      <w:pPr>
        <w:numPr>
          <w:ilvl w:val="0"/>
          <w:numId w:val="14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realizowania zadań przez Agencję Mienia Wojskowego, wynikających z odrębnych przepisów.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>Rozdział 8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>Prezentacje, pokazy i referencje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D1179" w:rsidRPr="00FD1179" w:rsidRDefault="00FD1179" w:rsidP="00FD117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 xml:space="preserve">§ 11. </w:t>
      </w:r>
      <w:r w:rsidRPr="00FD1179">
        <w:rPr>
          <w:rFonts w:ascii="Arial" w:eastAsia="Calibri" w:hAnsi="Arial" w:cs="Arial"/>
          <w:sz w:val="20"/>
          <w:szCs w:val="20"/>
        </w:rPr>
        <w:t>1. Działania informacyjne, z wyłączeniem oficjalnej korespondencji dokonywanej w formie  pisemnej lub realizowanej przy pomocy faksu albo służbowej poczty elektronicznej, powinny być przeprowadzane przez wykonawców w formie oficjalnych prezentacji lub pokazów.</w:t>
      </w:r>
    </w:p>
    <w:p w:rsidR="00FD1179" w:rsidRPr="00FD1179" w:rsidRDefault="00FD1179" w:rsidP="00FD1179">
      <w:pPr>
        <w:numPr>
          <w:ilvl w:val="0"/>
          <w:numId w:val="16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Wskazane jest, aby prezentacje lub pokazy odbywały się na terenie komórek i  jednostek organizacyjnych lub podczas targów.</w:t>
      </w:r>
    </w:p>
    <w:p w:rsidR="00FD1179" w:rsidRPr="00FD1179" w:rsidRDefault="00FD1179" w:rsidP="00FD1179">
      <w:pPr>
        <w:numPr>
          <w:ilvl w:val="0"/>
          <w:numId w:val="16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W przypadku, gdyby koszty prezentacji lub pokazu były zbyt wysokie dla wykonawcy, bądź też gdyby prezentacja lub pokaz były ze względów technicznych lub organizacyjnych znacznym utrudnieniem, dopuszczalne jest ich przeprowadzenie u wykonawcy na rzecz oficjalnej delegacji komórek lub jednostek organizacyjnych.</w:t>
      </w:r>
    </w:p>
    <w:p w:rsidR="00FD1179" w:rsidRPr="00FD1179" w:rsidRDefault="00FD1179" w:rsidP="00FD1179">
      <w:pPr>
        <w:numPr>
          <w:ilvl w:val="0"/>
          <w:numId w:val="16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Niedopuszczalne jest obciążanie Skarbu Państwa – Ministra Obrony Narodowej, lub państwowej osoby prawnej kosztami organizowanych prezentacji lub pokazów, z wyłączeniem opłat z tytułu zużytych mediów i wstawek konferencyjnych.</w:t>
      </w:r>
    </w:p>
    <w:p w:rsidR="00FD1179" w:rsidRPr="00FD1179" w:rsidRDefault="00FD1179" w:rsidP="00FD1179">
      <w:pPr>
        <w:numPr>
          <w:ilvl w:val="0"/>
          <w:numId w:val="16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W celu zbierania niezbędnych doświadczeń i informacji dyrektorzy (szefowie, komendanci, kierownicy, dowódcy, prezesi) komórek i jednostek organizacyjnych mogą   za pisemną zgodą bezpośredniego przełożonego organizować prezentacje i pokazy z udziałem wykonawców.</w:t>
      </w:r>
    </w:p>
    <w:p w:rsidR="00FD1179" w:rsidRPr="00FD1179" w:rsidRDefault="00FD1179" w:rsidP="00FD1179">
      <w:pPr>
        <w:numPr>
          <w:ilvl w:val="0"/>
          <w:numId w:val="16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Dyrektor (szef, komendant, kierownik, dowódca, prezes) komórki lub jednostki organizacyjnej odpowiedzialnej za organizację przedsięwzięcia, o którym mowa w  ust.5, dotyczącego sprzętu wojskowego, w terminie 14 dni od dnia jego zakończenia, przekazuje Dyrektorowi Departamentu Polityki Zbrojeniowej notatkę o tym wydarzeniu, zgodnie ze wzorem stanowiącym załącznik Nr 2 do Zasad postępowania w kontaktach  z wykonawcami.</w:t>
      </w:r>
    </w:p>
    <w:p w:rsidR="00FD1179" w:rsidRPr="00FD1179" w:rsidRDefault="00FD1179" w:rsidP="00FD1179">
      <w:pPr>
        <w:numPr>
          <w:ilvl w:val="0"/>
          <w:numId w:val="16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Wskazane jest zamieszczanie przez komórki i jednostki organizacyjne z odpowiednim wyprzedzeniem na własnych stronach internetowych informacji  o zamiarze organizacji lub możliwości przeprowadzenia prezentacji lub pokazu, dotyczącego konkretnych grup asortymentowych sprzętu lub usług, w celu   umożliwienia jak największej grupie wykonawców zgłoszenia swojego udziału w tego typu wydarzeniach.</w:t>
      </w:r>
    </w:p>
    <w:p w:rsidR="00FD1179" w:rsidRPr="00FD1179" w:rsidRDefault="00FD1179" w:rsidP="00FD117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 xml:space="preserve">§ 12. </w:t>
      </w:r>
      <w:r w:rsidRPr="00FD1179">
        <w:rPr>
          <w:rFonts w:ascii="Arial" w:eastAsia="Calibri" w:hAnsi="Arial" w:cs="Arial"/>
          <w:sz w:val="20"/>
          <w:szCs w:val="20"/>
        </w:rPr>
        <w:t>1. Dopuszczalne jest udzielenie wykonawcy pozytywnych referencji (poświadczenia) w  związku z należytym wykonaniem przez niego umowy.</w:t>
      </w:r>
    </w:p>
    <w:p w:rsidR="00FD1179" w:rsidRPr="00FD1179" w:rsidRDefault="00FD1179" w:rsidP="00FD1179">
      <w:pPr>
        <w:numPr>
          <w:ilvl w:val="0"/>
          <w:numId w:val="17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Referencji, o których mowa w ust. 1, udziela w formie pisemnej zamawiający po uprzednim ustaleniu należytego wykonania  umowy.</w:t>
      </w:r>
    </w:p>
    <w:p w:rsidR="00FD1179" w:rsidRPr="00FD1179" w:rsidRDefault="00FD1179" w:rsidP="00FD1179">
      <w:pPr>
        <w:numPr>
          <w:ilvl w:val="0"/>
          <w:numId w:val="17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lastRenderedPageBreak/>
        <w:t>Niedopuszczalne jest udzielanie referencji, o których mowa w ust. 1, wykonawcom, w stosunku do których zamawiający uprawniony jest do zgłoszenia roszczeń z tytułu niewykonania lub nienależytego wykonania umowy, której mają dotyczyć referencje.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>Rozdział 9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>Faworyzowanie i konflikt interesów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D1179" w:rsidRPr="00FD1179" w:rsidRDefault="00FD1179" w:rsidP="00FD117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 xml:space="preserve">§ 13. </w:t>
      </w:r>
      <w:r w:rsidRPr="00FD1179">
        <w:rPr>
          <w:rFonts w:ascii="Arial" w:eastAsia="Calibri" w:hAnsi="Arial" w:cs="Arial"/>
          <w:sz w:val="20"/>
          <w:szCs w:val="20"/>
        </w:rPr>
        <w:t>1. Niedopuszczalne jest faworyzowanie wykonawcy, polegające w szczególności na:</w:t>
      </w:r>
    </w:p>
    <w:p w:rsidR="00FD1179" w:rsidRPr="00FD1179" w:rsidRDefault="00FD1179" w:rsidP="00FD1179">
      <w:pPr>
        <w:numPr>
          <w:ilvl w:val="0"/>
          <w:numId w:val="20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wcześniejszym udzielaniu mu informacji,</w:t>
      </w:r>
    </w:p>
    <w:p w:rsidR="00FD1179" w:rsidRPr="00FD1179" w:rsidRDefault="00FD1179" w:rsidP="00FD1179">
      <w:pPr>
        <w:numPr>
          <w:ilvl w:val="0"/>
          <w:numId w:val="20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nieuzasadnionym ograniczeniu innym wykonawcom dostępu do informacji – które może stawiać go w uprzywilejowanej pozycji w stosunku do innych wykonawców.</w:t>
      </w:r>
    </w:p>
    <w:p w:rsidR="00FD1179" w:rsidRPr="00FD1179" w:rsidRDefault="00FD1179" w:rsidP="00FD1179">
      <w:pPr>
        <w:numPr>
          <w:ilvl w:val="0"/>
          <w:numId w:val="18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Wskazane jest, aby pracownicy i żołnierze komórek i jednostek organizacyjnych oraz osoby fizyczne świadczące pracę na podstawie umów cywilnoprawnych w Ministerstwie Obrony Narodowej lub w jednostkach organizacyjnych, informowali odpowiednio bezpośrednich przełożonych lub zamawiających o relacjach prawnych lub faktycznych, w których ich interes prywatny (osobisty lub majątkowy), wynikający z powiązań z konkretnym wykonawcą, wpływa, bądź może wpływać na obiektywne  i bezstronne wykonywanie powierzonych obowiązków (realny bądź potencjalny konflikt  interesów) lub też może być on postrzegany przez opinię publiczną jako znajdujący się w konflikcie z obiektywnym i bezstronnym wykonywaniem realizowanych przez nich obowiązków (postrzegalny konflikt interesów).</w:t>
      </w:r>
    </w:p>
    <w:p w:rsidR="00FD1179" w:rsidRPr="00FD1179" w:rsidRDefault="00FD1179" w:rsidP="00FD1179">
      <w:pPr>
        <w:numPr>
          <w:ilvl w:val="0"/>
          <w:numId w:val="18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Przez konflikt interesów należy rozumieć, w szczególności posiadanie powiązań   charakterze finansowym, rodzinnym lub towarzyskim z wykonawcą.</w:t>
      </w:r>
    </w:p>
    <w:p w:rsidR="00FD1179" w:rsidRPr="00FD1179" w:rsidRDefault="00FD1179" w:rsidP="00FD1179">
      <w:pPr>
        <w:numPr>
          <w:ilvl w:val="0"/>
          <w:numId w:val="18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Dyrektor (szef, komendant, kierownik, dowódca, prezes) komórki lub jednostki  organizacyjnej dysponujący wiarygodną informacją o realnym, potencjalnym lub  postrzegalnym konflikcie interesów podległego mu pracownika lub żołnierza komórki lub jednostki organizacyjnej, bądź osoby fizycznej świadczącej pracę na podstawie umów cywilnoprawnych w Ministerstwie Obrony Narodowej lub w jednostkach  organizacyjnych, rozstrzyga niezwłocznie o potrzebie podjęcia czynności zaradczych w celu wyeliminowania lub ograniczenia możliwości zaistnienia konfliktu interesów.</w:t>
      </w:r>
    </w:p>
    <w:p w:rsidR="00FD1179" w:rsidRPr="00FD1179" w:rsidRDefault="00FD1179" w:rsidP="00FD1179">
      <w:pPr>
        <w:numPr>
          <w:ilvl w:val="0"/>
          <w:numId w:val="18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Czynnością zaradczą, o której mowa w ust. 4, może być w szczególności:</w:t>
      </w:r>
    </w:p>
    <w:p w:rsidR="00FD1179" w:rsidRPr="00FD1179" w:rsidRDefault="00FD1179" w:rsidP="00FD1179">
      <w:pPr>
        <w:numPr>
          <w:ilvl w:val="1"/>
          <w:numId w:val="21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wydanie dyspozycji o konieczności udziału minimum dwóch osób w realizacji określonych czynności (zasada „wielu par oczu”), lub</w:t>
      </w:r>
    </w:p>
    <w:p w:rsidR="00FD1179" w:rsidRPr="00FD1179" w:rsidRDefault="00FD1179" w:rsidP="00FD1179">
      <w:pPr>
        <w:numPr>
          <w:ilvl w:val="1"/>
          <w:numId w:val="21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włączenie dodatkowych mechanizmów nadzorczych, w tym kontrolnych, lub sprawozdawczych w realizacji określonych czynności, lub</w:t>
      </w:r>
    </w:p>
    <w:p w:rsidR="00FD1179" w:rsidRPr="00FD1179" w:rsidRDefault="00FD1179" w:rsidP="00FD1179">
      <w:pPr>
        <w:numPr>
          <w:ilvl w:val="1"/>
          <w:numId w:val="21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wyłączenie osoby pozostającej w konflikcie interesów z udziału w określonej czynności, lub</w:t>
      </w:r>
    </w:p>
    <w:p w:rsidR="00FD1179" w:rsidRPr="00FD1179" w:rsidRDefault="00FD1179" w:rsidP="00FD1179">
      <w:pPr>
        <w:numPr>
          <w:ilvl w:val="1"/>
          <w:numId w:val="21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doprowadzenie do rozwiązania umowy cywilnoprawnej zawartej z osobą fizyczną,  o której mowa w ust. 2.</w:t>
      </w:r>
    </w:p>
    <w:p w:rsidR="00FD1179" w:rsidRPr="00FD1179" w:rsidRDefault="00FD1179" w:rsidP="00FD1179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W przypadku postrzegalnego lub potencjalnego konfliktu interesów dyrektor (szef, komendant, kierownik, dowódca, prezes) komórki lub jednostki organizacyjnej może nie  podejmować żadnej czynności zaradczej, jeżeli w pisemnej notatce, zarejestrowanej w         kancelarii potwierdzi, że konflikt ten jest w jego ocenie nieistotny z punktu widzenia prawidłowego działania danej komórki lub jednostki organizacyjnej, a samo ujawnienie go przez osobę, pozostającą w konflikcie interesów jest wystarczające do jego skutecznej kontroli.</w:t>
      </w:r>
    </w:p>
    <w:p w:rsidR="00FD1179" w:rsidRPr="00FD1179" w:rsidRDefault="00FD1179" w:rsidP="00FD1179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W przypadku, gdy konflikt interesów dotyczy dyrektora (szefa, komendanta, kierownika, dowódcy, prezesa) komórki lub jednostki organizacyjnej, o potrzebie podjęcia czynności zaradczych w celu wyeliminowania lub ograniczenia możliwości jego zaistnienia, decyduje bezpośredni przełożony tej osoby. Przepisy ust. 2-6 stosuje  się odpowiednio.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>Rozdział 10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>Sprawozdawczość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D1179" w:rsidRPr="00FD1179" w:rsidRDefault="00FD1179" w:rsidP="00FD117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 xml:space="preserve">§ 14. </w:t>
      </w:r>
      <w:r w:rsidRPr="00FD1179">
        <w:rPr>
          <w:rFonts w:ascii="Arial" w:eastAsia="Calibri" w:hAnsi="Arial" w:cs="Arial"/>
          <w:sz w:val="20"/>
          <w:szCs w:val="20"/>
        </w:rPr>
        <w:t>1. Z wszelkich kontaktów z wykonawcami, osoby biorące w nich udział, sporządzają notatkę zawierającą informacje odnośnie: stron, celu, inicjatora, formy kontaktu lub miejsca spotkania oraz faktu udokumentowania jego przebiegu za pomocą urządzeń i              środków technicznych służących do utrwalania dźwięku albo obrazu i dźwięku, a w  przypadku gdy przebieg spotkania nie został w ten sposób udokumentowany – również szczegółowych danych uzyskanych od wykonawcy i przekazanych wykonawcy. Istnieje możliwość sporządzenia wspólnej notatki przez osoby uczestniczące w kontaktach z wykonawcami.</w:t>
      </w:r>
    </w:p>
    <w:p w:rsidR="00FD1179" w:rsidRPr="00FD1179" w:rsidRDefault="00FD1179" w:rsidP="00FD1179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Notatkę, o której mowa w ust. 1, sporządza się również w przypadku kontaktów z podmiotami zainteresowanymi nabyciem nieruchomości Skarbu Państwa lub mienia  ruchomego o wartości księgowej przekraczającej 10.000 złotych.</w:t>
      </w:r>
    </w:p>
    <w:p w:rsidR="00FD1179" w:rsidRPr="00FD1179" w:rsidRDefault="00FD1179" w:rsidP="00FD1179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Treść notatki zamieszcza się w terminie 14 dni od dnia przeprowadzenia kontaktu w wewnętrznej sieci elektronicznej w zakładce pod nazwą „kontakty z wykonawcami”.</w:t>
      </w:r>
    </w:p>
    <w:p w:rsidR="00FD1179" w:rsidRPr="00FD1179" w:rsidRDefault="00FD1179" w:rsidP="00FD1179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Obowiązek, o którym mowa w ust. 1 i 3, nie dotyczy:</w:t>
      </w:r>
    </w:p>
    <w:p w:rsidR="00FD1179" w:rsidRPr="00FD1179" w:rsidRDefault="00FD1179" w:rsidP="00FD1179">
      <w:pPr>
        <w:numPr>
          <w:ilvl w:val="0"/>
          <w:numId w:val="23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czynności zamawiającego, w związku z postępowaniem o udzielenie zamówienia od  chwili zamieszczenia ogłoszenia o postępowaniu lub skierowania zaproszenia do udziału w postępowaniu w trybie negocjacji, do chwili wyboru wykonawcy, o ile czynności te podejmowane są w ramach prac komisji;</w:t>
      </w:r>
    </w:p>
    <w:p w:rsidR="00FD1179" w:rsidRPr="00FD1179" w:rsidRDefault="00FD1179" w:rsidP="00FD1179">
      <w:pPr>
        <w:numPr>
          <w:ilvl w:val="0"/>
          <w:numId w:val="23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czynności zamawiającego podejmowanych od chwili wyboru wykonawcy do chwili  podpisania umowy oraz czynności związanych z wykonywaniem zawartych umów, o ile czynności te podejmowane są przez uprzednio pisemnie wyznaczone osoby;</w:t>
      </w:r>
    </w:p>
    <w:p w:rsidR="00FD1179" w:rsidRPr="00FD1179" w:rsidRDefault="00FD1179" w:rsidP="00FD1179">
      <w:pPr>
        <w:numPr>
          <w:ilvl w:val="0"/>
          <w:numId w:val="23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kontaktów mających charakter oficjalnej korespondencji dokonywanej w   formie pisemnej lub realizowanej przy pomocy faksu albo służbowej poczty elektronicznej;</w:t>
      </w:r>
    </w:p>
    <w:p w:rsidR="00FD1179" w:rsidRPr="00FD1179" w:rsidRDefault="00FD1179" w:rsidP="00FD1179">
      <w:pPr>
        <w:numPr>
          <w:ilvl w:val="0"/>
          <w:numId w:val="23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kontaktów mających miejsce w związku z realizacją fazy analityczno koncepcyjnej, o której mowa w przepisach decyzji w spawie pozyskiwania sprzętu wojskowego i   usług dla Sił Zbrojnych Rzeczypospolitej Polskiej, o ile kontakty te zostaną opisane w dokumentacji, która powstanie w ramach tej fazy, pisemnej notatce lub protokole spotkania, bądź też ich przebieg zostanie utrwalony za pomocą urządzeń i środków technicznych służących do utrwalania dźwięku albo obrazu i dźwięku;</w:t>
      </w:r>
    </w:p>
    <w:p w:rsidR="00FD1179" w:rsidRPr="00FD1179" w:rsidRDefault="00FD1179" w:rsidP="00FD1179">
      <w:pPr>
        <w:numPr>
          <w:ilvl w:val="0"/>
          <w:numId w:val="23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kontaktów dotyczących jedynie zagadnień o charakterze organizacyjnoporządkowym;</w:t>
      </w:r>
    </w:p>
    <w:p w:rsidR="00FD1179" w:rsidRPr="00FD1179" w:rsidRDefault="00FD1179" w:rsidP="00FD1179">
      <w:pPr>
        <w:numPr>
          <w:ilvl w:val="0"/>
          <w:numId w:val="23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kontaktów o charakterze wyłącznie towarzyskim, odbywających się poza godzinami pracy, w trakcie których nie poruszano żadnych kwestii służbowych;</w:t>
      </w:r>
    </w:p>
    <w:p w:rsidR="00FD1179" w:rsidRPr="00FD1179" w:rsidRDefault="00FD1179" w:rsidP="00FD1179">
      <w:pPr>
        <w:numPr>
          <w:ilvl w:val="0"/>
          <w:numId w:val="23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prezentacji i pokazów organizowanych na podstawie § 11 ust. 5;</w:t>
      </w:r>
    </w:p>
    <w:p w:rsidR="00FD1179" w:rsidRPr="00FD1179" w:rsidRDefault="00FD1179" w:rsidP="00FD1179">
      <w:pPr>
        <w:numPr>
          <w:ilvl w:val="0"/>
          <w:numId w:val="23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kontaktów realizowanych w celu wykonywania obowiązków przewidzianych w ustawie o niektórych umowach zawieranych w związku z realizacją zamówień o podstawowym znaczeniu dla bezpieczeństwa państwa, o ile kontakty te zostaną  opisane w pisemnej notatce lub protokole spotkania, bądź też ich przebieg zostanie utrwalony za pomocą urządzeń i środków technicznych służących do utrwalania dźwięku albo obrazu i dźwięku;</w:t>
      </w:r>
    </w:p>
    <w:p w:rsidR="00FD1179" w:rsidRPr="00FD1179" w:rsidRDefault="00FD1179" w:rsidP="00FD1179">
      <w:pPr>
        <w:numPr>
          <w:ilvl w:val="0"/>
          <w:numId w:val="23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kontaktów realizowanych w celu wykonania obowiązków przewidzianych w przepisach decyzji w spawie zasad funkcjonowania systemu zapewnienia  jakości wyrobów obronnych, o ile kontakty te zostaną opisane w pisemnej notatce lub protokole spotkania, bądź też ich przebieg zostanie utrwalony za pomocą urządzeń i środków technicznych służących do utrwalania dźwięku albo obrazu i dźwięku.</w:t>
      </w:r>
    </w:p>
    <w:p w:rsidR="00FD1179" w:rsidRPr="00FD1179" w:rsidRDefault="00FD1179" w:rsidP="00FD117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bCs/>
          <w:sz w:val="20"/>
          <w:szCs w:val="20"/>
        </w:rPr>
        <w:t xml:space="preserve">     5.</w:t>
      </w:r>
      <w:r w:rsidRPr="00FD1179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FD1179">
        <w:rPr>
          <w:rFonts w:ascii="Arial" w:eastAsia="Calibri" w:hAnsi="Arial" w:cs="Arial"/>
          <w:sz w:val="20"/>
          <w:szCs w:val="20"/>
        </w:rPr>
        <w:t>W wewnętrznej sieci elektronicznej nie powinny być zamieszczane notatki sporządzane ze spotkań z wykonawcami, w przypadku gdyby podlegały one  szczególnej ochronie przewidzianej w ustawie o ochronie informacji niejawnych.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>Rozdział 11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>Wykładnia postanowień decyzji</w:t>
      </w:r>
    </w:p>
    <w:p w:rsidR="00FD1179" w:rsidRPr="00FD1179" w:rsidRDefault="00FD1179" w:rsidP="00FD117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D1179" w:rsidRPr="00FD1179" w:rsidRDefault="00FD1179" w:rsidP="00FD117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b/>
          <w:bCs/>
          <w:sz w:val="20"/>
          <w:szCs w:val="20"/>
        </w:rPr>
        <w:t xml:space="preserve">§ 15. </w:t>
      </w:r>
      <w:r w:rsidRPr="00FD1179">
        <w:rPr>
          <w:rFonts w:ascii="Arial" w:eastAsia="Calibri" w:hAnsi="Arial" w:cs="Arial"/>
          <w:sz w:val="20"/>
          <w:szCs w:val="20"/>
        </w:rPr>
        <w:t>1. Podmioty zainteresowane mogą zwrócić się z pisemnym wnioskiem do Dyrektora Biura do Spraw Procedur Antykorupcyjnych o wydanie pisemnej opinii w sprawie interpretacji postanowień zawartych w decyzji, zwanej dalej "opinią".</w:t>
      </w:r>
    </w:p>
    <w:p w:rsidR="00FD1179" w:rsidRPr="00FD1179" w:rsidRDefault="00FD1179" w:rsidP="00FD1179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Podmiot wnioskujący może zastrzec we wniosku, o którym mowa w ust. 1, anonimizację danych osobowych.</w:t>
      </w:r>
    </w:p>
    <w:p w:rsidR="00FD1179" w:rsidRPr="00FD1179" w:rsidRDefault="00FD1179" w:rsidP="00FD1179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Opinia ma charakter wiążący dla wszystkich komórek i jednostek  organizacyjnych.</w:t>
      </w:r>
    </w:p>
    <w:p w:rsidR="00FD1179" w:rsidRPr="00FD1179" w:rsidRDefault="00FD1179" w:rsidP="00FD1179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 xml:space="preserve">Dyrektor Biura do Spraw Procedur Antykorupcyjnych zamieszcza opinię w wewnętrznej sieci elektronicznej (intranet), </w:t>
      </w:r>
      <w:r w:rsidRPr="00FD1179">
        <w:rPr>
          <w:rFonts w:ascii="Arial" w:eastAsia="Calibri" w:hAnsi="Arial" w:cs="Arial"/>
          <w:sz w:val="20"/>
          <w:szCs w:val="20"/>
        </w:rPr>
        <w:br/>
        <w:t>w zakładce "kontakty z wykonawcami".</w:t>
      </w:r>
    </w:p>
    <w:p w:rsidR="00FD1179" w:rsidRPr="00FD1179" w:rsidRDefault="00FD1179" w:rsidP="00FD1179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D1179">
        <w:rPr>
          <w:rFonts w:ascii="Arial" w:eastAsia="Calibri" w:hAnsi="Arial" w:cs="Arial"/>
          <w:sz w:val="20"/>
          <w:szCs w:val="20"/>
        </w:rPr>
        <w:t>Dyrektor Biura do Spraw Procedur Antykorupcyjnych może odmówić wydania opinii w sprawach, które były już przedmiotem rozstrzygnięcia lub, w których stan faktyczny ma charakter analogiczny do uprzednio opiniowanej sprawy.</w:t>
      </w:r>
    </w:p>
    <w:p w:rsidR="00FD1179" w:rsidRPr="00FD1179" w:rsidRDefault="00FD1179" w:rsidP="00FD1179">
      <w:pPr>
        <w:jc w:val="both"/>
        <w:rPr>
          <w:rFonts w:ascii="Arial" w:hAnsi="Arial" w:cs="Arial"/>
          <w:b/>
          <w:sz w:val="20"/>
          <w:szCs w:val="20"/>
        </w:rPr>
      </w:pPr>
    </w:p>
    <w:p w:rsidR="00FD1179" w:rsidRPr="00FD1179" w:rsidRDefault="00FD1179" w:rsidP="00FD1179">
      <w:pPr>
        <w:widowControl w:val="0"/>
        <w:suppressAutoHyphens/>
        <w:rPr>
          <w:rFonts w:ascii="Arial" w:eastAsia="Calibri" w:hAnsi="Arial" w:cs="Arial"/>
          <w:b/>
          <w:color w:val="000000"/>
          <w:kern w:val="2"/>
          <w:sz w:val="20"/>
          <w:szCs w:val="20"/>
          <w:u w:val="single"/>
          <w:lang w:eastAsia="zh-CN"/>
        </w:rPr>
      </w:pPr>
    </w:p>
    <w:p w:rsidR="007C36EF" w:rsidRDefault="007C36EF" w:rsidP="00FD1179">
      <w:pPr>
        <w:autoSpaceDE w:val="0"/>
        <w:autoSpaceDN w:val="0"/>
        <w:adjustRightInd w:val="0"/>
        <w:spacing w:after="0" w:line="240" w:lineRule="auto"/>
        <w:jc w:val="right"/>
      </w:pPr>
    </w:p>
    <w:sectPr w:rsidR="007C36EF" w:rsidSect="00AB178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796" w:rsidRDefault="00733796" w:rsidP="00817BD6">
      <w:pPr>
        <w:spacing w:after="0" w:line="240" w:lineRule="auto"/>
      </w:pPr>
      <w:r>
        <w:separator/>
      </w:r>
    </w:p>
  </w:endnote>
  <w:endnote w:type="continuationSeparator" w:id="0">
    <w:p w:rsidR="00733796" w:rsidRDefault="00733796" w:rsidP="00817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3072194"/>
      <w:docPartObj>
        <w:docPartGallery w:val="Page Numbers (Bottom of Page)"/>
        <w:docPartUnique/>
      </w:docPartObj>
    </w:sdtPr>
    <w:sdtEndPr/>
    <w:sdtContent>
      <w:p w:rsidR="00817BD6" w:rsidRDefault="00817B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404">
          <w:rPr>
            <w:noProof/>
          </w:rPr>
          <w:t>2</w:t>
        </w:r>
        <w:r>
          <w:fldChar w:fldCharType="end"/>
        </w:r>
      </w:p>
    </w:sdtContent>
  </w:sdt>
  <w:p w:rsidR="00817BD6" w:rsidRDefault="00817B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796" w:rsidRDefault="00733796" w:rsidP="00817BD6">
      <w:pPr>
        <w:spacing w:after="0" w:line="240" w:lineRule="auto"/>
      </w:pPr>
      <w:r>
        <w:separator/>
      </w:r>
    </w:p>
  </w:footnote>
  <w:footnote w:type="continuationSeparator" w:id="0">
    <w:p w:rsidR="00733796" w:rsidRDefault="00733796" w:rsidP="00817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C98" w:rsidRPr="007E26FB" w:rsidRDefault="001C5C98" w:rsidP="001C5C98">
    <w:pPr>
      <w:pStyle w:val="Nagwek"/>
      <w:jc w:val="right"/>
      <w:rPr>
        <w:rFonts w:ascii="Arial" w:hAnsi="Arial" w:cs="Arial"/>
        <w:b/>
        <w:sz w:val="24"/>
        <w:szCs w:val="24"/>
      </w:rPr>
    </w:pPr>
    <w:r w:rsidRPr="007E26FB">
      <w:rPr>
        <w:rFonts w:ascii="Arial" w:hAnsi="Arial" w:cs="Arial"/>
        <w:b/>
        <w:sz w:val="24"/>
        <w:szCs w:val="24"/>
      </w:rPr>
      <w:t>Załącznik nr 1 do SWZ</w:t>
    </w:r>
  </w:p>
  <w:p w:rsidR="001C5C98" w:rsidRDefault="001C5C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44D23"/>
    <w:multiLevelType w:val="hybridMultilevel"/>
    <w:tmpl w:val="CCEC1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956D0"/>
    <w:multiLevelType w:val="hybridMultilevel"/>
    <w:tmpl w:val="32D44CEE"/>
    <w:lvl w:ilvl="0" w:tplc="332453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8A44AB"/>
    <w:multiLevelType w:val="hybridMultilevel"/>
    <w:tmpl w:val="48C2C864"/>
    <w:lvl w:ilvl="0" w:tplc="27D685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544853"/>
    <w:multiLevelType w:val="hybridMultilevel"/>
    <w:tmpl w:val="E0C46316"/>
    <w:lvl w:ilvl="0" w:tplc="D7E28E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DAB6378"/>
    <w:multiLevelType w:val="hybridMultilevel"/>
    <w:tmpl w:val="7A6261D4"/>
    <w:lvl w:ilvl="0" w:tplc="3564CD5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8D11ED4"/>
    <w:multiLevelType w:val="hybridMultilevel"/>
    <w:tmpl w:val="9252C80E"/>
    <w:lvl w:ilvl="0" w:tplc="40A8C6D4">
      <w:start w:val="2"/>
      <w:numFmt w:val="decimal"/>
      <w:lvlText w:val="%1."/>
      <w:lvlJc w:val="left"/>
      <w:pPr>
        <w:ind w:left="720" w:hanging="360"/>
      </w:pPr>
      <w:rPr>
        <w:rFonts w:hint="default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A04A0"/>
    <w:multiLevelType w:val="hybridMultilevel"/>
    <w:tmpl w:val="14C2B1B6"/>
    <w:lvl w:ilvl="0" w:tplc="06BE04A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675B5"/>
    <w:multiLevelType w:val="hybridMultilevel"/>
    <w:tmpl w:val="C3DC57EE"/>
    <w:lvl w:ilvl="0" w:tplc="EF149594">
      <w:start w:val="1"/>
      <w:numFmt w:val="decimal"/>
      <w:lvlText w:val="%1)"/>
      <w:lvlJc w:val="lef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34EF6125"/>
    <w:multiLevelType w:val="hybridMultilevel"/>
    <w:tmpl w:val="2A901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0843AD"/>
    <w:multiLevelType w:val="hybridMultilevel"/>
    <w:tmpl w:val="1C926584"/>
    <w:lvl w:ilvl="0" w:tplc="30C2F6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A5C87"/>
    <w:multiLevelType w:val="hybridMultilevel"/>
    <w:tmpl w:val="D1A4360C"/>
    <w:lvl w:ilvl="0" w:tplc="2CC4EB1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B0D57"/>
    <w:multiLevelType w:val="hybridMultilevel"/>
    <w:tmpl w:val="D4CAE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E7F77"/>
    <w:multiLevelType w:val="hybridMultilevel"/>
    <w:tmpl w:val="A5C2B356"/>
    <w:lvl w:ilvl="0" w:tplc="E6667F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B179D"/>
    <w:multiLevelType w:val="hybridMultilevel"/>
    <w:tmpl w:val="22325916"/>
    <w:lvl w:ilvl="0" w:tplc="72B63638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34D56"/>
    <w:multiLevelType w:val="hybridMultilevel"/>
    <w:tmpl w:val="B5A632DA"/>
    <w:lvl w:ilvl="0" w:tplc="371EF15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A318B7"/>
    <w:multiLevelType w:val="hybridMultilevel"/>
    <w:tmpl w:val="69147C04"/>
    <w:lvl w:ilvl="0" w:tplc="3E2459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44F47A4"/>
    <w:multiLevelType w:val="hybridMultilevel"/>
    <w:tmpl w:val="19565754"/>
    <w:lvl w:ilvl="0" w:tplc="3294A810">
      <w:start w:val="2"/>
      <w:numFmt w:val="decimal"/>
      <w:lvlText w:val="%1."/>
      <w:lvlJc w:val="left"/>
      <w:pPr>
        <w:ind w:left="720" w:hanging="360"/>
      </w:pPr>
      <w:rPr>
        <w:rFonts w:hint="default"/>
        <w:sz w:val="16"/>
        <w:szCs w:val="20"/>
      </w:rPr>
    </w:lvl>
    <w:lvl w:ilvl="1" w:tplc="9E12B3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4023A"/>
    <w:multiLevelType w:val="hybridMultilevel"/>
    <w:tmpl w:val="2EE6AD6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C5E7399"/>
    <w:multiLevelType w:val="hybridMultilevel"/>
    <w:tmpl w:val="2C4CBE78"/>
    <w:lvl w:ilvl="0" w:tplc="9A50772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D9676F"/>
    <w:multiLevelType w:val="hybridMultilevel"/>
    <w:tmpl w:val="9814D946"/>
    <w:lvl w:ilvl="0" w:tplc="025AB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8E76A3"/>
    <w:multiLevelType w:val="hybridMultilevel"/>
    <w:tmpl w:val="6256D310"/>
    <w:lvl w:ilvl="0" w:tplc="83B8D22C">
      <w:start w:val="2"/>
      <w:numFmt w:val="decimal"/>
      <w:lvlText w:val="%1."/>
      <w:lvlJc w:val="left"/>
      <w:pPr>
        <w:ind w:left="720" w:hanging="360"/>
      </w:pPr>
      <w:rPr>
        <w:rFonts w:hint="default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0F0926"/>
    <w:multiLevelType w:val="hybridMultilevel"/>
    <w:tmpl w:val="EA0C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3C462C"/>
    <w:multiLevelType w:val="hybridMultilevel"/>
    <w:tmpl w:val="73B2D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D94FD7"/>
    <w:multiLevelType w:val="hybridMultilevel"/>
    <w:tmpl w:val="E6503316"/>
    <w:lvl w:ilvl="0" w:tplc="3294A810">
      <w:start w:val="2"/>
      <w:numFmt w:val="decimal"/>
      <w:lvlText w:val="%1."/>
      <w:lvlJc w:val="left"/>
      <w:pPr>
        <w:ind w:left="720" w:hanging="360"/>
      </w:pPr>
      <w:rPr>
        <w:rFonts w:hint="default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</w:num>
  <w:num w:numId="12">
    <w:abstractNumId w:val="3"/>
  </w:num>
  <w:num w:numId="13">
    <w:abstractNumId w:val="15"/>
  </w:num>
  <w:num w:numId="14">
    <w:abstractNumId w:val="1"/>
  </w:num>
  <w:num w:numId="15">
    <w:abstractNumId w:val="20"/>
  </w:num>
  <w:num w:numId="16">
    <w:abstractNumId w:val="5"/>
  </w:num>
  <w:num w:numId="17">
    <w:abstractNumId w:val="23"/>
  </w:num>
  <w:num w:numId="18">
    <w:abstractNumId w:val="16"/>
  </w:num>
  <w:num w:numId="19">
    <w:abstractNumId w:val="6"/>
  </w:num>
  <w:num w:numId="20">
    <w:abstractNumId w:val="11"/>
  </w:num>
  <w:num w:numId="21">
    <w:abstractNumId w:val="17"/>
  </w:num>
  <w:num w:numId="22">
    <w:abstractNumId w:val="21"/>
  </w:num>
  <w:num w:numId="23">
    <w:abstractNumId w:val="22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FF4"/>
    <w:rsid w:val="00030404"/>
    <w:rsid w:val="00041784"/>
    <w:rsid w:val="001011D9"/>
    <w:rsid w:val="001120AE"/>
    <w:rsid w:val="001C5C98"/>
    <w:rsid w:val="00342340"/>
    <w:rsid w:val="003D083A"/>
    <w:rsid w:val="003F092B"/>
    <w:rsid w:val="00493BBC"/>
    <w:rsid w:val="00495453"/>
    <w:rsid w:val="004F7FF4"/>
    <w:rsid w:val="00601D02"/>
    <w:rsid w:val="00677108"/>
    <w:rsid w:val="00691DD1"/>
    <w:rsid w:val="006C3660"/>
    <w:rsid w:val="00733796"/>
    <w:rsid w:val="007C36EF"/>
    <w:rsid w:val="00817BD6"/>
    <w:rsid w:val="008D6C59"/>
    <w:rsid w:val="008E33A8"/>
    <w:rsid w:val="00965ED3"/>
    <w:rsid w:val="00A42ABC"/>
    <w:rsid w:val="00AB1787"/>
    <w:rsid w:val="00C165FA"/>
    <w:rsid w:val="00C56D18"/>
    <w:rsid w:val="00CA4BDE"/>
    <w:rsid w:val="00CE71CF"/>
    <w:rsid w:val="00DA4376"/>
    <w:rsid w:val="00F40A28"/>
    <w:rsid w:val="00FD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20D01"/>
  <w15:docId w15:val="{BBFDBB29-7CD0-46ED-B59F-17F5893F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0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A2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17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BD6"/>
  </w:style>
  <w:style w:type="paragraph" w:styleId="Stopka">
    <w:name w:val="footer"/>
    <w:basedOn w:val="Normalny"/>
    <w:link w:val="StopkaZnak"/>
    <w:uiPriority w:val="99"/>
    <w:unhideWhenUsed/>
    <w:rsid w:val="00817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2EB8BAC-422D-4907-96AE-FCE30DEAA66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2798</Words>
  <Characters>16792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Przekadziński Krzysztof</dc:creator>
  <cp:lastModifiedBy>Majdan Marta</cp:lastModifiedBy>
  <cp:revision>4</cp:revision>
  <cp:lastPrinted>2024-02-09T08:09:00Z</cp:lastPrinted>
  <dcterms:created xsi:type="dcterms:W3CDTF">2024-11-26T14:04:00Z</dcterms:created>
  <dcterms:modified xsi:type="dcterms:W3CDTF">2024-11-26T14:18:00Z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8b4138d8-6c2b-4d6a-9d90-c5246ddb904b</vt:lpwstr>
  </property>
  <property fmtid="{D5CDD505-2E9C-101B-9397-08002B2CF9AE}" pid="3" name="bjSaver">
    <vt:lpwstr>uX2BiWp/zjb2ni3cJM+5/kkc3EmEDtq7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Przekadziński Krzysztof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10.90.79.170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