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53DAF" w14:textId="77777777" w:rsidR="000E756A" w:rsidRDefault="00000000">
      <w:pPr>
        <w:pStyle w:val="Akapitzlist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Century Gothic" w:hAnsi="Century Gothic" w:cs="Arial"/>
          <w:b/>
          <w:bCs/>
          <w:sz w:val="24"/>
          <w:szCs w:val="24"/>
        </w:rPr>
        <w:t xml:space="preserve">PLANOWANE KOSZTY ROBÓT BUDOWLANYCH OKREŚLONYCH </w:t>
      </w:r>
      <w:r>
        <w:rPr>
          <w:rFonts w:ascii="Century Gothic" w:hAnsi="Century Gothic" w:cs="Arial"/>
          <w:b/>
          <w:bCs/>
          <w:sz w:val="24"/>
          <w:szCs w:val="24"/>
        </w:rPr>
        <w:br/>
        <w:t xml:space="preserve">W PROGRAMIE FUNKCJONALNO – UŻYTKOWYM. </w:t>
      </w:r>
    </w:p>
    <w:p w14:paraId="2ACC123B" w14:textId="77777777" w:rsidR="000E756A" w:rsidRDefault="000E756A">
      <w:pPr>
        <w:rPr>
          <w:rFonts w:ascii="Century Gothic" w:hAnsi="Century Gothic"/>
        </w:rPr>
      </w:pPr>
    </w:p>
    <w:p w14:paraId="71E428FD" w14:textId="77777777" w:rsidR="000E756A" w:rsidRDefault="000E756A">
      <w:pPr>
        <w:jc w:val="both"/>
        <w:rPr>
          <w:rFonts w:ascii="Century Gothic" w:hAnsi="Century Gothic" w:cs="Arial"/>
          <w:sz w:val="24"/>
          <w:szCs w:val="24"/>
        </w:rPr>
      </w:pPr>
    </w:p>
    <w:p w14:paraId="59055DA8" w14:textId="77777777" w:rsidR="000E756A" w:rsidRDefault="00000000">
      <w:pPr>
        <w:spacing w:after="0" w:line="240" w:lineRule="auto"/>
        <w:ind w:firstLine="708"/>
        <w:jc w:val="both"/>
        <w:rPr>
          <w:rFonts w:ascii="Century Gothic" w:hAnsi="Century Gothic"/>
        </w:rPr>
      </w:pPr>
      <w:r>
        <w:rPr>
          <w:rFonts w:ascii="Century Gothic" w:eastAsia="Calibri" w:hAnsi="Century Gothic" w:cs="Arial"/>
          <w:sz w:val="24"/>
          <w:szCs w:val="24"/>
        </w:rPr>
        <w:t xml:space="preserve">Poniżej zestawiono koszty robót budowlanych określonych w opracowaniu Programu </w:t>
      </w:r>
      <w:proofErr w:type="spellStart"/>
      <w:r>
        <w:rPr>
          <w:rFonts w:ascii="Century Gothic" w:eastAsia="Calibri" w:hAnsi="Century Gothic" w:cs="Arial"/>
          <w:sz w:val="24"/>
          <w:szCs w:val="24"/>
        </w:rPr>
        <w:t>Funkcjonalno</w:t>
      </w:r>
      <w:proofErr w:type="spellEnd"/>
      <w:r>
        <w:rPr>
          <w:rFonts w:ascii="Century Gothic" w:eastAsia="Calibri" w:hAnsi="Century Gothic" w:cs="Arial"/>
          <w:sz w:val="24"/>
          <w:szCs w:val="24"/>
        </w:rPr>
        <w:t xml:space="preserve"> – Użytkowego dla zadania pn.: </w:t>
      </w:r>
      <w:r>
        <w:rPr>
          <w:rFonts w:ascii="Century Gothic" w:eastAsia="Calibri" w:hAnsi="Century Gothic" w:cs="Arial"/>
          <w:color w:val="0070C0"/>
          <w:sz w:val="24"/>
          <w:szCs w:val="24"/>
        </w:rPr>
        <w:t>„</w:t>
      </w:r>
      <w:r>
        <w:rPr>
          <w:rFonts w:ascii="Century Gothic" w:eastAsia="Calibri" w:hAnsi="Century Gothic" w:cs="Calibri"/>
          <w:b/>
          <w:bCs/>
          <w:color w:val="000000"/>
          <w:sz w:val="26"/>
          <w:szCs w:val="26"/>
        </w:rPr>
        <w:t>Modernizacja Stacji Uzdatniana Wody w miejscowości Paprotnia wraz z montażem i podłączeniem agregatu prądotwórczego na SUW Paprotnia oraz montażem zasuw na sieciach wodociągowych podłączonych do SUW Paprotnia”</w:t>
      </w:r>
    </w:p>
    <w:p w14:paraId="3DE6D7AA" w14:textId="77777777" w:rsidR="000E756A" w:rsidRDefault="000E756A">
      <w:pPr>
        <w:spacing w:after="0" w:line="240" w:lineRule="auto"/>
        <w:jc w:val="both"/>
        <w:rPr>
          <w:rFonts w:ascii="Arial" w:eastAsia="Calibri" w:hAnsi="Arial" w:cs="Arial"/>
          <w:strike/>
          <w:sz w:val="24"/>
          <w:szCs w:val="24"/>
        </w:rPr>
      </w:pPr>
    </w:p>
    <w:tbl>
      <w:tblPr>
        <w:tblStyle w:val="Tabela-Siatka"/>
        <w:tblW w:w="9062" w:type="dxa"/>
        <w:jc w:val="center"/>
        <w:tblCellMar>
          <w:left w:w="98" w:type="dxa"/>
        </w:tblCellMar>
        <w:tblLook w:val="04A0" w:firstRow="1" w:lastRow="0" w:firstColumn="1" w:lastColumn="0" w:noHBand="0" w:noVBand="1"/>
      </w:tblPr>
      <w:tblGrid>
        <w:gridCol w:w="3904"/>
        <w:gridCol w:w="1621"/>
        <w:gridCol w:w="2006"/>
        <w:gridCol w:w="1531"/>
      </w:tblGrid>
      <w:tr w:rsidR="000E756A" w14:paraId="7ECF58CC" w14:textId="77777777">
        <w:trPr>
          <w:jc w:val="center"/>
        </w:trPr>
        <w:tc>
          <w:tcPr>
            <w:tcW w:w="3903" w:type="dxa"/>
            <w:shd w:val="clear" w:color="auto" w:fill="auto"/>
            <w:tcMar>
              <w:left w:w="98" w:type="dxa"/>
            </w:tcMar>
          </w:tcPr>
          <w:p w14:paraId="5BEC623B" w14:textId="77777777" w:rsidR="000E756A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</w:rPr>
              <w:t>ZAKRES ROBÓT</w:t>
            </w:r>
          </w:p>
        </w:tc>
        <w:tc>
          <w:tcPr>
            <w:tcW w:w="1621" w:type="dxa"/>
            <w:shd w:val="clear" w:color="auto" w:fill="auto"/>
            <w:tcMar>
              <w:left w:w="98" w:type="dxa"/>
            </w:tcMar>
          </w:tcPr>
          <w:p w14:paraId="16816A98" w14:textId="77777777" w:rsidR="000E756A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</w:rPr>
              <w:t>KOSZT NETTO (zł)</w:t>
            </w:r>
          </w:p>
        </w:tc>
        <w:tc>
          <w:tcPr>
            <w:tcW w:w="2006" w:type="dxa"/>
            <w:shd w:val="clear" w:color="auto" w:fill="auto"/>
            <w:tcMar>
              <w:left w:w="98" w:type="dxa"/>
            </w:tcMar>
          </w:tcPr>
          <w:p w14:paraId="7DE3180A" w14:textId="77777777" w:rsidR="000E756A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</w:rPr>
              <w:t>KOSZT BRUTTO (zł)</w:t>
            </w:r>
          </w:p>
        </w:tc>
        <w:tc>
          <w:tcPr>
            <w:tcW w:w="1531" w:type="dxa"/>
            <w:shd w:val="clear" w:color="auto" w:fill="auto"/>
            <w:tcMar>
              <w:left w:w="98" w:type="dxa"/>
            </w:tcMar>
          </w:tcPr>
          <w:p w14:paraId="0C1E3B23" w14:textId="77777777" w:rsidR="000E756A" w:rsidRDefault="0000000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 w:cs="Arial"/>
                <w:b/>
                <w:bCs/>
              </w:rPr>
              <w:t>ŹRÓDŁO KOSZTÓW</w:t>
            </w:r>
          </w:p>
        </w:tc>
      </w:tr>
      <w:tr w:rsidR="000E756A" w14:paraId="4EFA43AC" w14:textId="77777777">
        <w:trPr>
          <w:jc w:val="center"/>
        </w:trPr>
        <w:tc>
          <w:tcPr>
            <w:tcW w:w="3903" w:type="dxa"/>
            <w:shd w:val="clear" w:color="auto" w:fill="auto"/>
            <w:tcMar>
              <w:left w:w="98" w:type="dxa"/>
            </w:tcMar>
          </w:tcPr>
          <w:p w14:paraId="738E74F4" w14:textId="77777777" w:rsidR="000E756A" w:rsidRDefault="00000000">
            <w:pPr>
              <w:spacing w:after="0" w:line="240" w:lineRule="auto"/>
              <w:rPr>
                <w:rFonts w:ascii="Century Gothic" w:hAnsi="Century Gothic"/>
              </w:rPr>
            </w:pPr>
            <w:r>
              <w:rPr>
                <w:rFonts w:ascii="Century Gothic" w:eastAsia="Times New Roman" w:hAnsi="Century Gothic" w:cs="Arial"/>
                <w:color w:val="2D2D2D"/>
                <w:lang w:eastAsia="pl-PL"/>
              </w:rPr>
              <w:t xml:space="preserve">Opracowanie dokumentacji projektowej  w zakresie zgodnym </w:t>
            </w:r>
          </w:p>
          <w:p w14:paraId="3B29B5BE" w14:textId="77777777" w:rsidR="000E756A" w:rsidRDefault="00000000">
            <w:pPr>
              <w:spacing w:after="0" w:line="240" w:lineRule="auto"/>
              <w:rPr>
                <w:rFonts w:ascii="Century Gothic" w:hAnsi="Century Gothic"/>
              </w:rPr>
            </w:pPr>
            <w:r>
              <w:rPr>
                <w:rFonts w:ascii="Century Gothic" w:eastAsia="Times New Roman" w:hAnsi="Century Gothic" w:cs="Arial"/>
                <w:color w:val="2D2D2D"/>
                <w:lang w:eastAsia="pl-PL"/>
              </w:rPr>
              <w:t>z PFU</w:t>
            </w:r>
          </w:p>
        </w:tc>
        <w:tc>
          <w:tcPr>
            <w:tcW w:w="1621" w:type="dxa"/>
            <w:shd w:val="clear" w:color="auto" w:fill="auto"/>
            <w:tcMar>
              <w:left w:w="98" w:type="dxa"/>
            </w:tcMar>
            <w:vAlign w:val="center"/>
          </w:tcPr>
          <w:p w14:paraId="4A2E12AA" w14:textId="2B79B478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2006" w:type="dxa"/>
            <w:shd w:val="clear" w:color="auto" w:fill="auto"/>
            <w:tcMar>
              <w:left w:w="98" w:type="dxa"/>
            </w:tcMar>
            <w:vAlign w:val="center"/>
          </w:tcPr>
          <w:p w14:paraId="648ED906" w14:textId="601F4A7E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1531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14:paraId="5728B024" w14:textId="77777777" w:rsidR="000E756A" w:rsidRDefault="0000000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oszacowano na podstawie rozeznania rynkowego</w:t>
            </w:r>
          </w:p>
        </w:tc>
      </w:tr>
      <w:tr w:rsidR="000E756A" w14:paraId="775E114C" w14:textId="77777777">
        <w:trPr>
          <w:jc w:val="center"/>
        </w:trPr>
        <w:tc>
          <w:tcPr>
            <w:tcW w:w="3903" w:type="dxa"/>
            <w:shd w:val="clear" w:color="auto" w:fill="auto"/>
            <w:tcMar>
              <w:left w:w="98" w:type="dxa"/>
            </w:tcMar>
            <w:vAlign w:val="center"/>
          </w:tcPr>
          <w:p w14:paraId="7202FB38" w14:textId="77777777" w:rsidR="000E756A" w:rsidRDefault="00000000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eastAsia="Times New Roman" w:hAnsi="Century Gothic" w:cs="Arial"/>
                <w:color w:val="2D2D2D"/>
                <w:lang w:eastAsia="pl-PL"/>
              </w:rPr>
              <w:t>Wykonanie instalacji elektrycznej SUW</w:t>
            </w:r>
          </w:p>
        </w:tc>
        <w:tc>
          <w:tcPr>
            <w:tcW w:w="1621" w:type="dxa"/>
            <w:shd w:val="clear" w:color="auto" w:fill="auto"/>
            <w:tcMar>
              <w:left w:w="98" w:type="dxa"/>
            </w:tcMar>
            <w:vAlign w:val="center"/>
          </w:tcPr>
          <w:p w14:paraId="776C7619" w14:textId="770D1A42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2006" w:type="dxa"/>
            <w:shd w:val="clear" w:color="auto" w:fill="auto"/>
            <w:tcMar>
              <w:left w:w="98" w:type="dxa"/>
            </w:tcMar>
            <w:vAlign w:val="center"/>
          </w:tcPr>
          <w:p w14:paraId="16FB8682" w14:textId="0B809D4D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1531" w:type="dxa"/>
            <w:vMerge/>
            <w:shd w:val="clear" w:color="auto" w:fill="auto"/>
            <w:tcMar>
              <w:left w:w="98" w:type="dxa"/>
            </w:tcMar>
            <w:vAlign w:val="center"/>
          </w:tcPr>
          <w:p w14:paraId="4A63F295" w14:textId="77777777" w:rsidR="000E756A" w:rsidRDefault="000E756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E756A" w14:paraId="01A7BD06" w14:textId="77777777">
        <w:trPr>
          <w:jc w:val="center"/>
        </w:trPr>
        <w:tc>
          <w:tcPr>
            <w:tcW w:w="3903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6ECA8246" w14:textId="77777777" w:rsidR="000E756A" w:rsidRDefault="00000000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eastAsia="Times New Roman" w:hAnsi="Century Gothic" w:cs="Arial"/>
                <w:color w:val="2D2D2D"/>
                <w:lang w:eastAsia="pl-PL"/>
              </w:rPr>
              <w:t xml:space="preserve">Filtr – zbiornik + złoże+ orurowanie </w:t>
            </w:r>
          </w:p>
        </w:tc>
        <w:tc>
          <w:tcPr>
            <w:tcW w:w="1621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69F4A665" w14:textId="4CB55ECC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2006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69A07157" w14:textId="2B0F7823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1531" w:type="dxa"/>
            <w:vMerge/>
            <w:shd w:val="clear" w:color="auto" w:fill="auto"/>
            <w:tcMar>
              <w:left w:w="98" w:type="dxa"/>
            </w:tcMar>
            <w:vAlign w:val="center"/>
          </w:tcPr>
          <w:p w14:paraId="4B291216" w14:textId="77777777" w:rsidR="000E756A" w:rsidRDefault="000E756A">
            <w:pPr>
              <w:spacing w:after="0" w:line="240" w:lineRule="auto"/>
              <w:jc w:val="center"/>
              <w:rPr>
                <w:rFonts w:cs="Arial"/>
              </w:rPr>
            </w:pPr>
          </w:p>
        </w:tc>
      </w:tr>
      <w:tr w:rsidR="000E756A" w14:paraId="0806A6F3" w14:textId="77777777">
        <w:trPr>
          <w:jc w:val="center"/>
        </w:trPr>
        <w:tc>
          <w:tcPr>
            <w:tcW w:w="3903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1B0B394B" w14:textId="77777777" w:rsidR="000E756A" w:rsidRDefault="00000000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Pomieszczenie na filtr</w:t>
            </w:r>
          </w:p>
        </w:tc>
        <w:tc>
          <w:tcPr>
            <w:tcW w:w="1621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18A1A8DF" w14:textId="650285A9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2006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0CD841F4" w14:textId="05B5D094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1531" w:type="dxa"/>
            <w:vMerge/>
            <w:shd w:val="clear" w:color="auto" w:fill="auto"/>
            <w:tcMar>
              <w:left w:w="98" w:type="dxa"/>
            </w:tcMar>
            <w:vAlign w:val="center"/>
          </w:tcPr>
          <w:p w14:paraId="5F66DBAF" w14:textId="77777777" w:rsidR="000E756A" w:rsidRDefault="000E756A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E756A" w14:paraId="151F0598" w14:textId="77777777">
        <w:trPr>
          <w:jc w:val="center"/>
        </w:trPr>
        <w:tc>
          <w:tcPr>
            <w:tcW w:w="3903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023F7652" w14:textId="77777777" w:rsidR="000E756A" w:rsidRDefault="00000000">
            <w:pPr>
              <w:spacing w:after="0" w:line="24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Zestaw hydroforowy z montażem</w:t>
            </w:r>
          </w:p>
        </w:tc>
        <w:tc>
          <w:tcPr>
            <w:tcW w:w="1621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57AAEA8D" w14:textId="2CCE7E29" w:rsidR="000E756A" w:rsidRDefault="000E756A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2006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52F4F6FE" w14:textId="5BDE998E" w:rsidR="000E756A" w:rsidRDefault="000E756A">
            <w:pPr>
              <w:spacing w:after="0" w:line="240" w:lineRule="auto"/>
              <w:jc w:val="center"/>
              <w:rPr>
                <w:rFonts w:ascii="Century Gothic" w:hAnsi="Century Gothic"/>
              </w:rPr>
            </w:pPr>
          </w:p>
        </w:tc>
        <w:tc>
          <w:tcPr>
            <w:tcW w:w="1531" w:type="dxa"/>
            <w:vMerge/>
            <w:shd w:val="clear" w:color="auto" w:fill="auto"/>
            <w:tcMar>
              <w:left w:w="98" w:type="dxa"/>
            </w:tcMar>
            <w:vAlign w:val="center"/>
          </w:tcPr>
          <w:p w14:paraId="1AB461F7" w14:textId="77777777" w:rsidR="000E756A" w:rsidRDefault="000E756A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E756A" w14:paraId="3797C8D7" w14:textId="77777777">
        <w:trPr>
          <w:jc w:val="center"/>
        </w:trPr>
        <w:tc>
          <w:tcPr>
            <w:tcW w:w="3903" w:type="dxa"/>
            <w:shd w:val="clear" w:color="auto" w:fill="auto"/>
            <w:tcMar>
              <w:left w:w="98" w:type="dxa"/>
            </w:tcMar>
          </w:tcPr>
          <w:p w14:paraId="622648EC" w14:textId="77777777" w:rsidR="000E756A" w:rsidRDefault="00000000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eastAsia="Times New Roman" w:hAnsi="Century Gothic" w:cs="Arial"/>
                <w:color w:val="2D2D2D"/>
                <w:sz w:val="21"/>
                <w:szCs w:val="21"/>
                <w:lang w:eastAsia="pl-PL"/>
              </w:rPr>
              <w:t xml:space="preserve">Sterowanie i </w:t>
            </w:r>
            <w:proofErr w:type="spellStart"/>
            <w:r>
              <w:rPr>
                <w:rFonts w:ascii="Century Gothic" w:eastAsia="Times New Roman" w:hAnsi="Century Gothic" w:cs="Arial"/>
                <w:color w:val="2D2D2D"/>
                <w:sz w:val="21"/>
                <w:szCs w:val="21"/>
                <w:lang w:eastAsia="pl-PL"/>
              </w:rPr>
              <w:t>AKPia</w:t>
            </w:r>
            <w:proofErr w:type="spellEnd"/>
            <w:r>
              <w:rPr>
                <w:rFonts w:ascii="Century Gothic" w:eastAsia="Times New Roman" w:hAnsi="Century Gothic" w:cs="Arial"/>
                <w:color w:val="2D2D2D"/>
                <w:sz w:val="21"/>
                <w:szCs w:val="21"/>
                <w:lang w:eastAsia="pl-PL"/>
              </w:rPr>
              <w:t xml:space="preserve"> wraz </w:t>
            </w:r>
            <w:r>
              <w:rPr>
                <w:rFonts w:ascii="Century Gothic" w:eastAsia="Times New Roman" w:hAnsi="Century Gothic" w:cs="Arial"/>
                <w:color w:val="2D2D2D"/>
                <w:sz w:val="21"/>
                <w:szCs w:val="21"/>
                <w:lang w:eastAsia="pl-PL"/>
              </w:rPr>
              <w:br/>
              <w:t>z monitorowaniem i wizualizacją</w:t>
            </w:r>
          </w:p>
          <w:p w14:paraId="71C8621E" w14:textId="77777777" w:rsidR="000E756A" w:rsidRDefault="00000000">
            <w:pPr>
              <w:spacing w:after="0" w:line="240" w:lineRule="auto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eastAsia="Times New Roman" w:hAnsi="Century Gothic" w:cs="Arial"/>
                <w:color w:val="2D2D2D"/>
                <w:sz w:val="21"/>
                <w:szCs w:val="21"/>
                <w:lang w:eastAsia="pl-PL"/>
              </w:rPr>
              <w:t>w tym:</w:t>
            </w:r>
          </w:p>
          <w:p w14:paraId="2F6917AE" w14:textId="77777777" w:rsidR="000E756A" w:rsidRDefault="000E756A">
            <w:pPr>
              <w:pStyle w:val="Tekstpodstawowy"/>
              <w:tabs>
                <w:tab w:val="left" w:pos="390"/>
              </w:tabs>
              <w:spacing w:after="0" w:line="276" w:lineRule="auto"/>
              <w:ind w:left="720"/>
              <w:rPr>
                <w:color w:val="1F497D"/>
              </w:rPr>
            </w:pPr>
          </w:p>
          <w:p w14:paraId="6DBE2E92" w14:textId="77777777" w:rsidR="000E756A" w:rsidRDefault="00000000">
            <w:pPr>
              <w:pStyle w:val="Tekstpodstawowy"/>
              <w:spacing w:after="0"/>
              <w:rPr>
                <w:rFonts w:ascii="Century Gothic" w:hAnsi="Century Gothic"/>
                <w:color w:val="222222"/>
                <w:sz w:val="21"/>
                <w:szCs w:val="21"/>
              </w:rPr>
            </w:pPr>
            <w:r>
              <w:rPr>
                <w:rFonts w:ascii="Century Gothic" w:hAnsi="Century Gothic"/>
                <w:color w:val="1F497D"/>
                <w:sz w:val="21"/>
                <w:szCs w:val="21"/>
              </w:rPr>
              <w:t xml:space="preserve">·- instalacje automatyki i sterowania </w:t>
            </w:r>
          </w:p>
          <w:p w14:paraId="340D985E" w14:textId="77777777" w:rsidR="000E756A" w:rsidRDefault="000E756A">
            <w:pPr>
              <w:pStyle w:val="Tekstpodstawowy"/>
              <w:spacing w:after="0"/>
              <w:rPr>
                <w:rFonts w:ascii="Century Gothic" w:hAnsi="Century Gothic"/>
                <w:color w:val="F58220"/>
                <w:sz w:val="21"/>
                <w:szCs w:val="21"/>
              </w:rPr>
            </w:pPr>
          </w:p>
          <w:p w14:paraId="089B1569" w14:textId="77777777" w:rsidR="000E756A" w:rsidRDefault="00000000">
            <w:pPr>
              <w:pStyle w:val="Tekstpodstawowy"/>
              <w:spacing w:after="0"/>
              <w:rPr>
                <w:rFonts w:ascii="Century Gothic" w:hAnsi="Century Gothic"/>
                <w:color w:val="222222"/>
                <w:sz w:val="21"/>
                <w:szCs w:val="21"/>
              </w:rPr>
            </w:pPr>
            <w:r>
              <w:rPr>
                <w:rFonts w:ascii="Century Gothic" w:hAnsi="Century Gothic"/>
                <w:color w:val="1F497D"/>
                <w:sz w:val="21"/>
                <w:szCs w:val="21"/>
              </w:rPr>
              <w:t xml:space="preserve">·- próby </w:t>
            </w:r>
            <w:proofErr w:type="spellStart"/>
            <w:r>
              <w:rPr>
                <w:rFonts w:ascii="Century Gothic" w:hAnsi="Century Gothic"/>
                <w:color w:val="1F497D"/>
                <w:sz w:val="21"/>
                <w:szCs w:val="21"/>
              </w:rPr>
              <w:t>pomontażowe</w:t>
            </w:r>
            <w:proofErr w:type="spellEnd"/>
            <w:r>
              <w:rPr>
                <w:rFonts w:ascii="Century Gothic" w:hAnsi="Century Gothic"/>
                <w:color w:val="1F497D"/>
                <w:sz w:val="21"/>
                <w:szCs w:val="21"/>
              </w:rPr>
              <w:t>, rozruchy i uruchomienia, parametryzacja</w:t>
            </w:r>
          </w:p>
          <w:p w14:paraId="409106A8" w14:textId="77777777" w:rsidR="000E756A" w:rsidRDefault="000E756A">
            <w:pPr>
              <w:spacing w:after="0" w:line="276" w:lineRule="auto"/>
              <w:rPr>
                <w:rFonts w:eastAsia="Times New Roman" w:cs="Arial"/>
                <w:color w:val="2D2D2D"/>
                <w:lang w:eastAsia="pl-PL"/>
              </w:rPr>
            </w:pPr>
          </w:p>
        </w:tc>
        <w:tc>
          <w:tcPr>
            <w:tcW w:w="1621" w:type="dxa"/>
            <w:shd w:val="clear" w:color="auto" w:fill="auto"/>
            <w:tcMar>
              <w:left w:w="98" w:type="dxa"/>
            </w:tcMar>
            <w:vAlign w:val="center"/>
          </w:tcPr>
          <w:p w14:paraId="16B926A3" w14:textId="77777777" w:rsidR="000E756A" w:rsidRDefault="000E756A">
            <w:pPr>
              <w:spacing w:after="0" w:line="240" w:lineRule="auto"/>
              <w:jc w:val="center"/>
              <w:rPr>
                <w:rFonts w:cs="Arial"/>
              </w:rPr>
            </w:pPr>
          </w:p>
          <w:p w14:paraId="580BF941" w14:textId="77777777" w:rsidR="000E756A" w:rsidRDefault="000E756A">
            <w:pPr>
              <w:spacing w:after="0" w:line="240" w:lineRule="auto"/>
              <w:jc w:val="center"/>
              <w:rPr>
                <w:rFonts w:ascii="Century Gothic" w:hAnsi="Century Gothic" w:cs="Arial"/>
              </w:rPr>
            </w:pPr>
          </w:p>
          <w:p w14:paraId="39CE59A6" w14:textId="591D80AF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2006" w:type="dxa"/>
            <w:shd w:val="clear" w:color="auto" w:fill="auto"/>
            <w:tcMar>
              <w:left w:w="98" w:type="dxa"/>
            </w:tcMar>
            <w:vAlign w:val="center"/>
          </w:tcPr>
          <w:p w14:paraId="3C52033B" w14:textId="77777777" w:rsidR="000E756A" w:rsidRDefault="000E756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3152C4AD" w14:textId="77777777" w:rsidR="000E756A" w:rsidRDefault="000E756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4F4FFD4F" w14:textId="77777777" w:rsidR="000E756A" w:rsidRDefault="000E756A">
            <w:pPr>
              <w:spacing w:after="0" w:line="240" w:lineRule="auto"/>
              <w:jc w:val="center"/>
              <w:rPr>
                <w:rFonts w:ascii="Century Gothic" w:hAnsi="Century Gothic" w:cs="Arial"/>
              </w:rPr>
            </w:pPr>
          </w:p>
          <w:p w14:paraId="247A3A4D" w14:textId="77777777" w:rsidR="000E756A" w:rsidRDefault="000E756A" w:rsidP="00C66C6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1" w:type="dxa"/>
            <w:vMerge/>
            <w:shd w:val="clear" w:color="auto" w:fill="auto"/>
            <w:tcMar>
              <w:left w:w="98" w:type="dxa"/>
            </w:tcMar>
            <w:vAlign w:val="center"/>
          </w:tcPr>
          <w:p w14:paraId="001B6FAC" w14:textId="77777777" w:rsidR="000E756A" w:rsidRDefault="000E756A">
            <w:pPr>
              <w:spacing w:after="0" w:line="240" w:lineRule="auto"/>
              <w:ind w:left="-57"/>
              <w:jc w:val="center"/>
              <w:rPr>
                <w:rFonts w:ascii="Arial" w:hAnsi="Arial" w:cs="Arial"/>
              </w:rPr>
            </w:pPr>
          </w:p>
        </w:tc>
      </w:tr>
      <w:tr w:rsidR="000E756A" w14:paraId="7FE123D2" w14:textId="77777777">
        <w:trPr>
          <w:jc w:val="center"/>
        </w:trPr>
        <w:tc>
          <w:tcPr>
            <w:tcW w:w="3903" w:type="dxa"/>
            <w:shd w:val="clear" w:color="auto" w:fill="auto"/>
            <w:tcMar>
              <w:left w:w="98" w:type="dxa"/>
            </w:tcMar>
          </w:tcPr>
          <w:p w14:paraId="5500B227" w14:textId="77777777" w:rsidR="000E756A" w:rsidRDefault="00000000">
            <w:pPr>
              <w:spacing w:after="0" w:line="240" w:lineRule="auto"/>
              <w:rPr>
                <w:rFonts w:ascii="Arial" w:eastAsia="Times New Roman" w:hAnsi="Arial" w:cs="Arial"/>
                <w:color w:val="2D2D2D"/>
                <w:lang w:eastAsia="pl-PL"/>
              </w:rPr>
            </w:pPr>
            <w:r>
              <w:rPr>
                <w:rFonts w:ascii="Century Gothic" w:eastAsia="Times New Roman" w:hAnsi="Century Gothic" w:cs="Arial"/>
                <w:color w:val="2D2D2D"/>
                <w:sz w:val="20"/>
                <w:szCs w:val="20"/>
                <w:lang w:eastAsia="pl-PL"/>
              </w:rPr>
              <w:t xml:space="preserve">Zakup agregatu wraz z infrastrukturą towarzyszącą (w tym utwardzenie </w:t>
            </w:r>
            <w:r>
              <w:rPr>
                <w:rFonts w:ascii="Century Gothic" w:eastAsia="Times New Roman" w:hAnsi="Century Gothic" w:cs="Arial"/>
                <w:color w:val="2D2D2D"/>
                <w:sz w:val="20"/>
                <w:szCs w:val="20"/>
                <w:lang w:eastAsia="pl-PL"/>
              </w:rPr>
              <w:br/>
              <w:t xml:space="preserve">i zadaszenie pod agregat </w:t>
            </w:r>
            <w:r>
              <w:rPr>
                <w:rFonts w:ascii="Century Gothic" w:eastAsia="Times New Roman" w:hAnsi="Century Gothic" w:cs="Arial"/>
                <w:color w:val="2D2D2D"/>
                <w:sz w:val="20"/>
                <w:szCs w:val="20"/>
                <w:lang w:eastAsia="pl-PL"/>
              </w:rPr>
              <w:br/>
              <w:t>i ogrodzenie)</w:t>
            </w:r>
          </w:p>
        </w:tc>
        <w:tc>
          <w:tcPr>
            <w:tcW w:w="1621" w:type="dxa"/>
            <w:shd w:val="clear" w:color="auto" w:fill="auto"/>
            <w:tcMar>
              <w:left w:w="98" w:type="dxa"/>
            </w:tcMar>
            <w:vAlign w:val="center"/>
          </w:tcPr>
          <w:p w14:paraId="16BF666D" w14:textId="6F7C79FF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2006" w:type="dxa"/>
            <w:shd w:val="clear" w:color="auto" w:fill="auto"/>
            <w:tcMar>
              <w:left w:w="98" w:type="dxa"/>
            </w:tcMar>
            <w:vAlign w:val="center"/>
          </w:tcPr>
          <w:p w14:paraId="47C9186C" w14:textId="05FA5430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1531" w:type="dxa"/>
            <w:vMerge/>
            <w:shd w:val="clear" w:color="auto" w:fill="auto"/>
            <w:tcMar>
              <w:left w:w="98" w:type="dxa"/>
            </w:tcMar>
            <w:vAlign w:val="center"/>
          </w:tcPr>
          <w:p w14:paraId="08BAC340" w14:textId="77777777" w:rsidR="000E756A" w:rsidRDefault="000E756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0E756A" w14:paraId="1C0721E1" w14:textId="77777777">
        <w:trPr>
          <w:jc w:val="center"/>
        </w:trPr>
        <w:tc>
          <w:tcPr>
            <w:tcW w:w="3903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7B282A9E" w14:textId="77777777" w:rsidR="000E756A" w:rsidRDefault="00000000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Instalacja fotowoltaiczna</w:t>
            </w:r>
          </w:p>
        </w:tc>
        <w:tc>
          <w:tcPr>
            <w:tcW w:w="1621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4EF7EF00" w14:textId="317238D0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2006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1898B9BB" w14:textId="398EAC3B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1531" w:type="dxa"/>
            <w:vMerge/>
            <w:shd w:val="clear" w:color="auto" w:fill="auto"/>
            <w:tcMar>
              <w:left w:w="98" w:type="dxa"/>
            </w:tcMar>
            <w:vAlign w:val="center"/>
          </w:tcPr>
          <w:p w14:paraId="3619EF89" w14:textId="77777777" w:rsidR="000E756A" w:rsidRDefault="000E756A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E756A" w14:paraId="44D4E2E4" w14:textId="77777777">
        <w:trPr>
          <w:jc w:val="center"/>
        </w:trPr>
        <w:tc>
          <w:tcPr>
            <w:tcW w:w="3903" w:type="dxa"/>
            <w:tcBorders>
              <w:top w:val="nil"/>
            </w:tcBorders>
            <w:shd w:val="clear" w:color="auto" w:fill="auto"/>
            <w:tcMar>
              <w:left w:w="98" w:type="dxa"/>
            </w:tcMar>
          </w:tcPr>
          <w:p w14:paraId="58AB76AD" w14:textId="77777777" w:rsidR="000E756A" w:rsidRDefault="00000000">
            <w:pPr>
              <w:spacing w:after="0" w:line="24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Zasuwy na sieci – 50 szt. </w:t>
            </w:r>
          </w:p>
        </w:tc>
        <w:tc>
          <w:tcPr>
            <w:tcW w:w="1621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44F49EB1" w14:textId="36C83464" w:rsidR="000E756A" w:rsidRDefault="000E756A">
            <w:pPr>
              <w:spacing w:after="0" w:line="240" w:lineRule="auto"/>
              <w:jc w:val="center"/>
              <w:rPr>
                <w:rFonts w:ascii="Century Gothic" w:hAnsi="Century Gothic"/>
                <w:color w:val="8CCFB7"/>
              </w:rPr>
            </w:pPr>
          </w:p>
        </w:tc>
        <w:tc>
          <w:tcPr>
            <w:tcW w:w="2006" w:type="dxa"/>
            <w:tcBorders>
              <w:top w:val="nil"/>
            </w:tcBorders>
            <w:shd w:val="clear" w:color="auto" w:fill="auto"/>
            <w:tcMar>
              <w:left w:w="98" w:type="dxa"/>
            </w:tcMar>
            <w:vAlign w:val="center"/>
          </w:tcPr>
          <w:p w14:paraId="7778CFF4" w14:textId="00C8EA11" w:rsidR="000E756A" w:rsidRDefault="000E756A">
            <w:pPr>
              <w:spacing w:after="0" w:line="240" w:lineRule="auto"/>
              <w:jc w:val="center"/>
              <w:rPr>
                <w:rFonts w:ascii="Century Gothic" w:hAnsi="Century Gothic"/>
                <w:color w:val="8CCFB7"/>
              </w:rPr>
            </w:pPr>
          </w:p>
        </w:tc>
        <w:tc>
          <w:tcPr>
            <w:tcW w:w="1531" w:type="dxa"/>
            <w:vMerge/>
            <w:shd w:val="clear" w:color="auto" w:fill="auto"/>
            <w:tcMar>
              <w:left w:w="98" w:type="dxa"/>
            </w:tcMar>
            <w:vAlign w:val="center"/>
          </w:tcPr>
          <w:p w14:paraId="70CEB3CE" w14:textId="77777777" w:rsidR="000E756A" w:rsidRDefault="000E756A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E756A" w14:paraId="7A0A21B5" w14:textId="77777777">
        <w:trPr>
          <w:jc w:val="center"/>
        </w:trPr>
        <w:tc>
          <w:tcPr>
            <w:tcW w:w="3903" w:type="dxa"/>
            <w:shd w:val="clear" w:color="auto" w:fill="auto"/>
            <w:tcMar>
              <w:left w:w="98" w:type="dxa"/>
            </w:tcMar>
          </w:tcPr>
          <w:p w14:paraId="361124D0" w14:textId="77777777" w:rsidR="000E756A" w:rsidRDefault="0000000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2D2D2D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color w:val="2D2D2D"/>
                <w:lang w:eastAsia="pl-PL"/>
              </w:rPr>
              <w:t>Razem:</w:t>
            </w:r>
          </w:p>
        </w:tc>
        <w:tc>
          <w:tcPr>
            <w:tcW w:w="1621" w:type="dxa"/>
            <w:shd w:val="clear" w:color="auto" w:fill="auto"/>
            <w:tcMar>
              <w:left w:w="98" w:type="dxa"/>
            </w:tcMar>
            <w:vAlign w:val="center"/>
          </w:tcPr>
          <w:p w14:paraId="4ABE0D30" w14:textId="1CF1BC13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2006" w:type="dxa"/>
            <w:shd w:val="clear" w:color="auto" w:fill="auto"/>
            <w:tcMar>
              <w:left w:w="98" w:type="dxa"/>
            </w:tcMar>
            <w:vAlign w:val="center"/>
          </w:tcPr>
          <w:p w14:paraId="780CCB2B" w14:textId="7B6641A8" w:rsidR="000E756A" w:rsidRDefault="000E756A">
            <w:pPr>
              <w:spacing w:after="0" w:line="240" w:lineRule="auto"/>
              <w:jc w:val="center"/>
            </w:pPr>
          </w:p>
        </w:tc>
        <w:tc>
          <w:tcPr>
            <w:tcW w:w="1531" w:type="dxa"/>
            <w:shd w:val="clear" w:color="auto" w:fill="auto"/>
            <w:tcMar>
              <w:left w:w="98" w:type="dxa"/>
            </w:tcMar>
            <w:vAlign w:val="center"/>
          </w:tcPr>
          <w:p w14:paraId="1DDB1D92" w14:textId="77777777" w:rsidR="000E756A" w:rsidRDefault="000E756A">
            <w:pPr>
              <w:spacing w:after="0" w:line="240" w:lineRule="auto"/>
              <w:jc w:val="center"/>
              <w:rPr>
                <w:rFonts w:ascii="Century Gothic" w:hAnsi="Century Gothic" w:cs="Arial"/>
              </w:rPr>
            </w:pPr>
          </w:p>
        </w:tc>
      </w:tr>
    </w:tbl>
    <w:p w14:paraId="71BC1B61" w14:textId="77777777" w:rsidR="000E756A" w:rsidRDefault="000E756A">
      <w:pPr>
        <w:rPr>
          <w:rFonts w:ascii="Century Gothic" w:hAnsi="Century Gothic"/>
        </w:rPr>
      </w:pPr>
    </w:p>
    <w:p w14:paraId="5873578A" w14:textId="77777777" w:rsidR="000E756A" w:rsidRDefault="00000000">
      <w:r>
        <w:rPr>
          <w:rFonts w:ascii="Century Gothic" w:hAnsi="Century Gothic"/>
          <w:color w:val="8CCFB7"/>
        </w:rPr>
        <w:t>Cena przy założeniu, że 40% zasuw będzie wymagało odtworzenia nawierzchni dróg bitumicznych</w:t>
      </w:r>
    </w:p>
    <w:sectPr w:rsidR="000E756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6A"/>
    <w:rsid w:val="000E756A"/>
    <w:rsid w:val="00C66C60"/>
    <w:rsid w:val="00EB0D9F"/>
    <w:rsid w:val="00F5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553C7"/>
  <w15:docId w15:val="{D1ED45AA-57C3-4E45-B59C-97241B8E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E56D89"/>
    <w:pPr>
      <w:suppressAutoHyphens/>
      <w:spacing w:after="200" w:line="276" w:lineRule="auto"/>
      <w:ind w:left="720"/>
    </w:pPr>
    <w:rPr>
      <w:rFonts w:ascii="Calibri" w:eastAsia="Times New Roman" w:hAnsi="Calibri" w:cs="Times New Roman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631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1029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dc:description/>
  <cp:lastModifiedBy>gmina152a gmina152a</cp:lastModifiedBy>
  <cp:revision>2</cp:revision>
  <cp:lastPrinted>2022-08-17T13:13:00Z</cp:lastPrinted>
  <dcterms:created xsi:type="dcterms:W3CDTF">2023-01-11T13:22:00Z</dcterms:created>
  <dcterms:modified xsi:type="dcterms:W3CDTF">2023-01-11T13:22:00Z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