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2A41" w14:textId="77777777" w:rsidR="00F34A11" w:rsidRDefault="00F34A11" w:rsidP="00F34A11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SST D-04.01.01</w:t>
      </w:r>
    </w:p>
    <w:p w14:paraId="442EE6CA" w14:textId="77777777" w:rsidR="00F34A11" w:rsidRDefault="00F34A11" w:rsidP="00F34A11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KORYTO  WRAZ  Z  PROFILOWANIEM</w:t>
      </w:r>
    </w:p>
    <w:p w14:paraId="5658B1CB" w14:textId="77777777" w:rsidR="00F34A11" w:rsidRDefault="00F34A11" w:rsidP="00F34A11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 ZAGĘSZCZANIEM  PODŁOŻA</w:t>
      </w:r>
    </w:p>
    <w:p w14:paraId="23A98D7E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1._WSTĘP"/>
      <w:bookmarkStart w:id="1" w:name="_Toc404150096"/>
      <w:bookmarkStart w:id="2" w:name="_Toc416830698"/>
      <w:bookmarkEnd w:id="0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</w:p>
    <w:p w14:paraId="3AA5DEF5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" w:name="_Toc405704473"/>
      <w:bookmarkStart w:id="4" w:name="_Toc405780134"/>
      <w:bookmarkStart w:id="5" w:name="_Toc406295846"/>
      <w:bookmarkStart w:id="6" w:name="_Toc406913835"/>
      <w:bookmarkStart w:id="7" w:name="_Toc406914080"/>
      <w:bookmarkStart w:id="8" w:name="_Toc406914738"/>
      <w:bookmarkStart w:id="9" w:name="_Toc406915316"/>
      <w:bookmarkStart w:id="10" w:name="_Toc406984009"/>
      <w:bookmarkStart w:id="11" w:name="_Toc406984156"/>
      <w:bookmarkStart w:id="12" w:name="_Toc406984347"/>
      <w:bookmarkStart w:id="13" w:name="_Toc407069555"/>
      <w:bookmarkStart w:id="14" w:name="_Toc407081520"/>
      <w:bookmarkStart w:id="15" w:name="_Toc407083319"/>
      <w:bookmarkStart w:id="16" w:name="_Toc407084153"/>
      <w:bookmarkStart w:id="17" w:name="_Toc407085272"/>
      <w:bookmarkStart w:id="18" w:name="_Toc407085415"/>
      <w:bookmarkStart w:id="19" w:name="_Toc407085558"/>
      <w:bookmarkStart w:id="20" w:name="_Toc407086006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8674216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Przedmiotem niniejszej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Szczegółowej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specyfikacji technicznej 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S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ST) są wymagania dotyczące wykonania i odbioru robót związanych z wykonywaniem koryta wraz z profilowaniem i zagęszczaniem podłoża gruntowego.</w:t>
      </w:r>
    </w:p>
    <w:p w14:paraId="7C5EFABD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1" w:name="_Toc405704474"/>
      <w:bookmarkStart w:id="22" w:name="_Toc405780135"/>
      <w:bookmarkStart w:id="23" w:name="_Toc406295847"/>
      <w:bookmarkStart w:id="24" w:name="_Toc406913836"/>
      <w:bookmarkStart w:id="25" w:name="_Toc406914081"/>
      <w:bookmarkStart w:id="26" w:name="_Toc406914739"/>
      <w:bookmarkStart w:id="27" w:name="_Toc406915317"/>
      <w:bookmarkStart w:id="28" w:name="_Toc406984010"/>
      <w:bookmarkStart w:id="29" w:name="_Toc406984157"/>
      <w:bookmarkStart w:id="30" w:name="_Toc406984348"/>
      <w:bookmarkStart w:id="31" w:name="_Toc407069556"/>
      <w:bookmarkStart w:id="32" w:name="_Toc407081521"/>
      <w:bookmarkStart w:id="33" w:name="_Toc407083320"/>
      <w:bookmarkStart w:id="34" w:name="_Toc407084154"/>
      <w:bookmarkStart w:id="35" w:name="_Toc407085273"/>
      <w:bookmarkStart w:id="36" w:name="_Toc407085416"/>
      <w:bookmarkStart w:id="37" w:name="_Toc407085559"/>
      <w:bookmarkStart w:id="38" w:name="_Toc407086007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62C6201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Szczegółowa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specyfikacja techniczna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może być stosowana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jako dokument przetargowy i kontraktowy przy zlecaniu i realizacji robót na drogach krajowych i wojewódzkich.</w:t>
      </w:r>
    </w:p>
    <w:p w14:paraId="65C90C4F" w14:textId="47C9372D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Zaleca się wykorzystanie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S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ST przy zlecaniu robót na drogach </w:t>
      </w:r>
      <w:r w:rsidR="0098674D">
        <w:rPr>
          <w:rFonts w:ascii="Times New Roman" w:eastAsia="Times New Roman" w:hAnsi="Times New Roman" w:cs="Times New Roman"/>
          <w:sz w:val="20"/>
          <w:szCs w:val="24"/>
          <w:lang w:eastAsia="pl-PL"/>
        </w:rPr>
        <w:t>powiatowych</w:t>
      </w:r>
    </w:p>
    <w:p w14:paraId="6CEA0E42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9" w:name="_Toc405704475"/>
      <w:bookmarkStart w:id="40" w:name="_Toc405780136"/>
      <w:bookmarkStart w:id="41" w:name="_Toc406295848"/>
      <w:bookmarkStart w:id="42" w:name="_Toc406913837"/>
      <w:bookmarkStart w:id="43" w:name="_Toc406914082"/>
      <w:bookmarkStart w:id="44" w:name="_Toc406914740"/>
      <w:bookmarkStart w:id="45" w:name="_Toc406915318"/>
      <w:bookmarkStart w:id="46" w:name="_Toc406984011"/>
      <w:bookmarkStart w:id="47" w:name="_Toc406984158"/>
      <w:bookmarkStart w:id="48" w:name="_Toc406984349"/>
      <w:bookmarkStart w:id="49" w:name="_Toc407069557"/>
      <w:bookmarkStart w:id="50" w:name="_Toc407081522"/>
      <w:bookmarkStart w:id="51" w:name="_Toc407083321"/>
      <w:bookmarkStart w:id="52" w:name="_Toc407084155"/>
      <w:bookmarkStart w:id="53" w:name="_Toc407085274"/>
      <w:bookmarkStart w:id="54" w:name="_Toc407085417"/>
      <w:bookmarkStart w:id="55" w:name="_Toc407085560"/>
      <w:bookmarkStart w:id="56" w:name="_Toc407086008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6A31F8D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1A23CACA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7" w:name="_Toc405704476"/>
      <w:bookmarkStart w:id="58" w:name="_Toc405780137"/>
      <w:bookmarkStart w:id="59" w:name="_Toc406295849"/>
      <w:bookmarkStart w:id="60" w:name="_Toc406913838"/>
      <w:bookmarkStart w:id="61" w:name="_Toc406914083"/>
      <w:bookmarkStart w:id="62" w:name="_Toc406914741"/>
      <w:bookmarkStart w:id="63" w:name="_Toc406915319"/>
      <w:bookmarkStart w:id="64" w:name="_Toc406984012"/>
      <w:bookmarkStart w:id="65" w:name="_Toc406984159"/>
      <w:bookmarkStart w:id="66" w:name="_Toc406984350"/>
      <w:bookmarkStart w:id="67" w:name="_Toc407069558"/>
      <w:bookmarkStart w:id="68" w:name="_Toc407081523"/>
      <w:bookmarkStart w:id="69" w:name="_Toc407083322"/>
      <w:bookmarkStart w:id="70" w:name="_Toc407084156"/>
      <w:bookmarkStart w:id="71" w:name="_Toc407085275"/>
      <w:bookmarkStart w:id="72" w:name="_Toc407085418"/>
      <w:bookmarkStart w:id="73" w:name="_Toc407085561"/>
      <w:bookmarkStart w:id="74" w:name="_Toc407086009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14:paraId="6A275ED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Określenia podstawowe są zgodne z obowiązującymi, odpowiednimi polskimi normami i definicjami podanymi w OST D-M-00.00.00 „Wymagania ogólne” pkt 1.4.</w:t>
      </w:r>
    </w:p>
    <w:p w14:paraId="036DD4BE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5" w:name="_Toc405704477"/>
      <w:bookmarkStart w:id="76" w:name="_Toc405780138"/>
      <w:bookmarkStart w:id="77" w:name="_Toc406295850"/>
      <w:bookmarkStart w:id="78" w:name="_Toc406913839"/>
      <w:bookmarkStart w:id="79" w:name="_Toc406914084"/>
      <w:bookmarkStart w:id="80" w:name="_Toc406914742"/>
      <w:bookmarkStart w:id="81" w:name="_Toc406915320"/>
      <w:bookmarkStart w:id="82" w:name="_Toc406984013"/>
      <w:bookmarkStart w:id="83" w:name="_Toc406984160"/>
      <w:bookmarkStart w:id="84" w:name="_Toc406984351"/>
      <w:bookmarkStart w:id="85" w:name="_Toc407069559"/>
      <w:bookmarkStart w:id="86" w:name="_Toc407081524"/>
      <w:bookmarkStart w:id="87" w:name="_Toc407083323"/>
      <w:bookmarkStart w:id="88" w:name="_Toc407084157"/>
      <w:bookmarkStart w:id="89" w:name="_Toc407085276"/>
      <w:bookmarkStart w:id="90" w:name="_Toc407085419"/>
      <w:bookmarkStart w:id="91" w:name="_Toc407085562"/>
      <w:bookmarkStart w:id="92" w:name="_Toc407086010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7873BD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wymagania dotyczące robót podano w OST D-M-00.00.00 „Wymagania ogólne” pkt 1.5.</w:t>
      </w:r>
    </w:p>
    <w:p w14:paraId="0A0E7CA6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93" w:name="_2._materiały"/>
      <w:bookmarkStart w:id="94" w:name="_Toc406913840"/>
      <w:bookmarkStart w:id="95" w:name="_Toc406914085"/>
      <w:bookmarkStart w:id="96" w:name="_Toc406914743"/>
      <w:bookmarkStart w:id="97" w:name="_Toc406915321"/>
      <w:bookmarkStart w:id="98" w:name="_Toc406984014"/>
      <w:bookmarkStart w:id="99" w:name="_Toc406984161"/>
      <w:bookmarkStart w:id="100" w:name="_Toc406984352"/>
      <w:bookmarkStart w:id="101" w:name="_Toc407069560"/>
      <w:bookmarkStart w:id="102" w:name="_Toc407081525"/>
      <w:bookmarkStart w:id="103" w:name="_Toc407083324"/>
      <w:bookmarkStart w:id="104" w:name="_Toc407084158"/>
      <w:bookmarkStart w:id="105" w:name="_Toc407085277"/>
      <w:bookmarkStart w:id="106" w:name="_Toc407085420"/>
      <w:bookmarkStart w:id="107" w:name="_Toc407085563"/>
      <w:bookmarkStart w:id="108" w:name="_Toc407086011"/>
      <w:bookmarkEnd w:id="93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14:paraId="68D096DD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Nie występują.</w:t>
      </w:r>
    </w:p>
    <w:p w14:paraId="25387CB8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9" w:name="_3._sprzęt"/>
      <w:bookmarkStart w:id="110" w:name="_Toc406913841"/>
      <w:bookmarkStart w:id="111" w:name="_Toc406914086"/>
      <w:bookmarkStart w:id="112" w:name="_Toc406914744"/>
      <w:bookmarkStart w:id="113" w:name="_Toc406915322"/>
      <w:bookmarkStart w:id="114" w:name="_Toc406984015"/>
      <w:bookmarkStart w:id="115" w:name="_Toc406984162"/>
      <w:bookmarkStart w:id="116" w:name="_Toc406984353"/>
      <w:bookmarkStart w:id="117" w:name="_Toc407069561"/>
      <w:bookmarkStart w:id="118" w:name="_Toc407081526"/>
      <w:bookmarkStart w:id="119" w:name="_Toc407083325"/>
      <w:bookmarkStart w:id="120" w:name="_Toc407084159"/>
      <w:bookmarkStart w:id="121" w:name="_Toc407085278"/>
      <w:bookmarkStart w:id="122" w:name="_Toc407085421"/>
      <w:bookmarkStart w:id="123" w:name="_Toc407085564"/>
      <w:bookmarkStart w:id="124" w:name="_Toc407086012"/>
      <w:bookmarkEnd w:id="109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14:paraId="03156FEC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5" w:name="_Toc406913842"/>
      <w:bookmarkStart w:id="126" w:name="_Toc406914087"/>
      <w:bookmarkStart w:id="127" w:name="_Toc406914745"/>
      <w:bookmarkStart w:id="128" w:name="_Toc406915323"/>
      <w:bookmarkStart w:id="129" w:name="_Toc406984016"/>
      <w:bookmarkStart w:id="130" w:name="_Toc406984163"/>
      <w:bookmarkStart w:id="131" w:name="_Toc406984354"/>
      <w:bookmarkStart w:id="132" w:name="_Toc407069562"/>
      <w:bookmarkStart w:id="133" w:name="_Toc407081527"/>
      <w:bookmarkStart w:id="134" w:name="_Toc407083326"/>
      <w:bookmarkStart w:id="135" w:name="_Toc407084160"/>
      <w:bookmarkStart w:id="136" w:name="_Toc407085279"/>
      <w:bookmarkStart w:id="137" w:name="_Toc407085422"/>
      <w:bookmarkStart w:id="138" w:name="_Toc407085565"/>
      <w:bookmarkStart w:id="139" w:name="_Toc407086013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68735260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wymagania dotyczące sprzętu podano w OST D-M-00.00.00 „Wymagania ogólne” pkt 3.</w:t>
      </w:r>
    </w:p>
    <w:p w14:paraId="2B2C1C13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40" w:name="_Toc406913843"/>
      <w:bookmarkStart w:id="141" w:name="_Toc406914088"/>
      <w:bookmarkStart w:id="142" w:name="_Toc406914746"/>
      <w:bookmarkStart w:id="143" w:name="_Toc406915324"/>
      <w:bookmarkStart w:id="144" w:name="_Toc406984017"/>
      <w:bookmarkStart w:id="145" w:name="_Toc406984164"/>
      <w:bookmarkStart w:id="146" w:name="_Toc406984355"/>
      <w:bookmarkStart w:id="147" w:name="_Toc407069563"/>
      <w:bookmarkStart w:id="148" w:name="_Toc407081528"/>
      <w:bookmarkStart w:id="149" w:name="_Toc407083327"/>
      <w:bookmarkStart w:id="150" w:name="_Toc407084161"/>
      <w:bookmarkStart w:id="151" w:name="_Toc407085280"/>
      <w:bookmarkStart w:id="152" w:name="_Toc407085423"/>
      <w:bookmarkStart w:id="153" w:name="_Toc407085566"/>
      <w:bookmarkStart w:id="154" w:name="_Toc407086014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563DBE4C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Wykonawca przystępujący do wykonania koryta i profilowania podłoża powinien wykazać się możliwością korzystania z następującego sprzętu:</w:t>
      </w:r>
    </w:p>
    <w:p w14:paraId="19BA48B2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1A839B66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koparek z czerpakami profilowymi (przy wykonywaniu wąskich koryt),</w:t>
      </w:r>
    </w:p>
    <w:p w14:paraId="45ED5D83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walców statycznych, wibracyjnych lub płyt wibracyjnych.</w:t>
      </w:r>
    </w:p>
    <w:p w14:paraId="3E29530A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Stosowany sprzęt nie może spowodować niekorzystnego wpływu na właściwości gruntu podłoża.</w:t>
      </w:r>
    </w:p>
    <w:p w14:paraId="5263886A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5" w:name="_4._transport"/>
      <w:bookmarkStart w:id="156" w:name="_Toc406913844"/>
      <w:bookmarkStart w:id="157" w:name="_Toc406914089"/>
      <w:bookmarkStart w:id="158" w:name="_Toc406914747"/>
      <w:bookmarkStart w:id="159" w:name="_Toc406915325"/>
      <w:bookmarkStart w:id="160" w:name="_Toc406984018"/>
      <w:bookmarkStart w:id="161" w:name="_Toc406984165"/>
      <w:bookmarkStart w:id="162" w:name="_Toc406984356"/>
      <w:bookmarkStart w:id="163" w:name="_Toc407069564"/>
      <w:bookmarkStart w:id="164" w:name="_Toc407081529"/>
      <w:bookmarkStart w:id="165" w:name="_Toc407083328"/>
      <w:bookmarkStart w:id="166" w:name="_Toc407084162"/>
      <w:bookmarkStart w:id="167" w:name="_Toc407085281"/>
      <w:bookmarkStart w:id="168" w:name="_Toc407085424"/>
      <w:bookmarkStart w:id="169" w:name="_Toc407085567"/>
      <w:bookmarkStart w:id="170" w:name="_Toc407086015"/>
      <w:bookmarkEnd w:id="155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4F7525EB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71" w:name="_Toc406913845"/>
      <w:bookmarkStart w:id="172" w:name="_Toc406914090"/>
      <w:bookmarkStart w:id="173" w:name="_Toc406914748"/>
      <w:bookmarkStart w:id="174" w:name="_Toc406915326"/>
      <w:bookmarkStart w:id="175" w:name="_Toc406984019"/>
      <w:bookmarkStart w:id="176" w:name="_Toc406984166"/>
      <w:bookmarkStart w:id="177" w:name="_Toc406984357"/>
      <w:bookmarkStart w:id="178" w:name="_Toc407069565"/>
      <w:bookmarkStart w:id="179" w:name="_Toc407081530"/>
      <w:bookmarkStart w:id="180" w:name="_Toc407083329"/>
      <w:bookmarkStart w:id="181" w:name="_Toc407084163"/>
      <w:bookmarkStart w:id="182" w:name="_Toc407085282"/>
      <w:bookmarkStart w:id="183" w:name="_Toc407085425"/>
      <w:bookmarkStart w:id="184" w:name="_Toc407085568"/>
      <w:bookmarkStart w:id="185" w:name="_Toc407086016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5C3C994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bookmarkStart w:id="186" w:name="_Toc406822326"/>
      <w:bookmarkStart w:id="187" w:name="_Toc406913846"/>
      <w:bookmarkStart w:id="188" w:name="_Toc406914091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Ogólne wymagania dotyczące transportu podano w OST D-M-00.00.00 „Wymagania ogólne” pkt 4.</w:t>
      </w:r>
      <w:bookmarkEnd w:id="186"/>
      <w:bookmarkEnd w:id="187"/>
      <w:bookmarkEnd w:id="188"/>
    </w:p>
    <w:p w14:paraId="1BD17B76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9" w:name="_Toc406913847"/>
      <w:bookmarkStart w:id="190" w:name="_Toc406914092"/>
      <w:bookmarkStart w:id="191" w:name="_Toc406914749"/>
      <w:bookmarkStart w:id="192" w:name="_Toc406915327"/>
      <w:bookmarkStart w:id="193" w:name="_Toc406984020"/>
      <w:bookmarkStart w:id="194" w:name="_Toc406984167"/>
      <w:bookmarkStart w:id="195" w:name="_Toc406984358"/>
      <w:bookmarkStart w:id="196" w:name="_Toc407069566"/>
      <w:bookmarkStart w:id="197" w:name="_Toc407081531"/>
      <w:bookmarkStart w:id="198" w:name="_Toc407083330"/>
      <w:bookmarkStart w:id="199" w:name="_Toc407084164"/>
      <w:bookmarkStart w:id="200" w:name="_Toc407085283"/>
      <w:bookmarkStart w:id="201" w:name="_Toc407085426"/>
      <w:bookmarkStart w:id="202" w:name="_Toc407085569"/>
      <w:bookmarkStart w:id="203" w:name="_Toc407086017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4E7A0D9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bookmarkStart w:id="204" w:name="_Toc406822328"/>
      <w:bookmarkStart w:id="205" w:name="_Toc406913848"/>
      <w:bookmarkStart w:id="206" w:name="_Toc406914093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Wymagania dotyczące transportu materiałów podano w OST D-04.02.01, D-04.02.02, D-04.03.01</w:t>
      </w:r>
      <w:bookmarkEnd w:id="204"/>
      <w:bookmarkEnd w:id="205"/>
      <w:bookmarkEnd w:id="206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pkt 4.</w:t>
      </w:r>
    </w:p>
    <w:p w14:paraId="3B68751C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7" w:name="_5._wykonanie_robót"/>
      <w:bookmarkStart w:id="208" w:name="_Toc406913849"/>
      <w:bookmarkStart w:id="209" w:name="_Toc406914094"/>
      <w:bookmarkStart w:id="210" w:name="_Toc406914750"/>
      <w:bookmarkStart w:id="211" w:name="_Toc406915328"/>
      <w:bookmarkStart w:id="212" w:name="_Toc406984021"/>
      <w:bookmarkStart w:id="213" w:name="_Toc406984168"/>
      <w:bookmarkStart w:id="214" w:name="_Toc406984359"/>
      <w:bookmarkStart w:id="215" w:name="_Toc407069567"/>
      <w:bookmarkStart w:id="216" w:name="_Toc407081532"/>
      <w:bookmarkStart w:id="217" w:name="_Toc407083331"/>
      <w:bookmarkStart w:id="218" w:name="_Toc407084165"/>
      <w:bookmarkStart w:id="219" w:name="_Toc407085284"/>
      <w:bookmarkStart w:id="220" w:name="_Toc407085427"/>
      <w:bookmarkStart w:id="221" w:name="_Toc407085570"/>
      <w:bookmarkStart w:id="222" w:name="_Toc407086018"/>
      <w:bookmarkEnd w:id="207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14:paraId="31617470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23" w:name="_Toc406913850"/>
      <w:bookmarkStart w:id="224" w:name="_Toc406914095"/>
      <w:bookmarkStart w:id="225" w:name="_Toc406914751"/>
      <w:bookmarkStart w:id="226" w:name="_Toc406915329"/>
      <w:bookmarkStart w:id="227" w:name="_Toc406984022"/>
      <w:bookmarkStart w:id="228" w:name="_Toc406984169"/>
      <w:bookmarkStart w:id="229" w:name="_Toc406984360"/>
      <w:bookmarkStart w:id="230" w:name="_Toc407069568"/>
      <w:bookmarkStart w:id="231" w:name="_Toc407081533"/>
      <w:bookmarkStart w:id="232" w:name="_Toc407083332"/>
      <w:bookmarkStart w:id="233" w:name="_Toc407084166"/>
      <w:bookmarkStart w:id="234" w:name="_Toc407085285"/>
      <w:bookmarkStart w:id="235" w:name="_Toc407085428"/>
      <w:bookmarkStart w:id="236" w:name="_Toc407085571"/>
      <w:bookmarkStart w:id="237" w:name="_Toc407086019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14:paraId="02BCA82F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  <w:bookmarkStart w:id="238" w:name="_Toc406822331"/>
      <w:bookmarkStart w:id="239" w:name="_Toc406913851"/>
      <w:bookmarkStart w:id="240" w:name="_Toc406914096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Ogólne zasady wykonania robót podano w OST D-M-00.00.00 „Wymagania ogólne” pkt 5.</w:t>
      </w:r>
      <w:bookmarkEnd w:id="238"/>
      <w:bookmarkEnd w:id="239"/>
      <w:bookmarkEnd w:id="240"/>
    </w:p>
    <w:p w14:paraId="1A8CCF18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41" w:name="_Toc406913852"/>
      <w:bookmarkStart w:id="242" w:name="_Toc406914097"/>
      <w:bookmarkStart w:id="243" w:name="_Toc406914752"/>
      <w:bookmarkStart w:id="244" w:name="_Toc406915330"/>
      <w:bookmarkStart w:id="245" w:name="_Toc406984023"/>
      <w:bookmarkStart w:id="246" w:name="_Toc406984170"/>
      <w:bookmarkStart w:id="247" w:name="_Toc406984361"/>
      <w:bookmarkStart w:id="248" w:name="_Toc407069569"/>
      <w:bookmarkStart w:id="249" w:name="_Toc407081534"/>
      <w:bookmarkStart w:id="250" w:name="_Toc407083333"/>
      <w:bookmarkStart w:id="251" w:name="_Toc407084167"/>
      <w:bookmarkStart w:id="252" w:name="_Toc407085286"/>
      <w:bookmarkStart w:id="253" w:name="_Toc407085429"/>
      <w:bookmarkStart w:id="254" w:name="_Toc407085572"/>
      <w:bookmarkStart w:id="255" w:name="_Toc407086020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5.2. Warunki przystąpienia do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26F19228" w14:textId="0D568DDF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 w:rsidR="0098674D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jest możliwe wyłącznie za zgodą Inżyniera, w korzystnych warunkach atmosferycznych.</w:t>
      </w:r>
    </w:p>
    <w:p w14:paraId="1C80C91F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13B073C5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56" w:name="_Toc406913853"/>
      <w:bookmarkStart w:id="257" w:name="_Toc406914098"/>
      <w:bookmarkStart w:id="258" w:name="_Toc406914753"/>
      <w:bookmarkStart w:id="259" w:name="_Toc406915331"/>
      <w:bookmarkStart w:id="260" w:name="_Toc406984024"/>
      <w:bookmarkStart w:id="261" w:name="_Toc406984171"/>
      <w:bookmarkStart w:id="262" w:name="_Toc406984362"/>
      <w:bookmarkStart w:id="263" w:name="_Toc407069570"/>
      <w:bookmarkStart w:id="264" w:name="_Toc407081535"/>
      <w:bookmarkStart w:id="265" w:name="_Toc407083334"/>
      <w:bookmarkStart w:id="266" w:name="_Toc407084168"/>
      <w:bookmarkStart w:id="267" w:name="_Toc407085287"/>
      <w:bookmarkStart w:id="268" w:name="_Toc407085430"/>
      <w:bookmarkStart w:id="269" w:name="_Toc407085573"/>
      <w:bookmarkStart w:id="270" w:name="_Toc407086021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Wykonanie koryta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14:paraId="7356074F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Paliki lub szpilki do prawidłowego ukształtowania koryta w planie i profilu powinny być wcześniej przygotowane.</w:t>
      </w:r>
    </w:p>
    <w:p w14:paraId="46634B20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6A45D3FA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Rodzaj sprzętu, a w szczególności jego moc należy dostosować do rodzaju gruntu, w którym prowadzone są roboty i do trudności jego odspojenia. </w:t>
      </w:r>
    </w:p>
    <w:p w14:paraId="13E2175B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63A6C95C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1087BD52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Profilowanie i zagęszczenie podłoża należy wykonać zgodnie z zasadami określonymi w pkt 5.4.</w:t>
      </w:r>
    </w:p>
    <w:p w14:paraId="42769FAC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71" w:name="_Toc406913854"/>
      <w:bookmarkStart w:id="272" w:name="_Toc406914099"/>
      <w:bookmarkStart w:id="273" w:name="_Toc406914754"/>
      <w:bookmarkStart w:id="274" w:name="_Toc406915332"/>
      <w:bookmarkStart w:id="275" w:name="_Toc406984025"/>
      <w:bookmarkStart w:id="276" w:name="_Toc406984172"/>
      <w:bookmarkStart w:id="277" w:name="_Toc406984363"/>
      <w:bookmarkStart w:id="278" w:name="_Toc407069571"/>
      <w:bookmarkStart w:id="279" w:name="_Toc407081536"/>
      <w:bookmarkStart w:id="280" w:name="_Toc407083335"/>
      <w:bookmarkStart w:id="281" w:name="_Toc407084169"/>
      <w:bookmarkStart w:id="282" w:name="_Toc407085288"/>
      <w:bookmarkStart w:id="283" w:name="_Toc407085431"/>
      <w:bookmarkStart w:id="284" w:name="_Toc407085574"/>
      <w:bookmarkStart w:id="285" w:name="_Toc407086022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Profilowanie i zagęszczanie podłoża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14:paraId="5BD85BC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Przed przystąpieniem do profilowania podłoże powinno być oczyszczone ze wszelkich zanieczyszczeń.</w:t>
      </w:r>
    </w:p>
    <w:p w14:paraId="1644E5E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6C340915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234D5FBE" w14:textId="77777777" w:rsidR="00F34A11" w:rsidRPr="00F34A11" w:rsidRDefault="00F34A11" w:rsidP="00F34A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Do profilowania podłoża należy stosować równiarki. Ścięty grunt powinien być wykorzystany w robotach ziemnych lub w inny sposób zaakceptowany przez Inżyniera.</w:t>
      </w:r>
    </w:p>
    <w:p w14:paraId="6A5ED243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2B5572A" w14:textId="77777777" w:rsidR="00F34A11" w:rsidRPr="00F34A11" w:rsidRDefault="00F34A11" w:rsidP="00F34A1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Tablica 1. Minimalne wartości wskaźnika zagęszczenia podłoża (</w:t>
      </w:r>
      <w:proofErr w:type="spellStart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I</w:t>
      </w:r>
      <w:r w:rsidRPr="00F34A11">
        <w:rPr>
          <w:rFonts w:ascii="Times New Roman" w:eastAsia="Times New Roman" w:hAnsi="Times New Roman" w:cs="Times New Roman"/>
          <w:sz w:val="20"/>
          <w:szCs w:val="24"/>
          <w:vertAlign w:val="subscript"/>
          <w:lang w:eastAsia="pl-PL"/>
        </w:rPr>
        <w:t>s</w:t>
      </w:r>
      <w:proofErr w:type="spellEnd"/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5"/>
        <w:gridCol w:w="1560"/>
        <w:gridCol w:w="1521"/>
        <w:gridCol w:w="1524"/>
      </w:tblGrid>
      <w:tr w:rsidR="00F34A11" w:rsidRPr="00F34A11" w14:paraId="43C47169" w14:textId="77777777" w:rsidTr="00F34A11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14:paraId="11DDC5A5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3F40730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Minimalna wartość </w:t>
            </w:r>
            <w:proofErr w:type="spellStart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</w:t>
            </w: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vertAlign w:val="subscript"/>
                <w:lang w:eastAsia="pl-PL"/>
              </w:rPr>
              <w:t>s</w:t>
            </w:r>
            <w:proofErr w:type="spellEnd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dla:</w:t>
            </w:r>
          </w:p>
        </w:tc>
      </w:tr>
      <w:tr w:rsidR="00F34A11" w:rsidRPr="00F34A11" w14:paraId="638BA61D" w14:textId="77777777" w:rsidTr="00F34A11">
        <w:tc>
          <w:tcPr>
            <w:tcW w:w="290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14:paraId="623FB317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Strefa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14:paraId="40C6736A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8467F3B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Innych dróg</w:t>
            </w:r>
          </w:p>
        </w:tc>
      </w:tr>
      <w:tr w:rsidR="00F34A11" w:rsidRPr="00F34A11" w14:paraId="6CD5CFD4" w14:textId="77777777" w:rsidTr="00F34A11">
        <w:tc>
          <w:tcPr>
            <w:tcW w:w="290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14:paraId="7F70A2C3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korpusu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14:paraId="1F211930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53D01423" w14:textId="77777777" w:rsidR="00F34A11" w:rsidRPr="00F34A11" w:rsidRDefault="00F34A11" w:rsidP="00F34A11">
            <w:pPr>
              <w:spacing w:after="0" w:line="240" w:lineRule="auto"/>
              <w:ind w:left="213" w:right="317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Ruch ciężki</w:t>
            </w:r>
          </w:p>
          <w:p w14:paraId="70A16A6A" w14:textId="77777777" w:rsidR="00F34A11" w:rsidRPr="00F34A11" w:rsidRDefault="00F34A11" w:rsidP="00F34A11">
            <w:pPr>
              <w:spacing w:after="0" w:line="240" w:lineRule="auto"/>
              <w:ind w:left="71" w:right="3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7B7C4D54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Ruch mniejszy</w:t>
            </w:r>
          </w:p>
          <w:p w14:paraId="6AAF9436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od ciężkiego</w:t>
            </w:r>
          </w:p>
        </w:tc>
      </w:tr>
      <w:tr w:rsidR="00F34A11" w:rsidRPr="00F34A11" w14:paraId="2E317DCC" w14:textId="77777777" w:rsidTr="00F34A11">
        <w:tc>
          <w:tcPr>
            <w:tcW w:w="2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192EDA7" w14:textId="77777777" w:rsidR="00F34A11" w:rsidRPr="00F34A11" w:rsidRDefault="00F34A11" w:rsidP="00F34A11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Górna warstwa o grubości 20 cm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CB40066" w14:textId="77777777" w:rsidR="00F34A11" w:rsidRPr="00F34A11" w:rsidRDefault="00F34A11" w:rsidP="00F34A1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1,03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0803601" w14:textId="77777777" w:rsidR="00F34A11" w:rsidRPr="00F34A11" w:rsidRDefault="00F34A11" w:rsidP="00F34A1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1A47BE2" w14:textId="77777777" w:rsidR="00F34A11" w:rsidRPr="00F34A11" w:rsidRDefault="00F34A11" w:rsidP="00F34A1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1,00</w:t>
            </w:r>
          </w:p>
        </w:tc>
      </w:tr>
      <w:tr w:rsidR="00F34A11" w:rsidRPr="00F34A11" w14:paraId="130EAA4E" w14:textId="77777777" w:rsidTr="00F34A11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BB3C13E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A0941F5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50345D6C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3F0D72C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497B6BC8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EE2A55C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  <w:p w14:paraId="77EE7BC2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0,97</w:t>
            </w:r>
          </w:p>
        </w:tc>
      </w:tr>
    </w:tbl>
    <w:p w14:paraId="34A82A4F" w14:textId="77777777" w:rsidR="00F34A11" w:rsidRPr="00F34A11" w:rsidRDefault="00F34A11" w:rsidP="00F34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6BE67A" w14:textId="77777777" w:rsidR="00F34A11" w:rsidRPr="00F34A11" w:rsidRDefault="00F34A11" w:rsidP="00F34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70759EA0" w14:textId="77777777" w:rsidR="00F34A11" w:rsidRPr="00F34A11" w:rsidRDefault="00F34A11" w:rsidP="00F34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gruntu podłoża podczas zagęszczania powinna być równa wilgotności optymalnej z tolerancją od -20% do +10%.</w:t>
      </w:r>
    </w:p>
    <w:p w14:paraId="6B5344D4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86" w:name="_Toc406913855"/>
      <w:bookmarkStart w:id="287" w:name="_Toc406914100"/>
      <w:bookmarkStart w:id="288" w:name="_Toc406914755"/>
      <w:bookmarkStart w:id="289" w:name="_Toc406915333"/>
      <w:bookmarkStart w:id="290" w:name="_Toc406984026"/>
      <w:bookmarkStart w:id="291" w:name="_Toc406984173"/>
      <w:bookmarkStart w:id="292" w:name="_Toc406984364"/>
      <w:bookmarkStart w:id="293" w:name="_Toc407069572"/>
      <w:bookmarkStart w:id="294" w:name="_Toc407081537"/>
      <w:bookmarkStart w:id="295" w:name="_Toc407083336"/>
      <w:bookmarkStart w:id="296" w:name="_Toc407084170"/>
      <w:bookmarkStart w:id="297" w:name="_Toc407085289"/>
      <w:bookmarkStart w:id="298" w:name="_Toc407085432"/>
      <w:bookmarkStart w:id="299" w:name="_Toc407085575"/>
      <w:bookmarkStart w:id="300" w:name="_Toc407086023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Utrzymanie koryta oraz wyprofilowanego i zagęszczonego podłoża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14:paraId="748457A6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Podłoże (koryto) po wyprofilowaniu i zagęszczeniu powinno być utrzymywane w dobrym stanie.</w:t>
      </w:r>
    </w:p>
    <w:p w14:paraId="14236508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2CE7A2C6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Jeżeli wyprofilowane i zagęszczone podłoże uległo nadmiernemu zawilgoceniu, to do układania kolejnej warstwy można przystąpić dopiero po jego naturalnym osuszeniu.</w:t>
      </w:r>
    </w:p>
    <w:p w14:paraId="4D5C489E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85AA233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01" w:name="_6._kontrola_jakości"/>
      <w:bookmarkStart w:id="302" w:name="_Toc406913856"/>
      <w:bookmarkStart w:id="303" w:name="_Toc406914101"/>
      <w:bookmarkStart w:id="304" w:name="_Toc406914756"/>
      <w:bookmarkStart w:id="305" w:name="_Toc406915334"/>
      <w:bookmarkStart w:id="306" w:name="_Toc406984027"/>
      <w:bookmarkStart w:id="307" w:name="_Toc406984174"/>
      <w:bookmarkStart w:id="308" w:name="_Toc406984365"/>
      <w:bookmarkStart w:id="309" w:name="_Toc407069573"/>
      <w:bookmarkStart w:id="310" w:name="_Toc407081538"/>
      <w:bookmarkStart w:id="311" w:name="_Toc407083337"/>
      <w:bookmarkStart w:id="312" w:name="_Toc407084171"/>
      <w:bookmarkStart w:id="313" w:name="_Toc407085290"/>
      <w:bookmarkStart w:id="314" w:name="_Toc407085433"/>
      <w:bookmarkStart w:id="315" w:name="_Toc407085576"/>
      <w:bookmarkStart w:id="316" w:name="_Toc407086024"/>
      <w:bookmarkEnd w:id="301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14:paraId="780D5F55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17" w:name="_Toc406913857"/>
      <w:bookmarkStart w:id="318" w:name="_Toc406914102"/>
      <w:bookmarkStart w:id="319" w:name="_Toc406914757"/>
      <w:bookmarkStart w:id="320" w:name="_Toc406915335"/>
      <w:bookmarkStart w:id="321" w:name="_Toc406984028"/>
      <w:bookmarkStart w:id="322" w:name="_Toc406984175"/>
      <w:bookmarkStart w:id="323" w:name="_Toc406984366"/>
      <w:bookmarkStart w:id="324" w:name="_Toc407069574"/>
      <w:bookmarkStart w:id="325" w:name="_Toc407081539"/>
      <w:bookmarkStart w:id="326" w:name="_Toc407083338"/>
      <w:bookmarkStart w:id="327" w:name="_Toc407084172"/>
      <w:bookmarkStart w:id="328" w:name="_Toc407085291"/>
      <w:bookmarkStart w:id="329" w:name="_Toc407085434"/>
      <w:bookmarkStart w:id="330" w:name="_Toc407085577"/>
      <w:bookmarkStart w:id="331" w:name="_Toc407086025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14:paraId="340F33CB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zasady kontroli jakości robót podano w OST D-M-00.00.00 „Wymagania ogólne” pkt 6.</w:t>
      </w:r>
    </w:p>
    <w:p w14:paraId="4642CC96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32" w:name="_Toc406913858"/>
      <w:bookmarkStart w:id="333" w:name="_Toc406914103"/>
      <w:bookmarkStart w:id="334" w:name="_Toc406914758"/>
      <w:bookmarkStart w:id="335" w:name="_Toc406915336"/>
      <w:bookmarkStart w:id="336" w:name="_Toc406984029"/>
      <w:bookmarkStart w:id="337" w:name="_Toc406984176"/>
      <w:bookmarkStart w:id="338" w:name="_Toc406984367"/>
      <w:bookmarkStart w:id="339" w:name="_Toc407069575"/>
      <w:bookmarkStart w:id="340" w:name="_Toc407081540"/>
      <w:bookmarkStart w:id="341" w:name="_Toc407083339"/>
      <w:bookmarkStart w:id="342" w:name="_Toc407084173"/>
      <w:bookmarkStart w:id="343" w:name="_Toc407085292"/>
      <w:bookmarkStart w:id="344" w:name="_Toc407085435"/>
      <w:bookmarkStart w:id="345" w:name="_Toc407085578"/>
      <w:bookmarkStart w:id="346" w:name="_Toc407086026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w czasie robót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14:paraId="0BAF682B" w14:textId="77777777" w:rsidR="00F34A11" w:rsidRPr="00F34A11" w:rsidRDefault="00F34A11" w:rsidP="00F34A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6.2.1.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Częstotliwość oraz zakres badań i pomiarów</w:t>
      </w:r>
    </w:p>
    <w:p w14:paraId="633BECA5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Częstotliwość oraz zakres badań i pomiarów dotyczących cech geometrycznych i zagęszczenia koryta i wyprofilowanego podłoża podaje tablica 2.</w:t>
      </w:r>
    </w:p>
    <w:p w14:paraId="0CF26A89" w14:textId="77777777" w:rsidR="00F34A11" w:rsidRPr="00F34A11" w:rsidRDefault="00F34A11" w:rsidP="00F34A11">
      <w:pPr>
        <w:spacing w:before="120" w:after="120" w:line="240" w:lineRule="auto"/>
        <w:ind w:left="1134" w:hanging="1134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Tablica 2.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671"/>
        <w:gridCol w:w="4703"/>
      </w:tblGrid>
      <w:tr w:rsidR="00F34A11" w:rsidRPr="00F34A11" w14:paraId="472749EB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4AEDAF29" w14:textId="77777777" w:rsidR="00F34A11" w:rsidRPr="00F34A11" w:rsidRDefault="00F34A11" w:rsidP="00F34A1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1B6583E0" w14:textId="77777777" w:rsidR="00F34A11" w:rsidRPr="00F34A11" w:rsidRDefault="00F34A11" w:rsidP="00F34A1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Wyszczególnienie badań</w:t>
            </w:r>
          </w:p>
          <w:p w14:paraId="2080E2E5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14:paraId="0B8D3FB7" w14:textId="77777777" w:rsidR="00F34A11" w:rsidRPr="00F34A11" w:rsidRDefault="00F34A11" w:rsidP="00F34A1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Minimalna częstotliwość</w:t>
            </w:r>
          </w:p>
          <w:p w14:paraId="44D1FEC3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badań i pomiarów</w:t>
            </w:r>
          </w:p>
        </w:tc>
      </w:tr>
      <w:tr w:rsidR="00F34A11" w:rsidRPr="00F34A11" w14:paraId="2F1BFB23" w14:textId="77777777" w:rsidTr="00F34A11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94B965C" w14:textId="77777777" w:rsidR="00F34A11" w:rsidRPr="00F34A11" w:rsidRDefault="00F34A11" w:rsidP="00F34A1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3D42707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CEA2F0E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 razy na 1 km</w:t>
            </w:r>
          </w:p>
        </w:tc>
      </w:tr>
      <w:tr w:rsidR="00F34A11" w:rsidRPr="00F34A11" w14:paraId="0E3E5B0E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F7E3964" w14:textId="77777777" w:rsidR="00F34A11" w:rsidRPr="00F34A11" w:rsidRDefault="00F34A11" w:rsidP="00F34A1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86C9CB4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9C46408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co 20 m na każdym pasie ruchu</w:t>
            </w:r>
          </w:p>
        </w:tc>
      </w:tr>
      <w:tr w:rsidR="00F34A11" w:rsidRPr="00F34A11" w14:paraId="41CE3397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937DAE4" w14:textId="77777777" w:rsidR="00F34A11" w:rsidRPr="00F34A11" w:rsidRDefault="00F34A11" w:rsidP="00F34A1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ED51626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FBF87EC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 razy na 1 km</w:t>
            </w:r>
          </w:p>
        </w:tc>
      </w:tr>
      <w:tr w:rsidR="00F34A11" w:rsidRPr="00F34A11" w14:paraId="0CB98BEA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E9DECF1" w14:textId="77777777" w:rsidR="00F34A11" w:rsidRPr="00F34A11" w:rsidRDefault="00F34A11" w:rsidP="00F34A1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2B979F29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Spadki poprzeczne </w:t>
            </w: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2C1B7EA" w14:textId="77777777" w:rsidR="00F34A11" w:rsidRPr="00F34A11" w:rsidRDefault="00F34A11" w:rsidP="00F34A1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10 razy na 1 km</w:t>
            </w:r>
          </w:p>
        </w:tc>
      </w:tr>
      <w:tr w:rsidR="00F34A11" w:rsidRPr="00F34A11" w14:paraId="45C27383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53945E2" w14:textId="77777777" w:rsidR="00F34A11" w:rsidRPr="00F34A11" w:rsidRDefault="00F34A11" w:rsidP="00F34A1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13AB995" w14:textId="77777777" w:rsidR="00F34A11" w:rsidRPr="00F34A11" w:rsidRDefault="00F34A11" w:rsidP="00F34A1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04EE51BD" w14:textId="77777777" w:rsidR="00F34A11" w:rsidRPr="00F34A11" w:rsidRDefault="00F34A11" w:rsidP="00F34A11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co 25 m w osi jezdni i na jej krawędziach dla autostrad i dróg ekspresowych, co 100 m dla pozostałych dróg</w:t>
            </w:r>
          </w:p>
        </w:tc>
      </w:tr>
      <w:tr w:rsidR="00F34A11" w:rsidRPr="00F34A11" w14:paraId="2F6B981E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FD636BD" w14:textId="77777777" w:rsidR="00F34A11" w:rsidRPr="00F34A11" w:rsidRDefault="00F34A11" w:rsidP="00F34A1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67FEDBCE" w14:textId="77777777" w:rsidR="00F34A11" w:rsidRPr="00F34A11" w:rsidRDefault="00F34A11" w:rsidP="00F34A11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Ukształtowanie osi w planie </w:t>
            </w: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743644C" w14:textId="77777777" w:rsidR="00F34A11" w:rsidRPr="00F34A11" w:rsidRDefault="00F34A11" w:rsidP="00F34A11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co 25 m w osi jezdni i na jej krawędziach dla autostrad i dróg ekspresowych, co 100 m dla pozostałych dróg</w:t>
            </w:r>
          </w:p>
        </w:tc>
      </w:tr>
      <w:tr w:rsidR="00F34A11" w:rsidRPr="00F34A11" w14:paraId="1C76326D" w14:textId="77777777" w:rsidTr="00F34A11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4DB78EF0" w14:textId="77777777" w:rsidR="00F34A11" w:rsidRPr="00F34A11" w:rsidRDefault="00F34A11" w:rsidP="00F34A1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15F37770" w14:textId="77777777" w:rsidR="00F34A11" w:rsidRPr="00F34A11" w:rsidRDefault="00F34A11" w:rsidP="00F34A11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3839CCE5" w14:textId="77777777" w:rsidR="00F34A11" w:rsidRPr="00F34A11" w:rsidRDefault="00F34A11" w:rsidP="00F34A11">
            <w:pPr>
              <w:spacing w:before="2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 2 punktach na dziennej działce roboczej, lecz nie rzadziej niż raz na 600 m</w:t>
            </w: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vertAlign w:val="superscript"/>
                <w:lang w:eastAsia="pl-PL"/>
              </w:rPr>
              <w:t>2</w:t>
            </w:r>
          </w:p>
        </w:tc>
      </w:tr>
      <w:tr w:rsidR="00F34A11" w:rsidRPr="00F34A11" w14:paraId="32777A39" w14:textId="77777777" w:rsidTr="00F34A11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D795324" w14:textId="77777777" w:rsidR="00F34A11" w:rsidRPr="00F34A11" w:rsidRDefault="00F34A11" w:rsidP="00F34A11">
            <w:pPr>
              <w:spacing w:before="20" w:after="6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bookmarkStart w:id="347" w:name="_Toc406822339"/>
            <w:bookmarkStart w:id="348" w:name="_Toc406913859"/>
            <w:bookmarkStart w:id="349" w:name="_Toc406914104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*) Dodatkowe pomiary spadków poprzecznych i ukształtowania osi w planie należy wykonać w punktach głównych łuków poziomych</w:t>
            </w:r>
            <w:bookmarkEnd w:id="347"/>
            <w:bookmarkEnd w:id="348"/>
            <w:bookmarkEnd w:id="349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ab/>
            </w:r>
          </w:p>
        </w:tc>
      </w:tr>
    </w:tbl>
    <w:p w14:paraId="2C98B726" w14:textId="77777777" w:rsidR="00F34A11" w:rsidRPr="00F34A11" w:rsidRDefault="00F34A11" w:rsidP="00F34A11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6.2.2.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Szerokość koryta (profilowanego podłoża)</w:t>
      </w:r>
    </w:p>
    <w:p w14:paraId="79B6E97E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Szerokość koryta i profilowanego podłoża nie może różnić się od szerokości projektowanej o więcej niż +10 cm i -5 cm.</w:t>
      </w:r>
    </w:p>
    <w:p w14:paraId="79288BEB" w14:textId="77777777" w:rsidR="00F34A11" w:rsidRPr="00F34A11" w:rsidRDefault="00F34A11" w:rsidP="00F34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6.2.3.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Równość koryta (profilowanego podłoża)</w:t>
      </w:r>
    </w:p>
    <w:p w14:paraId="238CAE0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Nierówności podłużne koryta i profilowanego podłoża należy mierzyć 4-metrową łatą zgodnie z normą BN-68/8931-04 [4].</w:t>
      </w:r>
    </w:p>
    <w:p w14:paraId="66FD45E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Nierówności poprzeczne należy mierzyć 4-metrową łatą.</w:t>
      </w:r>
    </w:p>
    <w:p w14:paraId="1D6F25A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Nierówności nie mogą przekraczać 20 mm.</w:t>
      </w:r>
    </w:p>
    <w:p w14:paraId="4C03573F" w14:textId="77777777" w:rsidR="00F34A11" w:rsidRPr="00F34A11" w:rsidRDefault="00F34A11" w:rsidP="00F34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6.2.4.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Spadki poprzeczne</w:t>
      </w:r>
    </w:p>
    <w:p w14:paraId="3736E9D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 xml:space="preserve">Spadki poprzeczne koryta i profilowanego podłoża powinny być zgodne z dokumentacją projektową z tolerancją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B1"/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0,5%.</w:t>
      </w:r>
    </w:p>
    <w:p w14:paraId="50B5FB21" w14:textId="77777777" w:rsidR="00F34A11" w:rsidRPr="00F34A11" w:rsidRDefault="00F34A11" w:rsidP="00F34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6.2.5.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Rzędne wysokościowe</w:t>
      </w:r>
    </w:p>
    <w:p w14:paraId="706FFDE6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Różnice pomiędzy rzędnymi wysokościowymi koryta lub wyprofilowanego podłoża i rzędnymi projektowanymi nie powinny przekraczać +1 cm, -2 cm.</w:t>
      </w:r>
    </w:p>
    <w:p w14:paraId="136C4363" w14:textId="77777777" w:rsidR="00F34A11" w:rsidRPr="00F34A11" w:rsidRDefault="00F34A11" w:rsidP="00F34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6.2.6.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Ukształtowanie osi w planie</w:t>
      </w:r>
    </w:p>
    <w:p w14:paraId="3B61F6EB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lastRenderedPageBreak/>
        <w:tab/>
        <w:t xml:space="preserve">Oś w planie nie może być przesunięta w stosunku do osi projektowanej o więcej niż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B1"/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3 cm dla autostrad i dróg ekspresowych lub więcej niż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sym w:font="Symbol" w:char="F0B1"/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5 cm dla pozostałych dróg.</w:t>
      </w:r>
    </w:p>
    <w:p w14:paraId="384A79ED" w14:textId="77777777" w:rsidR="00F34A11" w:rsidRPr="00F34A11" w:rsidRDefault="00F34A11" w:rsidP="00F34A1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6.2.7. 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Zagęszczenie koryta (profilowanego podłoża)</w:t>
      </w:r>
    </w:p>
    <w:p w14:paraId="1C3449CC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Wskaźnik zagęszczenia koryta i wyprofilowanego podłoża określony wg BN-77/8931-12 [5] nie powinien być mniejszy od podanego w tablicy 1.</w:t>
      </w:r>
    </w:p>
    <w:p w14:paraId="1CFFE2A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1FA664A7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Wilgotność w czasie zagęszczania należy badać według PN-B-06714-17 [2]. Wilgotność gruntu podłoża powinna być równa wilgotności optymalnej z tolerancją od -20% do + 10%.</w:t>
      </w:r>
    </w:p>
    <w:p w14:paraId="4D70218D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50" w:name="_Toc406913860"/>
      <w:bookmarkStart w:id="351" w:name="_Toc406914105"/>
      <w:bookmarkStart w:id="352" w:name="_Toc406914759"/>
      <w:bookmarkStart w:id="353" w:name="_Toc406914862"/>
      <w:bookmarkStart w:id="354" w:name="_Toc406915337"/>
      <w:bookmarkStart w:id="355" w:name="_Toc406984030"/>
      <w:bookmarkStart w:id="356" w:name="_Toc406984177"/>
      <w:bookmarkStart w:id="357" w:name="_Toc406984368"/>
      <w:bookmarkStart w:id="358" w:name="_Toc407069576"/>
      <w:bookmarkStart w:id="359" w:name="_Toc407081541"/>
      <w:bookmarkStart w:id="360" w:name="_Toc407083340"/>
      <w:bookmarkStart w:id="361" w:name="_Toc407084174"/>
      <w:bookmarkStart w:id="362" w:name="_Toc407085293"/>
      <w:bookmarkStart w:id="363" w:name="_Toc407085436"/>
      <w:bookmarkStart w:id="364" w:name="_Toc407085579"/>
      <w:bookmarkStart w:id="365" w:name="_Toc407086027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Zasady postępowania z wadliwie wykonanymi odcinkami koryta (profilowanego</w:t>
      </w:r>
      <w:bookmarkEnd w:id="350"/>
      <w:bookmarkEnd w:id="351"/>
      <w:bookmarkEnd w:id="352"/>
      <w:bookmarkEnd w:id="353"/>
      <w:bookmarkEnd w:id="354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podłoża)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14:paraId="61C3F19E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ab/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35191A9B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66" w:name="_7._obmiar_robót"/>
      <w:bookmarkStart w:id="367" w:name="_Toc406913861"/>
      <w:bookmarkStart w:id="368" w:name="_Toc406914106"/>
      <w:bookmarkStart w:id="369" w:name="_Toc406914760"/>
      <w:bookmarkStart w:id="370" w:name="_Toc406915338"/>
      <w:bookmarkStart w:id="371" w:name="_Toc406984031"/>
      <w:bookmarkStart w:id="372" w:name="_Toc406984178"/>
      <w:bookmarkStart w:id="373" w:name="_Toc406984369"/>
      <w:bookmarkStart w:id="374" w:name="_Toc407069577"/>
      <w:bookmarkStart w:id="375" w:name="_Toc407081542"/>
      <w:bookmarkStart w:id="376" w:name="_Toc407083341"/>
      <w:bookmarkStart w:id="377" w:name="_Toc407084175"/>
      <w:bookmarkStart w:id="378" w:name="_Toc407085294"/>
      <w:bookmarkStart w:id="379" w:name="_Toc407085437"/>
      <w:bookmarkStart w:id="380" w:name="_Toc407085580"/>
      <w:bookmarkStart w:id="381" w:name="_Toc407086028"/>
      <w:bookmarkEnd w:id="366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14:paraId="1F1E8ED7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82" w:name="_Toc406913862"/>
      <w:bookmarkStart w:id="383" w:name="_Toc406914107"/>
      <w:bookmarkStart w:id="384" w:name="_Toc406914761"/>
      <w:bookmarkStart w:id="385" w:name="_Toc406915339"/>
      <w:bookmarkStart w:id="386" w:name="_Toc406984032"/>
      <w:bookmarkStart w:id="387" w:name="_Toc406984179"/>
      <w:bookmarkStart w:id="388" w:name="_Toc406984370"/>
      <w:bookmarkStart w:id="389" w:name="_Toc407069578"/>
      <w:bookmarkStart w:id="390" w:name="_Toc407081543"/>
      <w:bookmarkStart w:id="391" w:name="_Toc407083342"/>
      <w:bookmarkStart w:id="392" w:name="_Toc407084176"/>
      <w:bookmarkStart w:id="393" w:name="_Toc407085295"/>
      <w:bookmarkStart w:id="394" w:name="_Toc407085438"/>
      <w:bookmarkStart w:id="395" w:name="_Toc407085581"/>
      <w:bookmarkStart w:id="396" w:name="_Toc407086029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14:paraId="725AA27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zasady obmiaru robót podano w OST D-M-00.00.00 „Wymagania ogólne” pkt 7.</w:t>
      </w:r>
    </w:p>
    <w:p w14:paraId="1A17EA08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97" w:name="_Toc406913863"/>
      <w:bookmarkStart w:id="398" w:name="_Toc406914108"/>
      <w:bookmarkStart w:id="399" w:name="_Toc406914762"/>
      <w:bookmarkStart w:id="400" w:name="_Toc406915340"/>
      <w:bookmarkStart w:id="401" w:name="_Toc406984033"/>
      <w:bookmarkStart w:id="402" w:name="_Toc406984180"/>
      <w:bookmarkStart w:id="403" w:name="_Toc406984371"/>
      <w:bookmarkStart w:id="404" w:name="_Toc407069579"/>
      <w:bookmarkStart w:id="405" w:name="_Toc407081544"/>
      <w:bookmarkStart w:id="406" w:name="_Toc407083343"/>
      <w:bookmarkStart w:id="407" w:name="_Toc407084177"/>
      <w:bookmarkStart w:id="408" w:name="_Toc407085296"/>
      <w:bookmarkStart w:id="409" w:name="_Toc407085439"/>
      <w:bookmarkStart w:id="410" w:name="_Toc407085582"/>
      <w:bookmarkStart w:id="411" w:name="_Toc407086030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</w:p>
    <w:p w14:paraId="2279E1F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Jednostką obmiarową jest m</w:t>
      </w:r>
      <w:r w:rsidRPr="00F34A11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  <w:t>2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(metr kwadratowy) wykonanego i odebranego koryta.</w:t>
      </w:r>
    </w:p>
    <w:p w14:paraId="38DD9465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12" w:name="_8._odbiór_robót"/>
      <w:bookmarkStart w:id="413" w:name="_Toc406913864"/>
      <w:bookmarkStart w:id="414" w:name="_Toc406914109"/>
      <w:bookmarkStart w:id="415" w:name="_Toc406914763"/>
      <w:bookmarkStart w:id="416" w:name="_Toc406915341"/>
      <w:bookmarkStart w:id="417" w:name="_Toc406984034"/>
      <w:bookmarkStart w:id="418" w:name="_Toc406984181"/>
      <w:bookmarkStart w:id="419" w:name="_Toc406984372"/>
      <w:bookmarkStart w:id="420" w:name="_Toc407069580"/>
      <w:bookmarkStart w:id="421" w:name="_Toc407081545"/>
      <w:bookmarkStart w:id="422" w:name="_Toc407083344"/>
      <w:bookmarkStart w:id="423" w:name="_Toc407084178"/>
      <w:bookmarkStart w:id="424" w:name="_Toc407085297"/>
      <w:bookmarkStart w:id="425" w:name="_Toc407085440"/>
      <w:bookmarkStart w:id="426" w:name="_Toc407085583"/>
      <w:bookmarkStart w:id="427" w:name="_Toc407086031"/>
      <w:bookmarkEnd w:id="412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14:paraId="2792C93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zasady odbioru robót podano w OST D-M-00.00.00 „Wymagania ogólne” pkt 8.</w:t>
      </w:r>
    </w:p>
    <w:p w14:paraId="453E6414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05921AFA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28" w:name="_9._podstawa_płatności"/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bookmarkEnd w:id="428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512195C7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107BCC89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Ogólne ustalenia dotyczące podstawy płatności podano w OST D-M-00.00.00 „Wymagania ogólne” pkt 9.</w:t>
      </w:r>
    </w:p>
    <w:p w14:paraId="7862640E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71A56771" w14:textId="77777777" w:rsidR="00F34A11" w:rsidRPr="00F34A11" w:rsidRDefault="00F34A11" w:rsidP="00F34A1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  <w:t>Cena wykonania 1 m</w:t>
      </w:r>
      <w:r w:rsidRPr="00F34A11">
        <w:rPr>
          <w:rFonts w:ascii="Times New Roman" w:eastAsia="Times New Roman" w:hAnsi="Times New Roman" w:cs="Times New Roman"/>
          <w:sz w:val="20"/>
          <w:szCs w:val="24"/>
          <w:vertAlign w:val="superscript"/>
          <w:lang w:eastAsia="pl-PL"/>
        </w:rPr>
        <w:t>2</w:t>
      </w: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koryta obejmuje:</w:t>
      </w:r>
    </w:p>
    <w:p w14:paraId="717E4BB7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prace pomiarowe i roboty przygotowawcze,</w:t>
      </w:r>
    </w:p>
    <w:p w14:paraId="152B9A74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odspojenie gruntu z przerzutem na pobocze i rozplantowaniem,</w:t>
      </w:r>
    </w:p>
    <w:p w14:paraId="44D10811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załadunek nadmiaru odspojonego gruntu na środki transportowe i odwiezienie na odkład lub nasyp,</w:t>
      </w:r>
    </w:p>
    <w:p w14:paraId="222F494C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profilowanie dna koryta lub podłoża,</w:t>
      </w:r>
    </w:p>
    <w:p w14:paraId="0B1BA947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zagęszczenie,</w:t>
      </w:r>
    </w:p>
    <w:p w14:paraId="3F39B2E7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utrzymanie koryta lub podłoża,</w:t>
      </w:r>
    </w:p>
    <w:p w14:paraId="239124E8" w14:textId="77777777" w:rsidR="00F34A11" w:rsidRPr="00F34A11" w:rsidRDefault="00F34A11" w:rsidP="00F34A1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>przeprowadzenie pomiarów i badań laboratoryjnych, wymaganych w specyfikacji technicznej.</w:t>
      </w:r>
    </w:p>
    <w:p w14:paraId="12419BB8" w14:textId="77777777" w:rsidR="00F34A11" w:rsidRPr="00F34A11" w:rsidRDefault="00F34A11" w:rsidP="00F34A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F34A11">
        <w:rPr>
          <w:rFonts w:ascii="Times New Roman" w:eastAsia="Times New Roman" w:hAnsi="Times New Roman" w:cs="Times New Roman"/>
          <w:sz w:val="20"/>
          <w:szCs w:val="24"/>
          <w:lang w:eastAsia="pl-PL"/>
        </w:rPr>
        <w:tab/>
      </w:r>
    </w:p>
    <w:p w14:paraId="79FFA799" w14:textId="77777777" w:rsidR="00F34A11" w:rsidRPr="00F34A11" w:rsidRDefault="00F34A11" w:rsidP="00F34A1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74" w:name="_10._przepisy_związane"/>
      <w:bookmarkStart w:id="475" w:name="_Toc406913868"/>
      <w:bookmarkStart w:id="476" w:name="_Toc406914113"/>
      <w:bookmarkStart w:id="477" w:name="_Toc406914767"/>
      <w:bookmarkStart w:id="478" w:name="_Toc406915345"/>
      <w:bookmarkStart w:id="479" w:name="_Toc406984038"/>
      <w:bookmarkStart w:id="480" w:name="_Toc406984185"/>
      <w:bookmarkStart w:id="481" w:name="_Toc406984376"/>
      <w:bookmarkStart w:id="482" w:name="_Toc407069584"/>
      <w:bookmarkStart w:id="483" w:name="_Toc407081549"/>
      <w:bookmarkStart w:id="484" w:name="_Toc407083348"/>
      <w:bookmarkStart w:id="485" w:name="_Toc407084182"/>
      <w:bookmarkStart w:id="486" w:name="_Toc407085301"/>
      <w:bookmarkStart w:id="487" w:name="_Toc407085444"/>
      <w:bookmarkStart w:id="488" w:name="_Toc407085587"/>
      <w:bookmarkStart w:id="489" w:name="_Toc407086035"/>
      <w:bookmarkEnd w:id="474"/>
      <w:r w:rsidRPr="00F34A1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14:paraId="5FCD9CE7" w14:textId="77777777" w:rsidR="00F34A11" w:rsidRPr="00F34A11" w:rsidRDefault="00F34A11" w:rsidP="00F34A1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90" w:name="_Toc406913869"/>
      <w:bookmarkStart w:id="491" w:name="_Toc406914114"/>
      <w:bookmarkStart w:id="492" w:name="_Toc406914768"/>
      <w:bookmarkStart w:id="493" w:name="_Toc406915346"/>
      <w:bookmarkStart w:id="494" w:name="_Toc406984039"/>
      <w:bookmarkStart w:id="495" w:name="_Toc406984186"/>
      <w:bookmarkStart w:id="496" w:name="_Toc406984377"/>
      <w:bookmarkStart w:id="497" w:name="_Toc407069585"/>
      <w:bookmarkStart w:id="498" w:name="_Toc407081550"/>
      <w:bookmarkStart w:id="499" w:name="_Toc407083349"/>
      <w:bookmarkStart w:id="500" w:name="_Toc407084183"/>
      <w:bookmarkStart w:id="501" w:name="_Toc407085302"/>
      <w:bookmarkStart w:id="502" w:name="_Toc407085445"/>
      <w:bookmarkStart w:id="503" w:name="_Toc407085588"/>
      <w:bookmarkStart w:id="504" w:name="_Toc407086036"/>
      <w:r w:rsidRPr="00F34A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Normy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6255"/>
      </w:tblGrid>
      <w:tr w:rsidR="00F34A11" w:rsidRPr="00F34A11" w14:paraId="58738F50" w14:textId="77777777" w:rsidTr="00F34A11">
        <w:tc>
          <w:tcPr>
            <w:tcW w:w="496" w:type="dxa"/>
            <w:hideMark/>
          </w:tcPr>
          <w:p w14:paraId="6E0941BA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14:paraId="742B676A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PN-B-04481</w:t>
            </w:r>
          </w:p>
        </w:tc>
        <w:tc>
          <w:tcPr>
            <w:tcW w:w="6255" w:type="dxa"/>
            <w:hideMark/>
          </w:tcPr>
          <w:p w14:paraId="402B4E9C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Grunty budowlane. Badania próbek gruntu</w:t>
            </w:r>
          </w:p>
        </w:tc>
      </w:tr>
      <w:tr w:rsidR="00F34A11" w:rsidRPr="00F34A11" w14:paraId="05A488BF" w14:textId="77777777" w:rsidTr="00F34A11">
        <w:tc>
          <w:tcPr>
            <w:tcW w:w="496" w:type="dxa"/>
            <w:hideMark/>
          </w:tcPr>
          <w:p w14:paraId="644DC554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14:paraId="16981C7B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PN-/B-06714-17</w:t>
            </w:r>
          </w:p>
        </w:tc>
        <w:tc>
          <w:tcPr>
            <w:tcW w:w="6255" w:type="dxa"/>
            <w:hideMark/>
          </w:tcPr>
          <w:p w14:paraId="648962EA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Kruszywa mineralne. Badania. Oznaczanie wilgotności</w:t>
            </w:r>
          </w:p>
        </w:tc>
      </w:tr>
      <w:tr w:rsidR="00F34A11" w:rsidRPr="00F34A11" w14:paraId="2563D20C" w14:textId="77777777" w:rsidTr="00F34A11">
        <w:tc>
          <w:tcPr>
            <w:tcW w:w="496" w:type="dxa"/>
            <w:hideMark/>
          </w:tcPr>
          <w:p w14:paraId="141EC3C8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14:paraId="7B499290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BN-64/8931-02</w:t>
            </w:r>
          </w:p>
        </w:tc>
        <w:tc>
          <w:tcPr>
            <w:tcW w:w="6255" w:type="dxa"/>
            <w:hideMark/>
          </w:tcPr>
          <w:p w14:paraId="5088A662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F34A11" w:rsidRPr="00F34A11" w14:paraId="33E921D9" w14:textId="77777777" w:rsidTr="00F34A11">
        <w:tc>
          <w:tcPr>
            <w:tcW w:w="496" w:type="dxa"/>
            <w:hideMark/>
          </w:tcPr>
          <w:p w14:paraId="017DE50A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14:paraId="55C85978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BN-68/8931-04</w:t>
            </w:r>
          </w:p>
        </w:tc>
        <w:tc>
          <w:tcPr>
            <w:tcW w:w="6255" w:type="dxa"/>
            <w:hideMark/>
          </w:tcPr>
          <w:p w14:paraId="021D2A37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Drogi samochodowe. Pomiar równości nawierzchni </w:t>
            </w:r>
            <w:proofErr w:type="spellStart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planografem</w:t>
            </w:r>
            <w:proofErr w:type="spellEnd"/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i łatą</w:t>
            </w:r>
          </w:p>
        </w:tc>
      </w:tr>
      <w:tr w:rsidR="00F34A11" w:rsidRPr="00F34A11" w14:paraId="1F56ACF0" w14:textId="77777777" w:rsidTr="00F34A11">
        <w:tc>
          <w:tcPr>
            <w:tcW w:w="496" w:type="dxa"/>
            <w:hideMark/>
          </w:tcPr>
          <w:p w14:paraId="11C45F93" w14:textId="77777777" w:rsidR="00F34A11" w:rsidRPr="00F34A11" w:rsidRDefault="00F34A11" w:rsidP="00F34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14:paraId="3593376F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BN-77/8931-12</w:t>
            </w:r>
          </w:p>
        </w:tc>
        <w:tc>
          <w:tcPr>
            <w:tcW w:w="6255" w:type="dxa"/>
            <w:hideMark/>
          </w:tcPr>
          <w:p w14:paraId="6BC27D88" w14:textId="77777777" w:rsidR="00F34A11" w:rsidRPr="00F34A11" w:rsidRDefault="00F34A11" w:rsidP="00F34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F34A11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Oznaczanie wskaźnika zagęszczenia gruntu</w:t>
            </w:r>
          </w:p>
        </w:tc>
      </w:tr>
    </w:tbl>
    <w:p w14:paraId="5B3547A1" w14:textId="77777777" w:rsidR="00F34A11" w:rsidRPr="00F34A11" w:rsidRDefault="00F34A11" w:rsidP="00F34A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sectPr w:rsidR="00F34A11" w:rsidRPr="00F3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0F87CF0"/>
    <w:lvl w:ilvl="0">
      <w:numFmt w:val="decimal"/>
      <w:lvlText w:val="*"/>
      <w:lvlJc w:val="left"/>
      <w:pPr>
        <w:ind w:left="0" w:firstLine="0"/>
      </w:pPr>
    </w:lvl>
  </w:abstractNum>
  <w:num w:numId="1" w16cid:durableId="2138257978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11"/>
    <w:rsid w:val="0098674D"/>
    <w:rsid w:val="00F3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3A624"/>
  <w15:chartTrackingRefBased/>
  <w15:docId w15:val="{2BD3284E-FA56-49B6-A1EC-00195B53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F34A1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1646</Words>
  <Characters>9881</Characters>
  <Application>Microsoft Office Word</Application>
  <DocSecurity>0</DocSecurity>
  <Lines>82</Lines>
  <Paragraphs>23</Paragraphs>
  <ScaleCrop>false</ScaleCrop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pkrakowiak</dc:creator>
  <cp:keywords/>
  <dc:description/>
  <cp:lastModifiedBy>ajur</cp:lastModifiedBy>
  <cp:revision>2</cp:revision>
  <cp:lastPrinted>2024-02-20T07:30:00Z</cp:lastPrinted>
  <dcterms:created xsi:type="dcterms:W3CDTF">2021-08-04T08:18:00Z</dcterms:created>
  <dcterms:modified xsi:type="dcterms:W3CDTF">2024-02-20T07:30:00Z</dcterms:modified>
</cp:coreProperties>
</file>