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583" w14:textId="77777777" w:rsidR="00CD2E9B" w:rsidRDefault="00CD2E9B">
      <w:pPr>
        <w:spacing w:after="120" w:line="360" w:lineRule="auto"/>
        <w:jc w:val="both"/>
        <w:rPr>
          <w:rFonts w:ascii="Verdana" w:eastAsia="Times New Roman" w:hAnsi="Verdana" w:cs="Open Sans"/>
          <w:color w:val="000000"/>
          <w:sz w:val="20"/>
          <w:szCs w:val="20"/>
          <w:lang w:eastAsia="pl-PL"/>
        </w:rPr>
      </w:pPr>
    </w:p>
    <w:p w14:paraId="3CB5402C" w14:textId="77777777" w:rsidR="00CD2E9B" w:rsidRDefault="00011D01">
      <w:pPr>
        <w:spacing w:after="120" w:line="360" w:lineRule="auto"/>
        <w:jc w:val="center"/>
        <w:rPr>
          <w:rFonts w:ascii="Verdana" w:eastAsia="Times New Roman" w:hAnsi="Verdana" w:cs="Open Sans"/>
          <w:b/>
          <w:color w:val="000000"/>
          <w:sz w:val="20"/>
          <w:szCs w:val="20"/>
          <w:lang w:eastAsia="pl-PL"/>
        </w:rPr>
      </w:pPr>
      <w:r>
        <w:rPr>
          <w:rFonts w:ascii="Verdana" w:eastAsia="Times New Roman" w:hAnsi="Verdana" w:cs="Open Sans"/>
          <w:b/>
          <w:color w:val="000000"/>
          <w:sz w:val="20"/>
          <w:szCs w:val="20"/>
          <w:lang w:eastAsia="pl-PL"/>
        </w:rPr>
        <w:t>Specyfikacja Warunków Zamówienia</w:t>
      </w:r>
    </w:p>
    <w:p w14:paraId="106BB307" w14:textId="77777777" w:rsidR="00CD2E9B" w:rsidRDefault="00011D01">
      <w:pPr>
        <w:spacing w:after="120" w:line="360" w:lineRule="auto"/>
        <w:jc w:val="center"/>
        <w:rPr>
          <w:rFonts w:ascii="Verdana" w:eastAsia="Times New Roman" w:hAnsi="Verdana" w:cs="Open Sans"/>
          <w:b/>
          <w:color w:val="000000"/>
          <w:sz w:val="20"/>
          <w:szCs w:val="20"/>
          <w:lang w:eastAsia="pl-PL"/>
        </w:rPr>
      </w:pPr>
      <w:r>
        <w:rPr>
          <w:rFonts w:ascii="Verdana" w:eastAsia="Times New Roman" w:hAnsi="Verdana" w:cs="Open Sans"/>
          <w:b/>
          <w:color w:val="000000"/>
          <w:sz w:val="20"/>
          <w:szCs w:val="20"/>
          <w:lang w:eastAsia="pl-PL"/>
        </w:rPr>
        <w:t>Wykonanie systemu zarządzania domami pomocy społecznej (DPS)</w:t>
      </w:r>
      <w:r>
        <w:rPr>
          <w:rFonts w:ascii="Verdana" w:eastAsia="Times New Roman" w:hAnsi="Verdana" w:cs="Open Sans"/>
          <w:b/>
          <w:color w:val="000000"/>
          <w:sz w:val="20"/>
          <w:szCs w:val="20"/>
          <w:lang w:eastAsia="pl-PL"/>
        </w:rPr>
        <w:br/>
        <w:t xml:space="preserve"> w powiecie koszalińskim</w:t>
      </w:r>
    </w:p>
    <w:p w14:paraId="0EBFBB42" w14:textId="77777777" w:rsidR="00CD2E9B" w:rsidRDefault="00011D01">
      <w:pPr>
        <w:spacing w:after="120" w:line="360" w:lineRule="auto"/>
        <w:jc w:val="center"/>
        <w:rPr>
          <w:rFonts w:ascii="Verdana" w:eastAsia="Times New Roman" w:hAnsi="Verdana" w:cs="Open Sans"/>
          <w:b/>
          <w:color w:val="000000"/>
          <w:sz w:val="20"/>
          <w:szCs w:val="20"/>
          <w:lang w:eastAsia="pl-PL"/>
        </w:rPr>
      </w:pPr>
      <w:r>
        <w:rPr>
          <w:rFonts w:ascii="Verdana" w:eastAsia="Times New Roman" w:hAnsi="Verdana" w:cs="Open Sans"/>
          <w:b/>
          <w:color w:val="000000"/>
          <w:sz w:val="20"/>
          <w:szCs w:val="20"/>
          <w:lang w:eastAsia="pl-PL"/>
        </w:rPr>
        <w:t>dialog konkurencyjny</w:t>
      </w:r>
      <w:bookmarkStart w:id="0" w:name="_Hlk82435867"/>
      <w:bookmarkEnd w:id="0"/>
    </w:p>
    <w:p w14:paraId="6C7F90CA" w14:textId="77777777" w:rsidR="00CD2E9B" w:rsidRDefault="00CD2E9B">
      <w:pPr>
        <w:spacing w:after="120" w:line="360" w:lineRule="auto"/>
        <w:jc w:val="both"/>
        <w:rPr>
          <w:rFonts w:ascii="Verdana" w:eastAsia="Times New Roman" w:hAnsi="Verdana" w:cs="Open Sans"/>
          <w:color w:val="000000"/>
          <w:sz w:val="20"/>
          <w:szCs w:val="20"/>
          <w:lang w:eastAsia="pl-PL"/>
        </w:rPr>
      </w:pPr>
    </w:p>
    <w:p w14:paraId="74E28FF6" w14:textId="77777777" w:rsidR="00CD2E9B" w:rsidRDefault="00CD2E9B">
      <w:pPr>
        <w:spacing w:after="120" w:line="360" w:lineRule="auto"/>
        <w:jc w:val="both"/>
        <w:rPr>
          <w:rFonts w:ascii="Verdana" w:eastAsia="Times New Roman" w:hAnsi="Verdana" w:cs="Open Sans"/>
          <w:color w:val="000000"/>
          <w:sz w:val="20"/>
          <w:szCs w:val="20"/>
          <w:lang w:eastAsia="pl-PL"/>
        </w:rPr>
      </w:pPr>
    </w:p>
    <w:p w14:paraId="32B9D6DD" w14:textId="77777777" w:rsidR="00CD2E9B" w:rsidRDefault="00CD2E9B">
      <w:pPr>
        <w:spacing w:after="120" w:line="360" w:lineRule="auto"/>
        <w:jc w:val="both"/>
        <w:rPr>
          <w:rFonts w:ascii="Verdana" w:eastAsia="Times New Roman" w:hAnsi="Verdana" w:cs="Open Sans"/>
          <w:color w:val="000000"/>
          <w:sz w:val="20"/>
          <w:szCs w:val="20"/>
          <w:lang w:eastAsia="pl-PL"/>
        </w:rPr>
      </w:pPr>
    </w:p>
    <w:p w14:paraId="1E74B7ED" w14:textId="77777777" w:rsidR="00CD2E9B" w:rsidRDefault="00011D01">
      <w:pPr>
        <w:spacing w:after="120" w:line="360" w:lineRule="auto"/>
        <w:rPr>
          <w:rFonts w:ascii="Verdana" w:eastAsia="Times New Roman" w:hAnsi="Verdana" w:cs="Open Sans"/>
          <w:color w:val="000000"/>
          <w:sz w:val="20"/>
          <w:szCs w:val="20"/>
          <w:lang w:eastAsia="pl-PL"/>
        </w:rPr>
      </w:pPr>
      <w:r>
        <w:br w:type="page"/>
      </w:r>
    </w:p>
    <w:p w14:paraId="7EC0B831"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bookmarkStart w:id="1" w:name="_Toc74836474"/>
      <w:r>
        <w:rPr>
          <w:rFonts w:ascii="Verdana" w:eastAsia="Times New Roman" w:hAnsi="Verdana" w:cs="Open Sans"/>
          <w:sz w:val="20"/>
          <w:szCs w:val="20"/>
          <w:lang w:eastAsia="pl-PL"/>
        </w:rPr>
        <w:lastRenderedPageBreak/>
        <w:t>Zamawiający</w:t>
      </w:r>
      <w:bookmarkEnd w:id="1"/>
    </w:p>
    <w:p w14:paraId="42671960" w14:textId="77777777" w:rsidR="00CD2E9B" w:rsidRDefault="00011D01">
      <w:pPr>
        <w:spacing w:after="120" w:line="360" w:lineRule="auto"/>
        <w:jc w:val="both"/>
        <w:rPr>
          <w:rFonts w:ascii="Verdana" w:eastAsia="Times New Roman" w:hAnsi="Verdana" w:cs="Open Sans"/>
          <w:b/>
          <w:color w:val="000000"/>
          <w:sz w:val="20"/>
          <w:szCs w:val="20"/>
          <w:lang w:eastAsia="pl-PL"/>
        </w:rPr>
      </w:pPr>
      <w:bookmarkStart w:id="2" w:name="_Hlk82435980"/>
      <w:bookmarkEnd w:id="2"/>
      <w:r>
        <w:rPr>
          <w:rFonts w:ascii="Verdana" w:eastAsia="Times New Roman" w:hAnsi="Verdana" w:cs="Open Sans"/>
          <w:b/>
          <w:color w:val="000000"/>
          <w:sz w:val="20"/>
          <w:szCs w:val="20"/>
          <w:lang w:eastAsia="pl-PL"/>
        </w:rPr>
        <w:t>Powiat Koszaliński</w:t>
      </w:r>
    </w:p>
    <w:p w14:paraId="08454F2C" w14:textId="77777777" w:rsidR="00CD2E9B" w:rsidRDefault="00011D01">
      <w:pPr>
        <w:spacing w:after="120" w:line="360" w:lineRule="auto"/>
        <w:jc w:val="both"/>
        <w:rPr>
          <w:rFonts w:ascii="Verdana" w:eastAsia="Times New Roman" w:hAnsi="Verdana" w:cs="Open Sans"/>
          <w:color w:val="000000"/>
          <w:sz w:val="20"/>
          <w:szCs w:val="20"/>
          <w:lang w:eastAsia="pl-PL"/>
        </w:rPr>
      </w:pPr>
      <w:r>
        <w:rPr>
          <w:rStyle w:val="markedcontent"/>
          <w:rFonts w:ascii="Verdana" w:hAnsi="Verdana" w:cs="Open Sans"/>
          <w:sz w:val="20"/>
          <w:szCs w:val="20"/>
        </w:rPr>
        <w:t>ul. Racławicka 13,75-620 Koszalin Nr NIP: 669 23 87 595 Nr REGON: 330920854</w:t>
      </w:r>
    </w:p>
    <w:p w14:paraId="65FAEF8C" w14:textId="77777777" w:rsidR="00CD2E9B" w:rsidRDefault="00011D01">
      <w:pPr>
        <w:spacing w:after="120" w:line="360" w:lineRule="auto"/>
        <w:jc w:val="both"/>
        <w:rPr>
          <w:rFonts w:ascii="Verdana" w:eastAsia="Times New Roman" w:hAnsi="Verdana" w:cs="Open Sans"/>
          <w:color w:val="000000"/>
          <w:sz w:val="20"/>
          <w:szCs w:val="20"/>
          <w:lang w:eastAsia="pl-PL"/>
        </w:rPr>
      </w:pPr>
      <w:r>
        <w:rPr>
          <w:rFonts w:ascii="Verdana" w:eastAsia="Times New Roman" w:hAnsi="Verdana" w:cs="Open Sans"/>
          <w:color w:val="000000"/>
          <w:sz w:val="20"/>
          <w:szCs w:val="20"/>
          <w:lang w:eastAsia="pl-PL"/>
        </w:rPr>
        <w:t xml:space="preserve">W imieniu i na rzecz Zamawiającego </w:t>
      </w:r>
      <w:r>
        <w:rPr>
          <w:rFonts w:ascii="Verdana" w:eastAsia="Times New Roman" w:hAnsi="Verdana" w:cs="Open Sans"/>
          <w:color w:val="000000"/>
          <w:sz w:val="20"/>
          <w:szCs w:val="20"/>
          <w:u w:val="single"/>
          <w:lang w:eastAsia="pl-PL"/>
        </w:rPr>
        <w:t>postępowanie prowadzi Pełnomocnik Zamawiającego</w:t>
      </w:r>
      <w:r>
        <w:rPr>
          <w:rFonts w:ascii="Verdana" w:eastAsia="Times New Roman" w:hAnsi="Verdana" w:cs="Open Sans"/>
          <w:color w:val="000000"/>
          <w:sz w:val="20"/>
          <w:szCs w:val="20"/>
          <w:lang w:eastAsia="pl-PL"/>
        </w:rPr>
        <w:t xml:space="preserve">: </w:t>
      </w:r>
    </w:p>
    <w:p w14:paraId="66C4C046" w14:textId="77777777" w:rsidR="00CD2E9B" w:rsidRDefault="00011D01">
      <w:pPr>
        <w:spacing w:after="120" w:line="360" w:lineRule="auto"/>
        <w:jc w:val="both"/>
        <w:rPr>
          <w:rFonts w:ascii="Verdana" w:eastAsia="Times New Roman" w:hAnsi="Verdana" w:cs="Open Sans"/>
          <w:color w:val="000000"/>
          <w:sz w:val="20"/>
          <w:szCs w:val="20"/>
          <w:lang w:eastAsia="pl-PL"/>
        </w:rPr>
      </w:pPr>
      <w:r>
        <w:rPr>
          <w:rFonts w:ascii="Verdana" w:eastAsia="Times New Roman" w:hAnsi="Verdana" w:cs="Open Sans"/>
          <w:color w:val="000000"/>
          <w:sz w:val="20"/>
          <w:szCs w:val="20"/>
          <w:lang w:eastAsia="pl-PL"/>
        </w:rPr>
        <w:t>Małgorzata Stachowiak, działająca przy wsparciu Grupy Doradcza Sienna Sp. z o.o.</w:t>
      </w:r>
    </w:p>
    <w:p w14:paraId="25112548" w14:textId="77777777" w:rsidR="00CD2E9B" w:rsidRDefault="00011D01">
      <w:pPr>
        <w:spacing w:after="120" w:line="360" w:lineRule="auto"/>
        <w:jc w:val="both"/>
        <w:rPr>
          <w:rFonts w:ascii="Verdana" w:eastAsia="Times New Roman" w:hAnsi="Verdana" w:cs="Open Sans"/>
          <w:color w:val="000000"/>
          <w:sz w:val="20"/>
          <w:szCs w:val="20"/>
          <w:lang w:eastAsia="pl-PL"/>
        </w:rPr>
      </w:pPr>
      <w:r>
        <w:rPr>
          <w:rFonts w:ascii="Verdana" w:eastAsia="Times New Roman" w:hAnsi="Verdana" w:cs="Open Sans"/>
          <w:color w:val="000000"/>
          <w:sz w:val="20"/>
          <w:szCs w:val="20"/>
          <w:lang w:eastAsia="pl-PL"/>
        </w:rPr>
        <w:t>ul. Bagatela 10 lok. 3, 00-585 Warszawa</w:t>
      </w:r>
    </w:p>
    <w:p w14:paraId="1DD00B8F" w14:textId="77777777" w:rsidR="00CD2E9B" w:rsidRDefault="00011D01">
      <w:pPr>
        <w:spacing w:after="120" w:line="360" w:lineRule="auto"/>
        <w:jc w:val="both"/>
      </w:pPr>
      <w:r>
        <w:rPr>
          <w:rFonts w:ascii="Verdana" w:eastAsia="Times New Roman" w:hAnsi="Verdana" w:cs="Open Sans"/>
          <w:color w:val="000000"/>
          <w:sz w:val="20"/>
          <w:szCs w:val="20"/>
          <w:lang w:eastAsia="pl-PL"/>
        </w:rPr>
        <w:t xml:space="preserve">e-mail: </w:t>
      </w:r>
      <w:hyperlink r:id="rId7">
        <w:r>
          <w:rPr>
            <w:rStyle w:val="czeinternetowe"/>
            <w:rFonts w:ascii="Verdana" w:eastAsia="Times New Roman" w:hAnsi="Verdana" w:cs="Open Sans"/>
            <w:sz w:val="20"/>
            <w:szCs w:val="20"/>
            <w:lang w:eastAsia="pl-PL"/>
          </w:rPr>
          <w:t>grupasienna@grupasienna.pl</w:t>
        </w:r>
      </w:hyperlink>
      <w:r>
        <w:rPr>
          <w:rFonts w:ascii="Verdana" w:eastAsia="Times New Roman" w:hAnsi="Verdana" w:cs="Open Sans"/>
          <w:color w:val="000000"/>
          <w:sz w:val="20"/>
          <w:szCs w:val="20"/>
          <w:lang w:eastAsia="pl-PL"/>
        </w:rPr>
        <w:t>, tel. 022 654 77 41</w:t>
      </w:r>
    </w:p>
    <w:p w14:paraId="51581C9A" w14:textId="77777777" w:rsidR="00CD2E9B" w:rsidRDefault="00011D01">
      <w:pPr>
        <w:spacing w:after="120" w:line="360" w:lineRule="auto"/>
        <w:jc w:val="both"/>
      </w:pPr>
      <w:r>
        <w:rPr>
          <w:rFonts w:ascii="Verdana" w:eastAsia="Times New Roman" w:hAnsi="Verdana" w:cs="Open Sans"/>
          <w:color w:val="000000"/>
          <w:sz w:val="20"/>
          <w:szCs w:val="20"/>
          <w:lang w:eastAsia="pl-PL"/>
        </w:rPr>
        <w:t xml:space="preserve">strona internetowa prowadzonego postępowania: </w:t>
      </w:r>
      <w:hyperlink r:id="rId8">
        <w:r>
          <w:rPr>
            <w:rStyle w:val="czeinternetowe"/>
            <w:rFonts w:ascii="Verdana" w:hAnsi="Verdana" w:cs="Open Sans"/>
            <w:sz w:val="20"/>
            <w:szCs w:val="20"/>
          </w:rPr>
          <w:t>https://platformazakupowa.pl/pn/powiat_koszalin</w:t>
        </w:r>
      </w:hyperlink>
      <w:r>
        <w:rPr>
          <w:rStyle w:val="markedcontent"/>
          <w:rFonts w:ascii="Verdana" w:hAnsi="Verdana" w:cs="Open Sans"/>
          <w:sz w:val="20"/>
          <w:szCs w:val="20"/>
        </w:rPr>
        <w:t xml:space="preserve"> </w:t>
      </w:r>
    </w:p>
    <w:p w14:paraId="3C4E2DDE"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bookmarkStart w:id="3" w:name="_Hlk824359801"/>
      <w:bookmarkStart w:id="4" w:name="_Toc74836475"/>
      <w:bookmarkEnd w:id="3"/>
      <w:r>
        <w:rPr>
          <w:rFonts w:ascii="Verdana" w:eastAsia="Times New Roman" w:hAnsi="Verdana" w:cs="Open Sans"/>
          <w:sz w:val="20"/>
          <w:szCs w:val="20"/>
          <w:lang w:eastAsia="pl-PL"/>
        </w:rPr>
        <w:t>Tryb udzielenia zamówienia;</w:t>
      </w:r>
      <w:bookmarkEnd w:id="4"/>
    </w:p>
    <w:p w14:paraId="1E426309"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color w:val="000000"/>
          <w:sz w:val="20"/>
          <w:szCs w:val="20"/>
        </w:rPr>
        <w:t>Postępowanie prowadzone jest w trybie dialogu konkurencyjnego na podstawie art. 170 w zw. z art. 153 pkt 2 i 4 ustawy z dnia 11 września 2019 r. Prawo zamówień publicznych (dalej „ustawa Pzp”).</w:t>
      </w:r>
    </w:p>
    <w:p w14:paraId="73DE0B63"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color w:val="000000"/>
          <w:sz w:val="20"/>
          <w:szCs w:val="20"/>
        </w:rPr>
        <w:t>Niniejszy dokument stanowi realizację Etapu 4 z harmonogramu określonego w Opisie Potrzeb i Wymagań (dalej „OPiW”).</w:t>
      </w:r>
    </w:p>
    <w:p w14:paraId="2867BADE"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color w:val="000000"/>
          <w:sz w:val="20"/>
          <w:szCs w:val="20"/>
        </w:rPr>
        <w:t xml:space="preserve">Ogłoszenie o zamówieniu zostało opublikowane w Dzienniku Urzędowym UE 22 czerwca 2021 r. pod numerem </w:t>
      </w:r>
      <w:r>
        <w:rPr>
          <w:rFonts w:ascii="Verdana" w:hAnsi="Verdana" w:cs="Open Sans"/>
          <w:sz w:val="20"/>
          <w:szCs w:val="20"/>
        </w:rPr>
        <w:t>2021/S 119-314604.</w:t>
      </w:r>
    </w:p>
    <w:p w14:paraId="2E78B1B0"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sz w:val="20"/>
          <w:szCs w:val="20"/>
        </w:rPr>
        <w:t>Numer postępowania GDS 1/21.</w:t>
      </w:r>
    </w:p>
    <w:p w14:paraId="67457B03"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sz w:val="20"/>
          <w:szCs w:val="20"/>
        </w:rPr>
        <w:t>Zgodnie z art. 185 ustawy Pzp po zakończeniu dialogu sporządza się specyfikację warunków zamówienia.</w:t>
      </w:r>
    </w:p>
    <w:p w14:paraId="6F8D0644"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sz w:val="20"/>
          <w:szCs w:val="20"/>
        </w:rPr>
        <w:t>Nie dopuszcza się składania ofert częściowych.</w:t>
      </w:r>
    </w:p>
    <w:p w14:paraId="1036594A" w14:textId="77777777" w:rsidR="00CD2E9B" w:rsidRDefault="00011D01">
      <w:pPr>
        <w:pStyle w:val="Akapitzlist"/>
        <w:numPr>
          <w:ilvl w:val="0"/>
          <w:numId w:val="2"/>
        </w:numPr>
        <w:spacing w:after="120" w:line="360" w:lineRule="auto"/>
        <w:jc w:val="both"/>
        <w:rPr>
          <w:rFonts w:ascii="Verdana" w:hAnsi="Verdana" w:cs="Open Sans"/>
          <w:sz w:val="20"/>
          <w:szCs w:val="20"/>
        </w:rPr>
      </w:pPr>
      <w:r>
        <w:rPr>
          <w:rFonts w:ascii="Verdana" w:hAnsi="Verdana" w:cs="Open Sans"/>
          <w:sz w:val="20"/>
          <w:szCs w:val="20"/>
        </w:rPr>
        <w:t>Nie przewiduje się udzielenia zamówień podobnych z art. 214 ust. 1 pkt 7) ustawy Pzp.</w:t>
      </w:r>
    </w:p>
    <w:p w14:paraId="100C25A8"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bookmarkStart w:id="5" w:name="_Toc74836476"/>
      <w:r>
        <w:rPr>
          <w:rFonts w:ascii="Verdana" w:eastAsia="Times New Roman" w:hAnsi="Verdana" w:cs="Open Sans"/>
          <w:sz w:val="20"/>
          <w:szCs w:val="20"/>
          <w:lang w:eastAsia="pl-PL"/>
        </w:rPr>
        <w:t>Określenie przedmiotu zamówienia</w:t>
      </w:r>
      <w:bookmarkEnd w:id="5"/>
    </w:p>
    <w:p w14:paraId="3D0D533B" w14:textId="77777777" w:rsidR="00CD2E9B" w:rsidRDefault="00011D01">
      <w:pPr>
        <w:pStyle w:val="Akapitzlist"/>
        <w:numPr>
          <w:ilvl w:val="0"/>
          <w:numId w:val="19"/>
        </w:numPr>
        <w:spacing w:after="120" w:line="360" w:lineRule="auto"/>
        <w:jc w:val="both"/>
        <w:rPr>
          <w:rFonts w:ascii="Verdana" w:hAnsi="Verdana" w:cs="Open Sans"/>
          <w:sz w:val="20"/>
          <w:szCs w:val="20"/>
        </w:rPr>
      </w:pPr>
      <w:r>
        <w:rPr>
          <w:rFonts w:ascii="Verdana" w:hAnsi="Verdana" w:cs="Open Sans"/>
          <w:sz w:val="20"/>
          <w:szCs w:val="20"/>
        </w:rPr>
        <w:t>Przedmiotem zamówienia jest zaprojektowanie, wykonanie, przetestowanie, instalacja i wdrożenie systemu zarządzania domami pomocy społecznej (DPS) w powiecie koszalińskim (dalej „System”) wraz z dostarczeniem, instalacją i wdrożeniem niezbędnego do jego funkcjonowania wyposażania i infrastruktury sieciowej.</w:t>
      </w:r>
    </w:p>
    <w:p w14:paraId="433ED6ED" w14:textId="77777777" w:rsidR="00CD2E9B" w:rsidRDefault="00011D01">
      <w:pPr>
        <w:pStyle w:val="Akapitzlist"/>
        <w:numPr>
          <w:ilvl w:val="0"/>
          <w:numId w:val="19"/>
        </w:numPr>
        <w:spacing w:after="120" w:line="360" w:lineRule="auto"/>
        <w:jc w:val="both"/>
        <w:rPr>
          <w:rFonts w:ascii="Verdana" w:hAnsi="Verdana" w:cs="Open Sans"/>
          <w:sz w:val="20"/>
          <w:szCs w:val="20"/>
        </w:rPr>
      </w:pPr>
      <w:r>
        <w:rPr>
          <w:rFonts w:ascii="Verdana" w:hAnsi="Verdana" w:cs="Open Sans"/>
          <w:sz w:val="20"/>
          <w:szCs w:val="20"/>
        </w:rPr>
        <w:t>Celem budowy Systemu jest poprawa opieki nad mieszkańcami DPS-ów oraz poprawa efektywności zarządzania całością pracy DPS-ów.</w:t>
      </w:r>
    </w:p>
    <w:p w14:paraId="5CC8096E" w14:textId="77777777" w:rsidR="00CD2E9B" w:rsidRDefault="00011D01">
      <w:pPr>
        <w:pStyle w:val="Akapitzlist"/>
        <w:numPr>
          <w:ilvl w:val="0"/>
          <w:numId w:val="19"/>
        </w:numPr>
        <w:spacing w:after="120" w:line="360" w:lineRule="auto"/>
        <w:jc w:val="both"/>
        <w:rPr>
          <w:rFonts w:ascii="Verdana" w:hAnsi="Verdana" w:cs="Open Sans"/>
          <w:sz w:val="20"/>
          <w:szCs w:val="20"/>
        </w:rPr>
      </w:pPr>
      <w:r>
        <w:rPr>
          <w:rFonts w:ascii="Verdana" w:hAnsi="Verdana" w:cs="Open Sans"/>
          <w:sz w:val="20"/>
          <w:szCs w:val="20"/>
        </w:rPr>
        <w:t xml:space="preserve">Dokładny opis wymagań dla Systemu znajduje się w Opisie Przedmiotu Zamówienia zawartym w Załączniku nr 1 do SWZ (dalej jako „OPZ”). </w:t>
      </w:r>
    </w:p>
    <w:p w14:paraId="011E97CF" w14:textId="77777777" w:rsidR="00CD2E9B" w:rsidRDefault="00011D01">
      <w:pPr>
        <w:pStyle w:val="Akapitzlist"/>
        <w:numPr>
          <w:ilvl w:val="0"/>
          <w:numId w:val="19"/>
        </w:numPr>
        <w:spacing w:after="120" w:line="360" w:lineRule="auto"/>
        <w:jc w:val="both"/>
        <w:rPr>
          <w:rFonts w:ascii="Verdana" w:hAnsi="Verdana" w:cs="Open Sans"/>
          <w:sz w:val="20"/>
          <w:szCs w:val="20"/>
        </w:rPr>
      </w:pPr>
      <w:r>
        <w:rPr>
          <w:rFonts w:ascii="Verdana" w:hAnsi="Verdana" w:cs="Open Sans"/>
          <w:sz w:val="20"/>
          <w:szCs w:val="20"/>
        </w:rPr>
        <w:t>OPZ oraz Umowa (załącznik nr 2 do SWZ) zostały opracowane w wyniku dialogu z wykonawcami.</w:t>
      </w:r>
    </w:p>
    <w:p w14:paraId="0DB28152" w14:textId="77777777" w:rsidR="00CD2E9B" w:rsidRDefault="00011D01">
      <w:pPr>
        <w:pStyle w:val="Akapitzlist"/>
        <w:numPr>
          <w:ilvl w:val="0"/>
          <w:numId w:val="19"/>
        </w:numPr>
        <w:spacing w:after="120" w:line="360" w:lineRule="auto"/>
        <w:jc w:val="both"/>
        <w:rPr>
          <w:rFonts w:ascii="Verdana" w:hAnsi="Verdana" w:cs="Open Sans"/>
          <w:bCs/>
          <w:sz w:val="20"/>
          <w:szCs w:val="20"/>
        </w:rPr>
      </w:pPr>
      <w:r>
        <w:rPr>
          <w:rFonts w:ascii="Verdana" w:hAnsi="Verdana" w:cs="Open Sans"/>
          <w:bCs/>
          <w:iCs/>
          <w:sz w:val="20"/>
          <w:szCs w:val="20"/>
        </w:rPr>
        <w:t>W przypadku, gdy w opisie przedmiotu zamówienia zostały zastosowane odniesienia do norm, ocen technicznych, specyfikacji technicznych i systemów referencyjnych, o których mowa w art. 101 ust. 1-3 ustawy Pzp, zamawiający zgodnie z art. 130 ust. 4 ustawy Pzp dopuszcza zastosowanie rozwiązań równoważnych. Każdorazowo gdy wskazana jest w niniejszej SWZ norma, ocena techniczna, specyfikacja techniczna lub system referencji technicznych należy przyjąć, że w odniesieniu do nich użyto sformułowania „lub równoważne”.</w:t>
      </w:r>
    </w:p>
    <w:p w14:paraId="1417E535" w14:textId="77777777" w:rsidR="00CD2E9B" w:rsidRDefault="00011D01">
      <w:pPr>
        <w:pStyle w:val="Akapitzlist"/>
        <w:numPr>
          <w:ilvl w:val="0"/>
          <w:numId w:val="19"/>
        </w:numPr>
        <w:spacing w:after="120" w:line="360" w:lineRule="auto"/>
        <w:jc w:val="both"/>
        <w:rPr>
          <w:rFonts w:ascii="Verdana" w:hAnsi="Verdana" w:cs="Open Sans"/>
          <w:bCs/>
          <w:sz w:val="20"/>
          <w:szCs w:val="20"/>
        </w:rPr>
      </w:pPr>
      <w:r>
        <w:rPr>
          <w:rFonts w:ascii="Verdana" w:hAnsi="Verdana" w:cs="Open Sans"/>
          <w:bCs/>
          <w:iCs/>
          <w:sz w:val="20"/>
          <w:szCs w:val="20"/>
        </w:rPr>
        <w:t xml:space="preserve">Zamawiający przewiduje udzielenia zamówienia w zakresie prawa opcji. </w:t>
      </w:r>
    </w:p>
    <w:p w14:paraId="73C0ECFE" w14:textId="77777777" w:rsidR="00CD2E9B" w:rsidRDefault="00011D01">
      <w:pPr>
        <w:pStyle w:val="Akapitzlist"/>
        <w:numPr>
          <w:ilvl w:val="0"/>
          <w:numId w:val="19"/>
        </w:numPr>
        <w:spacing w:after="120" w:line="360" w:lineRule="auto"/>
        <w:jc w:val="both"/>
        <w:rPr>
          <w:rFonts w:ascii="Verdana" w:hAnsi="Verdana" w:cs="Open Sans"/>
          <w:bCs/>
          <w:sz w:val="20"/>
          <w:szCs w:val="20"/>
        </w:rPr>
      </w:pPr>
      <w:r>
        <w:rPr>
          <w:rFonts w:ascii="Verdana" w:hAnsi="Verdana" w:cs="Open Sans"/>
          <w:bCs/>
          <w:iCs/>
          <w:sz w:val="20"/>
          <w:szCs w:val="20"/>
        </w:rPr>
        <w:t>W Umowie wskazano, że osoby wykonujące konkretne czynności w ramach zamówienia muszą być zatrudnione przez Wykonawcę lub podwykonawcę na umowę o pracę.</w:t>
      </w:r>
    </w:p>
    <w:p w14:paraId="4B50C073"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Termin realizacji</w:t>
      </w:r>
    </w:p>
    <w:p w14:paraId="73F3DADC" w14:textId="77777777" w:rsidR="00CD2E9B" w:rsidRDefault="00011D01">
      <w:pPr>
        <w:pStyle w:val="Akapitzlist"/>
        <w:numPr>
          <w:ilvl w:val="0"/>
          <w:numId w:val="13"/>
        </w:numPr>
        <w:spacing w:after="120" w:line="360" w:lineRule="auto"/>
        <w:jc w:val="both"/>
        <w:rPr>
          <w:rFonts w:ascii="Verdana" w:hAnsi="Verdana" w:cs="Open Sans"/>
          <w:sz w:val="20"/>
          <w:szCs w:val="20"/>
        </w:rPr>
      </w:pPr>
      <w:r>
        <w:rPr>
          <w:rFonts w:ascii="Verdana" w:hAnsi="Verdana" w:cs="Open Sans"/>
          <w:sz w:val="20"/>
          <w:szCs w:val="20"/>
        </w:rPr>
        <w:t xml:space="preserve">Termin realizacji zamówienia wynosi 12 miesięcy od dnia zawarcia umowy, jednak nie później niż do 1 grudnia 2022 r. w zakresie dokonania odbioru Systemu. Harmonogram poszczególnych terminów realizacji będzie opracowany po zawarciu umowy. </w:t>
      </w:r>
    </w:p>
    <w:p w14:paraId="6D201704" w14:textId="77777777" w:rsidR="00CD2E9B" w:rsidRDefault="00011D01">
      <w:pPr>
        <w:pStyle w:val="Akapitzlist"/>
        <w:numPr>
          <w:ilvl w:val="0"/>
          <w:numId w:val="13"/>
        </w:numPr>
        <w:spacing w:after="120" w:line="360" w:lineRule="auto"/>
        <w:jc w:val="both"/>
        <w:rPr>
          <w:rFonts w:ascii="Verdana" w:hAnsi="Verdana" w:cs="Open Sans"/>
          <w:sz w:val="20"/>
          <w:szCs w:val="20"/>
        </w:rPr>
      </w:pPr>
      <w:r>
        <w:rPr>
          <w:rFonts w:ascii="Verdana" w:hAnsi="Verdana" w:cs="Open Sans"/>
          <w:sz w:val="20"/>
          <w:szCs w:val="20"/>
        </w:rPr>
        <w:t>Kody CPV – 72210000 – usługi programowania pakietów oprogramowania, 72710000-0 - Usługi w zakresie lokalnej sieci komputerowej</w:t>
      </w:r>
    </w:p>
    <w:p w14:paraId="031FE047" w14:textId="77777777" w:rsidR="00CD2E9B" w:rsidRDefault="00011D01">
      <w:pPr>
        <w:pStyle w:val="Akapitzlist"/>
        <w:numPr>
          <w:ilvl w:val="0"/>
          <w:numId w:val="13"/>
        </w:numPr>
        <w:spacing w:after="120" w:line="360" w:lineRule="auto"/>
        <w:jc w:val="both"/>
        <w:rPr>
          <w:rFonts w:ascii="Verdana" w:hAnsi="Verdana" w:cs="Open Sans"/>
          <w:sz w:val="20"/>
          <w:szCs w:val="20"/>
        </w:rPr>
      </w:pPr>
      <w:r>
        <w:rPr>
          <w:rFonts w:ascii="Verdana" w:hAnsi="Verdana" w:cs="Open Sans"/>
          <w:sz w:val="20"/>
          <w:szCs w:val="20"/>
        </w:rPr>
        <w:t>Zamówienie nie zostało podzielone na części ze względu na kompleksowy charakter rozwiązania oczekiwanego od wykonawców.</w:t>
      </w:r>
    </w:p>
    <w:p w14:paraId="78EBC5F4"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 xml:space="preserve">Środki Zamawiającego na sfinansowanie zamówienia </w:t>
      </w:r>
    </w:p>
    <w:p w14:paraId="08160A65" w14:textId="7CC6EF6D" w:rsidR="00CD2E9B" w:rsidRDefault="00011D01">
      <w:pPr>
        <w:pStyle w:val="Akapitzlist"/>
        <w:numPr>
          <w:ilvl w:val="0"/>
          <w:numId w:val="20"/>
        </w:numPr>
        <w:spacing w:after="120" w:line="360" w:lineRule="auto"/>
        <w:jc w:val="both"/>
        <w:rPr>
          <w:rFonts w:ascii="Verdana" w:hAnsi="Verdana" w:cs="Open Sans"/>
          <w:sz w:val="20"/>
          <w:szCs w:val="20"/>
        </w:rPr>
      </w:pPr>
      <w:r>
        <w:rPr>
          <w:rFonts w:ascii="Verdana" w:hAnsi="Verdana" w:cs="Open Sans"/>
          <w:sz w:val="20"/>
          <w:szCs w:val="20"/>
        </w:rPr>
        <w:t xml:space="preserve">Zamawiający działając zgodnie z art. 222 ust. 4 ustawy Pzp wskazuje, że na zamówienie podstawowe (bez zamówienia w zakresie prawa opcji) posiada środki finansowe w kwocie </w:t>
      </w:r>
      <w:r w:rsidR="00C15030" w:rsidRPr="00490A2B">
        <w:rPr>
          <w:rFonts w:ascii="Verdana" w:hAnsi="Verdana" w:cs="Open Sans"/>
          <w:b/>
          <w:bCs/>
          <w:sz w:val="20"/>
          <w:szCs w:val="20"/>
        </w:rPr>
        <w:t>2 300 000,00 PLN brutto</w:t>
      </w:r>
      <w:r w:rsidR="00C15030">
        <w:rPr>
          <w:rFonts w:ascii="Verdana" w:hAnsi="Verdana" w:cs="Open Sans"/>
          <w:sz w:val="20"/>
          <w:szCs w:val="20"/>
        </w:rPr>
        <w:t>.</w:t>
      </w:r>
    </w:p>
    <w:p w14:paraId="50998CB2" w14:textId="41C4E203" w:rsidR="00CD2E9B" w:rsidRDefault="00011D01">
      <w:pPr>
        <w:pStyle w:val="Akapitzlist"/>
        <w:numPr>
          <w:ilvl w:val="0"/>
          <w:numId w:val="20"/>
        </w:numPr>
        <w:spacing w:after="120" w:line="360" w:lineRule="auto"/>
        <w:jc w:val="both"/>
        <w:rPr>
          <w:rFonts w:ascii="Verdana" w:hAnsi="Verdana" w:cs="Open Sans"/>
          <w:sz w:val="20"/>
          <w:szCs w:val="20"/>
        </w:rPr>
      </w:pPr>
      <w:r>
        <w:rPr>
          <w:rFonts w:ascii="Verdana" w:hAnsi="Verdana" w:cs="Open Sans"/>
          <w:bCs/>
          <w:iCs/>
          <w:sz w:val="20"/>
          <w:szCs w:val="20"/>
        </w:rPr>
        <w:t xml:space="preserve">Maksymalna wartość opcji </w:t>
      </w:r>
      <w:r w:rsidRPr="00490A2B">
        <w:rPr>
          <w:rFonts w:ascii="Verdana" w:hAnsi="Verdana" w:cs="Open Sans"/>
          <w:b/>
          <w:iCs/>
          <w:sz w:val="20"/>
          <w:szCs w:val="20"/>
        </w:rPr>
        <w:t xml:space="preserve">nie przekroczy </w:t>
      </w:r>
      <w:r w:rsidR="00C15030" w:rsidRPr="00490A2B">
        <w:rPr>
          <w:rFonts w:ascii="Verdana" w:hAnsi="Verdana" w:cs="Open Sans"/>
          <w:b/>
          <w:iCs/>
          <w:sz w:val="20"/>
          <w:szCs w:val="20"/>
        </w:rPr>
        <w:t>4</w:t>
      </w:r>
      <w:r w:rsidR="000328C5">
        <w:rPr>
          <w:rFonts w:ascii="Verdana" w:hAnsi="Verdana" w:cs="Open Sans"/>
          <w:b/>
          <w:iCs/>
          <w:sz w:val="20"/>
          <w:szCs w:val="20"/>
        </w:rPr>
        <w:t>5</w:t>
      </w:r>
      <w:r w:rsidRPr="00490A2B">
        <w:rPr>
          <w:rFonts w:ascii="Verdana" w:hAnsi="Verdana" w:cs="Open Sans"/>
          <w:b/>
          <w:iCs/>
          <w:sz w:val="20"/>
          <w:szCs w:val="20"/>
        </w:rPr>
        <w:t>% wynagrodzenia brutto</w:t>
      </w:r>
      <w:r w:rsidR="00490A2B" w:rsidRPr="00490A2B">
        <w:rPr>
          <w:rFonts w:ascii="Verdana" w:hAnsi="Verdana" w:cs="Open Sans"/>
          <w:b/>
          <w:iCs/>
          <w:sz w:val="20"/>
          <w:szCs w:val="20"/>
        </w:rPr>
        <w:t xml:space="preserve"> za zamówienie podstawowe</w:t>
      </w:r>
      <w:r w:rsidR="00C15030" w:rsidRPr="00490A2B">
        <w:rPr>
          <w:rFonts w:ascii="Verdana" w:hAnsi="Verdana" w:cs="Open Sans"/>
          <w:b/>
          <w:iCs/>
          <w:sz w:val="20"/>
          <w:szCs w:val="20"/>
        </w:rPr>
        <w:t xml:space="preserve"> – </w:t>
      </w:r>
      <w:r w:rsidR="000328C5">
        <w:rPr>
          <w:rFonts w:ascii="Verdana" w:hAnsi="Verdana" w:cs="Open Sans"/>
          <w:b/>
          <w:iCs/>
          <w:sz w:val="20"/>
          <w:szCs w:val="20"/>
        </w:rPr>
        <w:t>1 035</w:t>
      </w:r>
      <w:r w:rsidR="00C15030" w:rsidRPr="00490A2B">
        <w:rPr>
          <w:rFonts w:ascii="Verdana" w:hAnsi="Verdana" w:cs="Open Sans"/>
          <w:b/>
          <w:iCs/>
          <w:sz w:val="20"/>
          <w:szCs w:val="20"/>
        </w:rPr>
        <w:t> 000,00 PLN</w:t>
      </w:r>
    </w:p>
    <w:p w14:paraId="2DB777DC" w14:textId="77777777" w:rsidR="00CD2E9B" w:rsidRPr="00C660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r w:rsidRPr="00C6609B">
        <w:rPr>
          <w:rFonts w:ascii="Verdana" w:eastAsia="Times New Roman" w:hAnsi="Verdana" w:cs="Open Sans"/>
          <w:sz w:val="20"/>
          <w:szCs w:val="20"/>
          <w:lang w:eastAsia="pl-PL"/>
        </w:rPr>
        <w:t>Wizja lokalna</w:t>
      </w:r>
    </w:p>
    <w:p w14:paraId="727DFBAD" w14:textId="77777777" w:rsidR="00CD2E9B" w:rsidRPr="00C6609B" w:rsidRDefault="00011D01">
      <w:pPr>
        <w:pStyle w:val="Akapitzlist"/>
        <w:numPr>
          <w:ilvl w:val="0"/>
          <w:numId w:val="17"/>
        </w:numPr>
        <w:spacing w:after="120" w:line="360" w:lineRule="auto"/>
        <w:jc w:val="both"/>
        <w:rPr>
          <w:rFonts w:ascii="Verdana" w:hAnsi="Verdana" w:cs="Open Sans"/>
          <w:sz w:val="20"/>
          <w:szCs w:val="20"/>
        </w:rPr>
      </w:pPr>
      <w:r w:rsidRPr="00C6609B">
        <w:rPr>
          <w:rFonts w:ascii="Verdana" w:hAnsi="Verdana" w:cs="Open Sans"/>
          <w:color w:val="000000"/>
          <w:sz w:val="20"/>
          <w:szCs w:val="20"/>
        </w:rPr>
        <w:t>Zamawiający umożliwia przeprowadzenia wizji lokalnej w każdym z 4 DPS (Wizja nie jest obowiązkowa) w celu ustalenia stanu budynków, w których zostanie założona sieć wifi.</w:t>
      </w:r>
    </w:p>
    <w:p w14:paraId="662D03FF" w14:textId="77777777" w:rsidR="00CD2E9B" w:rsidRPr="00C6609B" w:rsidRDefault="00011D01">
      <w:pPr>
        <w:pStyle w:val="Akapitzlist"/>
        <w:numPr>
          <w:ilvl w:val="0"/>
          <w:numId w:val="17"/>
        </w:numPr>
        <w:spacing w:after="120" w:line="360" w:lineRule="auto"/>
        <w:jc w:val="both"/>
        <w:rPr>
          <w:rFonts w:ascii="Verdana" w:hAnsi="Verdana" w:cs="Open Sans"/>
          <w:sz w:val="20"/>
          <w:szCs w:val="20"/>
        </w:rPr>
      </w:pPr>
      <w:r w:rsidRPr="00C6609B">
        <w:rPr>
          <w:rFonts w:ascii="Verdana" w:hAnsi="Verdana" w:cs="Open Sans"/>
          <w:sz w:val="20"/>
          <w:szCs w:val="20"/>
        </w:rPr>
        <w:t>Dokonanie wizji możliwe jest jedynie po uprzednim ustaleniu terminu.</w:t>
      </w:r>
    </w:p>
    <w:p w14:paraId="67FF3A0E" w14:textId="77777777" w:rsidR="00CD2E9B" w:rsidRPr="00C6609B" w:rsidRDefault="00011D01">
      <w:pPr>
        <w:pStyle w:val="Akapitzlist"/>
        <w:numPr>
          <w:ilvl w:val="0"/>
          <w:numId w:val="17"/>
        </w:numPr>
        <w:spacing w:after="120" w:line="360" w:lineRule="auto"/>
        <w:jc w:val="both"/>
        <w:rPr>
          <w:rFonts w:ascii="Verdana" w:hAnsi="Verdana" w:cs="Open Sans"/>
          <w:sz w:val="20"/>
          <w:szCs w:val="20"/>
        </w:rPr>
      </w:pPr>
      <w:r w:rsidRPr="00C6609B">
        <w:rPr>
          <w:rFonts w:ascii="Verdana" w:hAnsi="Verdana" w:cs="Open Sans"/>
          <w:sz w:val="20"/>
          <w:szCs w:val="20"/>
        </w:rPr>
        <w:t xml:space="preserve">Wniosek o umożliwienie dokonania wizji składa się poprzez platformę, na której prowadzone jest postępowanie. </w:t>
      </w:r>
    </w:p>
    <w:p w14:paraId="456324EB" w14:textId="77777777" w:rsidR="00CD2E9B" w:rsidRDefault="00011D01">
      <w:pPr>
        <w:pStyle w:val="Nagwek1"/>
        <w:numPr>
          <w:ilvl w:val="0"/>
          <w:numId w:val="1"/>
        </w:numPr>
        <w:spacing w:before="0" w:after="120" w:line="360" w:lineRule="auto"/>
        <w:jc w:val="both"/>
        <w:rPr>
          <w:rFonts w:ascii="Verdana" w:eastAsia="Times New Roman" w:hAnsi="Verdana" w:cs="Open Sans"/>
          <w:sz w:val="20"/>
          <w:szCs w:val="20"/>
          <w:lang w:eastAsia="pl-PL"/>
        </w:rPr>
      </w:pPr>
      <w:bookmarkStart w:id="6" w:name="_Toc74836477"/>
      <w:r>
        <w:rPr>
          <w:rFonts w:ascii="Verdana" w:eastAsia="Times New Roman" w:hAnsi="Verdana" w:cs="Open Sans"/>
          <w:sz w:val="20"/>
          <w:szCs w:val="20"/>
          <w:lang w:eastAsia="pl-PL"/>
        </w:rPr>
        <w:t>Kwalifikacja podmiotowa Wykonawców</w:t>
      </w:r>
      <w:bookmarkEnd w:id="6"/>
      <w:r>
        <w:rPr>
          <w:rFonts w:ascii="Verdana" w:eastAsia="Times New Roman" w:hAnsi="Verdana" w:cs="Open Sans"/>
          <w:sz w:val="20"/>
          <w:szCs w:val="20"/>
          <w:lang w:eastAsia="pl-PL"/>
        </w:rPr>
        <w:t xml:space="preserve"> oraz wykaz dokumentów i oświadczeń.</w:t>
      </w:r>
    </w:p>
    <w:p w14:paraId="078C328D" w14:textId="77777777" w:rsidR="00CD2E9B" w:rsidRDefault="00011D01">
      <w:pPr>
        <w:pStyle w:val="Akapitzlist"/>
        <w:numPr>
          <w:ilvl w:val="0"/>
          <w:numId w:val="14"/>
        </w:numPr>
        <w:spacing w:after="120" w:line="360" w:lineRule="auto"/>
        <w:jc w:val="both"/>
        <w:rPr>
          <w:rFonts w:ascii="Verdana" w:hAnsi="Verdana" w:cs="Open Sans"/>
          <w:sz w:val="20"/>
          <w:szCs w:val="20"/>
        </w:rPr>
      </w:pPr>
      <w:r>
        <w:rPr>
          <w:rFonts w:ascii="Verdana" w:hAnsi="Verdana" w:cs="Open Sans"/>
          <w:sz w:val="20"/>
          <w:szCs w:val="20"/>
        </w:rPr>
        <w:t xml:space="preserve">Warunki udziału w postępowaniu oraz kryteria selekcji zostały określone w OPiW. Zamawiający weryfikował kwalifikację podmiotową wykonawców, którzy złożyli wnioski o dopuszczenie do udziału w postępowaniu przed zaproszeniem do dialogu, w oparciu o art. 126 ust. 2 ustawy Pzp. Weryfikacja objęła wszystkich wykonawców, którzy złożyli wniosek o dopuszczenie od udziału w postępowaniu. </w:t>
      </w:r>
    </w:p>
    <w:p w14:paraId="287C0345" w14:textId="77777777" w:rsidR="00CD2E9B" w:rsidRDefault="00011D01">
      <w:pPr>
        <w:pStyle w:val="Akapitzlist"/>
        <w:numPr>
          <w:ilvl w:val="0"/>
          <w:numId w:val="14"/>
        </w:numPr>
        <w:spacing w:after="120" w:line="360" w:lineRule="auto"/>
        <w:jc w:val="both"/>
        <w:rPr>
          <w:rFonts w:ascii="Verdana" w:hAnsi="Verdana" w:cs="Open Sans"/>
          <w:sz w:val="20"/>
          <w:szCs w:val="20"/>
        </w:rPr>
      </w:pPr>
      <w:r>
        <w:rPr>
          <w:rFonts w:ascii="Verdana" w:hAnsi="Verdana" w:cs="Open Sans"/>
          <w:sz w:val="20"/>
          <w:szCs w:val="20"/>
        </w:rPr>
        <w:t>Na etapie po złożeniu ofert Zamawiający weryfikacja podmiotowa w oparciu o art. 126 ust. 1 ustawy Pzp będzie dotyczyła aktualizacji i potwierdzenia uprzednio złożonych dokumentów i oświadczeń.</w:t>
      </w:r>
    </w:p>
    <w:p w14:paraId="389642D0" w14:textId="77777777" w:rsidR="00CD2E9B" w:rsidRDefault="00011D01">
      <w:pPr>
        <w:pStyle w:val="Akapitzlist"/>
        <w:numPr>
          <w:ilvl w:val="0"/>
          <w:numId w:val="14"/>
        </w:numPr>
        <w:spacing w:after="120" w:line="360" w:lineRule="auto"/>
        <w:jc w:val="both"/>
        <w:rPr>
          <w:rFonts w:ascii="Verdana" w:hAnsi="Verdana" w:cs="Open Sans"/>
          <w:sz w:val="20"/>
          <w:szCs w:val="20"/>
        </w:rPr>
      </w:pPr>
      <w:r>
        <w:rPr>
          <w:rFonts w:ascii="Verdana" w:hAnsi="Verdana" w:cs="Open Sans"/>
          <w:sz w:val="20"/>
          <w:szCs w:val="20"/>
        </w:rPr>
        <w:t xml:space="preserve">Wykaz oświadczeń lub dokumentów, jakie mają dostarczyć wykonawcy na potwierdzenie spełniania warunków udziału w postępowaniu oraz potwierdzających, że wykonawca nie podlega wykluczeniu z postępowania zostały określone w „Opisie Potrzeb i Wymagań (część I)” opublikowanych wraz z ogłoszeniem o zamówieniu. </w:t>
      </w:r>
    </w:p>
    <w:p w14:paraId="778DE9BF" w14:textId="77777777" w:rsidR="00CD2E9B" w:rsidRDefault="00011D01">
      <w:pPr>
        <w:pStyle w:val="Akapitzlist"/>
        <w:numPr>
          <w:ilvl w:val="0"/>
          <w:numId w:val="14"/>
        </w:numPr>
        <w:spacing w:after="120" w:line="360" w:lineRule="auto"/>
        <w:jc w:val="both"/>
        <w:rPr>
          <w:rFonts w:ascii="Verdana" w:hAnsi="Verdana" w:cs="Open Sans"/>
          <w:sz w:val="20"/>
          <w:szCs w:val="20"/>
        </w:rPr>
      </w:pPr>
      <w:r>
        <w:rPr>
          <w:rFonts w:ascii="Verdana" w:hAnsi="Verdana" w:cs="Open Sans"/>
          <w:sz w:val="20"/>
          <w:szCs w:val="20"/>
        </w:rPr>
        <w:t>W zakresie kwalifikacji podmiotowej oraz dokumentów i oświadczeń stosuje się odpowiednio Rozdziały IV – VII OPiW. Zamawiający przywołuje wskazany fragment OPiW.</w:t>
      </w:r>
    </w:p>
    <w:tbl>
      <w:tblPr>
        <w:tblStyle w:val="Tabela-Siatka"/>
        <w:tblW w:w="9062" w:type="dxa"/>
        <w:tblLook w:val="04A0" w:firstRow="1" w:lastRow="0" w:firstColumn="1" w:lastColumn="0" w:noHBand="0" w:noVBand="1"/>
      </w:tblPr>
      <w:tblGrid>
        <w:gridCol w:w="9062"/>
      </w:tblGrid>
      <w:tr w:rsidR="00CD2E9B" w14:paraId="4435A244" w14:textId="77777777">
        <w:tc>
          <w:tcPr>
            <w:tcW w:w="9062" w:type="dxa"/>
            <w:shd w:val="clear" w:color="auto" w:fill="auto"/>
          </w:tcPr>
          <w:p w14:paraId="1A4D2978" w14:textId="77777777" w:rsidR="00CD2E9B" w:rsidRDefault="00CD2E9B">
            <w:pPr>
              <w:spacing w:after="120" w:line="360" w:lineRule="auto"/>
              <w:jc w:val="both"/>
              <w:rPr>
                <w:rFonts w:ascii="Verdana" w:hAnsi="Verdana" w:cs="Open Sans"/>
                <w:sz w:val="20"/>
                <w:szCs w:val="20"/>
              </w:rPr>
            </w:pPr>
          </w:p>
          <w:p w14:paraId="1D3C956C" w14:textId="77777777" w:rsidR="00CD2E9B" w:rsidRDefault="00011D01">
            <w:pPr>
              <w:pStyle w:val="Nagwek1"/>
              <w:numPr>
                <w:ilvl w:val="0"/>
                <w:numId w:val="21"/>
              </w:numPr>
              <w:spacing w:before="120" w:line="312" w:lineRule="auto"/>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Kwalifikacja podmiotowa Wykonawców</w:t>
            </w:r>
          </w:p>
          <w:p w14:paraId="383D05E2" w14:textId="77777777" w:rsidR="00CD2E9B" w:rsidRDefault="00011D01">
            <w:pPr>
              <w:pStyle w:val="Akapitzlist"/>
              <w:numPr>
                <w:ilvl w:val="0"/>
                <w:numId w:val="3"/>
              </w:numPr>
              <w:spacing w:after="120" w:line="360" w:lineRule="auto"/>
              <w:jc w:val="both"/>
              <w:rPr>
                <w:rFonts w:ascii="Verdana" w:hAnsi="Verdana" w:cs="Open Sans"/>
                <w:sz w:val="20"/>
                <w:szCs w:val="20"/>
              </w:rPr>
            </w:pPr>
            <w:r>
              <w:rPr>
                <w:rFonts w:ascii="Verdana" w:hAnsi="Verdana" w:cs="Open Sans"/>
                <w:sz w:val="20"/>
                <w:szCs w:val="20"/>
              </w:rPr>
              <w:t>O udzielenie zamówienia mogą ubiegać się wykonawcy, którzy nie podlegają wykluczeniu z postępowania oraz spełniają warunki udziału w postępowaniu.</w:t>
            </w:r>
          </w:p>
          <w:p w14:paraId="18178B0B" w14:textId="77777777" w:rsidR="00CD2E9B" w:rsidRDefault="00011D01">
            <w:pPr>
              <w:pStyle w:val="Akapitzlist"/>
              <w:numPr>
                <w:ilvl w:val="0"/>
                <w:numId w:val="3"/>
              </w:numPr>
              <w:spacing w:after="120" w:line="360" w:lineRule="auto"/>
              <w:jc w:val="both"/>
              <w:rPr>
                <w:rFonts w:ascii="Verdana" w:hAnsi="Verdana" w:cs="Open Sans"/>
                <w:sz w:val="20"/>
                <w:szCs w:val="20"/>
              </w:rPr>
            </w:pPr>
            <w:r>
              <w:rPr>
                <w:rFonts w:ascii="Verdana" w:hAnsi="Verdana" w:cs="Open Sans"/>
                <w:sz w:val="20"/>
                <w:szCs w:val="20"/>
              </w:rPr>
              <w:t>Wykluczeniu z postępowania podlega wykonawca wobec którego zachodzą okoliczności określone w art. 108 ust. 1 ustawy Pzp oraz art. 109 ust. 1 pkt 1, 4, 8 i 10.</w:t>
            </w:r>
          </w:p>
          <w:p w14:paraId="5A3DD39A" w14:textId="77777777" w:rsidR="00CD2E9B" w:rsidRDefault="00011D01">
            <w:pPr>
              <w:pStyle w:val="Akapitzlist"/>
              <w:numPr>
                <w:ilvl w:val="0"/>
                <w:numId w:val="3"/>
              </w:numPr>
              <w:spacing w:after="120" w:line="360" w:lineRule="auto"/>
              <w:jc w:val="both"/>
              <w:rPr>
                <w:rFonts w:ascii="Verdana" w:hAnsi="Verdana" w:cs="Open Sans"/>
                <w:sz w:val="20"/>
                <w:szCs w:val="20"/>
              </w:rPr>
            </w:pPr>
            <w:r>
              <w:rPr>
                <w:rFonts w:ascii="Verdana" w:hAnsi="Verdana" w:cs="Open Sans"/>
                <w:sz w:val="20"/>
                <w:szCs w:val="20"/>
              </w:rPr>
              <w:t>Zamawiający stosuje warunek udziału w postępowaniu dot. zdolności do występowania w obrocie gospodarczym; Wykonawca prowadzący działalność gospodarczą powinien być wpisany do rejestru działalności gospodarczej prowadzonego w kraju, w którym wykonawca ma siedzibę.</w:t>
            </w:r>
          </w:p>
          <w:p w14:paraId="10EB940A" w14:textId="77777777" w:rsidR="00CD2E9B" w:rsidRDefault="00011D01">
            <w:pPr>
              <w:pStyle w:val="Akapitzlist"/>
              <w:numPr>
                <w:ilvl w:val="0"/>
                <w:numId w:val="3"/>
              </w:numPr>
              <w:spacing w:after="120" w:line="360" w:lineRule="auto"/>
              <w:jc w:val="both"/>
              <w:rPr>
                <w:rFonts w:ascii="Verdana" w:hAnsi="Verdana" w:cs="Open Sans"/>
                <w:sz w:val="20"/>
                <w:szCs w:val="20"/>
              </w:rPr>
            </w:pPr>
            <w:r>
              <w:rPr>
                <w:rFonts w:ascii="Verdana" w:hAnsi="Verdana" w:cs="Open Sans"/>
                <w:sz w:val="20"/>
                <w:szCs w:val="20"/>
              </w:rPr>
              <w:t>Zamawiający stosuje warunek udziału w postępowaniu dot. sytuacji ekonomicznej i finansowej; Wykonawca wykaże, że posiada środki finansowe lub zdolność kredytową w wysokości nie niższej niż 1 000 000 PLN;</w:t>
            </w:r>
          </w:p>
          <w:p w14:paraId="389AF5FC" w14:textId="77777777" w:rsidR="00CD2E9B" w:rsidRDefault="00011D01">
            <w:pPr>
              <w:pStyle w:val="Akapitzlist"/>
              <w:numPr>
                <w:ilvl w:val="0"/>
                <w:numId w:val="3"/>
              </w:numPr>
              <w:spacing w:after="120" w:line="360" w:lineRule="auto"/>
              <w:jc w:val="both"/>
              <w:rPr>
                <w:rFonts w:ascii="Verdana" w:hAnsi="Verdana" w:cs="Open Sans"/>
                <w:sz w:val="20"/>
                <w:szCs w:val="20"/>
              </w:rPr>
            </w:pPr>
            <w:r>
              <w:rPr>
                <w:rFonts w:ascii="Verdana" w:hAnsi="Verdana" w:cs="Open Sans"/>
                <w:sz w:val="20"/>
                <w:szCs w:val="20"/>
              </w:rPr>
              <w:t>Zamawiający stosuje warunek udziału w postępowaniu dot. zdolności technicznej lub zawodowej; Wykonawca wykaże, że:</w:t>
            </w:r>
          </w:p>
          <w:p w14:paraId="2BDBA0C9" w14:textId="77777777" w:rsidR="00CD2E9B" w:rsidRDefault="00011D01">
            <w:pPr>
              <w:pStyle w:val="Akapitzlist"/>
              <w:numPr>
                <w:ilvl w:val="1"/>
                <w:numId w:val="3"/>
              </w:numPr>
              <w:spacing w:after="120" w:line="360" w:lineRule="auto"/>
              <w:jc w:val="both"/>
              <w:rPr>
                <w:rFonts w:ascii="Verdana" w:hAnsi="Verdana" w:cs="Open Sans"/>
                <w:sz w:val="20"/>
                <w:szCs w:val="20"/>
              </w:rPr>
            </w:pPr>
            <w:r>
              <w:rPr>
                <w:rFonts w:ascii="Verdana" w:hAnsi="Verdana" w:cs="Open Sans"/>
                <w:sz w:val="20"/>
                <w:szCs w:val="20"/>
              </w:rPr>
              <w:t>w okresie ostatnich 3 lat przed terminem składania wniosków o dopuszczenie do udziału (a jeśli okres prowadzenia działalności jest krótszy to w tym okresie) wykonał co najmniej:</w:t>
            </w:r>
          </w:p>
          <w:p w14:paraId="23B40980"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sz w:val="20"/>
                <w:szCs w:val="20"/>
              </w:rPr>
              <w:t>jedno zamówienie polegające na zaprojektowaniu, wykonaniu i wdrożeniu systemu informatycznego, z którego jednocześnie korzystało 100 użytkowników końcowych;</w:t>
            </w:r>
          </w:p>
          <w:p w14:paraId="4CDD3C1B"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sz w:val="20"/>
                <w:szCs w:val="20"/>
              </w:rPr>
              <w:t>jedno zamówienie polegające na zaprojektowaniu, wykonaniu i wdrożeniu systemu informatycznego obsługującego procesy, gdzie gromadzone i przetwarzane były dane lub dokumenty dotyczące co najmniej 1000 osób;</w:t>
            </w:r>
          </w:p>
          <w:p w14:paraId="5E57B205"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sz w:val="20"/>
                <w:szCs w:val="20"/>
              </w:rPr>
              <w:t>W przypadku gdy jeden system dostarczony przez wykonawcę spełnia wymagania zarówno określone w pkt 5.1.1., jak i 5.1.2. zamawiający uzna oba warunki za spełnione.</w:t>
            </w:r>
          </w:p>
          <w:p w14:paraId="65555E54" w14:textId="77777777" w:rsidR="00CD2E9B" w:rsidRDefault="00011D01">
            <w:pPr>
              <w:pStyle w:val="Akapitzlist"/>
              <w:numPr>
                <w:ilvl w:val="1"/>
                <w:numId w:val="3"/>
              </w:numPr>
              <w:spacing w:after="120" w:line="360" w:lineRule="auto"/>
              <w:jc w:val="both"/>
              <w:rPr>
                <w:rFonts w:ascii="Verdana" w:hAnsi="Verdana" w:cs="Open Sans"/>
                <w:sz w:val="20"/>
                <w:szCs w:val="20"/>
              </w:rPr>
            </w:pPr>
            <w:r>
              <w:rPr>
                <w:rFonts w:ascii="Verdana" w:hAnsi="Verdana" w:cs="Open Sans"/>
                <w:sz w:val="20"/>
                <w:szCs w:val="20"/>
              </w:rPr>
              <w:t xml:space="preserve"> Skieruje do wykonania zamówienia zespół osób o następujących kwalifikacjach:</w:t>
            </w:r>
          </w:p>
          <w:p w14:paraId="1710A7AA"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b/>
                <w:sz w:val="20"/>
                <w:szCs w:val="20"/>
              </w:rPr>
              <w:t>Kierownik projektu</w:t>
            </w:r>
            <w:r>
              <w:rPr>
                <w:rFonts w:ascii="Verdana" w:hAnsi="Verdana" w:cs="Open Sans"/>
                <w:sz w:val="20"/>
                <w:szCs w:val="20"/>
              </w:rPr>
              <w:t xml:space="preserve"> – osoba, która pełniła funkcję kierownika projektu w co najmniej 2 projektach dot. wykonania systemu IT przez okres nie krótszy niż dziesięć miesięcy w każdym z nich, przy czym:</w:t>
            </w:r>
          </w:p>
          <w:p w14:paraId="74FCF4DA"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co najmniej jeden system był przeznaczony dla co najmniej 100 użytkowników końcowych;</w:t>
            </w:r>
          </w:p>
          <w:p w14:paraId="274A5611"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co najmniej jeden system służył obsłudze usług społecznych lub usług w ochronie zdrowia; Przez usługi społeczne należy rozumieć usługi medyczne, opiekuńcze, wsparcie niepełnosprawnych, wsparcie socjalne;</w:t>
            </w:r>
          </w:p>
          <w:p w14:paraId="69D4A237"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co najmniej jeden z projektów był zarządzany zgodnie z metodyką Prince2Agile lub inną hybrydową.</w:t>
            </w:r>
          </w:p>
          <w:p w14:paraId="1D60023B" w14:textId="77777777" w:rsidR="00CD2E9B" w:rsidRDefault="00011D01">
            <w:pPr>
              <w:spacing w:after="120" w:line="360" w:lineRule="auto"/>
              <w:ind w:left="1080"/>
              <w:jc w:val="both"/>
              <w:rPr>
                <w:rFonts w:ascii="Verdana" w:hAnsi="Verdana" w:cs="Open Sans"/>
                <w:sz w:val="20"/>
                <w:szCs w:val="20"/>
              </w:rPr>
            </w:pPr>
            <w:r>
              <w:rPr>
                <w:rFonts w:ascii="Verdana" w:hAnsi="Verdana" w:cs="Open Sans"/>
                <w:sz w:val="20"/>
                <w:szCs w:val="20"/>
              </w:rPr>
              <w:t>- wymagany jest udział w fazie projektowania, budowy i wdrożenia systemu w wykazanych projektach łącznie.</w:t>
            </w:r>
          </w:p>
          <w:p w14:paraId="07425AA4"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b/>
                <w:sz w:val="20"/>
                <w:szCs w:val="20"/>
              </w:rPr>
              <w:t>Główny architekt</w:t>
            </w:r>
            <w:r>
              <w:rPr>
                <w:rFonts w:ascii="Verdana" w:hAnsi="Verdana" w:cs="Open Sans"/>
                <w:sz w:val="20"/>
                <w:szCs w:val="20"/>
              </w:rPr>
              <w:t xml:space="preserve"> – osoba, która pełniła funkcję architekta w co najmniej dwóch projektach, z których każdy obejmował swoim zakresem zaprojektowanie i budowę systemu informatycznego</w:t>
            </w:r>
          </w:p>
          <w:p w14:paraId="179C0AD1"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co najmniej jeden system był przeznaczony dla co najmniej 100 użytkowników końcowych, przy czym</w:t>
            </w:r>
          </w:p>
          <w:p w14:paraId="5857A11B"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 xml:space="preserve">co najmniej jeden system służył obsłudze usług społecznych lub usług w ochronie zdrowia; Przez usługi społeczne należy rozumieć usługi medyczne, opiekuńcze, wsparcie niepełnosprawnych, wsparcie socjalne; </w:t>
            </w:r>
          </w:p>
          <w:p w14:paraId="34CC76F4" w14:textId="77777777" w:rsidR="00CD2E9B" w:rsidRDefault="00011D01">
            <w:pPr>
              <w:pStyle w:val="Akapitzlist"/>
              <w:numPr>
                <w:ilvl w:val="3"/>
                <w:numId w:val="3"/>
              </w:numPr>
              <w:spacing w:after="120" w:line="360" w:lineRule="auto"/>
              <w:jc w:val="both"/>
              <w:rPr>
                <w:rFonts w:ascii="Verdana" w:hAnsi="Verdana" w:cs="Open Sans"/>
                <w:sz w:val="20"/>
                <w:szCs w:val="20"/>
              </w:rPr>
            </w:pPr>
            <w:r>
              <w:rPr>
                <w:rFonts w:ascii="Verdana" w:hAnsi="Verdana" w:cs="Open Sans"/>
                <w:sz w:val="20"/>
                <w:szCs w:val="20"/>
              </w:rPr>
              <w:t>co najmniej jeden z projektów był zarządzany zgodnie z metodyką Prince2Agile lub inną hybrydową;</w:t>
            </w:r>
          </w:p>
          <w:p w14:paraId="22FC48EE"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b/>
                <w:sz w:val="20"/>
                <w:szCs w:val="20"/>
              </w:rPr>
              <w:t>Kierownik zespołu odpowiedzialnego za budowę sieci WiFi</w:t>
            </w:r>
            <w:r>
              <w:rPr>
                <w:rFonts w:ascii="Verdana" w:hAnsi="Verdana" w:cs="Open Sans"/>
                <w:sz w:val="20"/>
                <w:szCs w:val="20"/>
              </w:rPr>
              <w:t xml:space="preserve"> – osoba posiadająca doświadczenie w zaprojektowaniu i wykonaniu co najmniej jednej infrastruktury sieci WiFi, zainstalowanej w budynku o powierzchni nie mniejszej niż 2000 m</w:t>
            </w:r>
            <w:r>
              <w:rPr>
                <w:rFonts w:ascii="Verdana" w:hAnsi="Verdana" w:cs="Open Sans"/>
                <w:sz w:val="20"/>
                <w:szCs w:val="20"/>
                <w:vertAlign w:val="superscript"/>
              </w:rPr>
              <w:t>2</w:t>
            </w:r>
            <w:r>
              <w:rPr>
                <w:rFonts w:ascii="Verdana" w:hAnsi="Verdana" w:cs="Open Sans"/>
                <w:sz w:val="20"/>
                <w:szCs w:val="20"/>
              </w:rPr>
              <w:t xml:space="preserve"> oraz o minimum 2 kondygnacjach;</w:t>
            </w:r>
          </w:p>
          <w:p w14:paraId="4386A794"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b/>
                <w:sz w:val="20"/>
                <w:szCs w:val="20"/>
              </w:rPr>
              <w:t>Kierownik zespołu odpowiedzialnego za integrację sprzętu pomiarowego</w:t>
            </w:r>
            <w:r>
              <w:rPr>
                <w:rFonts w:ascii="Verdana" w:hAnsi="Verdana" w:cs="Open Sans"/>
                <w:sz w:val="20"/>
                <w:szCs w:val="20"/>
              </w:rPr>
              <w:t xml:space="preserve"> – osoba posiadająca doświadczenie w integrowaniu medycznego sprzętu pomiarowego w systemie IT. Wymagane jest wykazanie co najmniej 5 różnych typów urządzeń (przez typ urządzenia należy rozmieć urządzenia o różnych interface’ach) w jednym systemie.</w:t>
            </w:r>
          </w:p>
          <w:p w14:paraId="1FD7BFCB" w14:textId="77777777" w:rsidR="00CD2E9B" w:rsidRDefault="00011D01">
            <w:pPr>
              <w:pStyle w:val="Akapitzlist"/>
              <w:numPr>
                <w:ilvl w:val="2"/>
                <w:numId w:val="3"/>
              </w:numPr>
              <w:spacing w:after="120" w:line="360" w:lineRule="auto"/>
              <w:jc w:val="both"/>
              <w:rPr>
                <w:rFonts w:ascii="Verdana" w:hAnsi="Verdana" w:cs="Open Sans"/>
                <w:sz w:val="20"/>
                <w:szCs w:val="20"/>
              </w:rPr>
            </w:pPr>
            <w:r>
              <w:rPr>
                <w:rFonts w:ascii="Verdana" w:hAnsi="Verdana" w:cs="Open Sans"/>
                <w:sz w:val="20"/>
                <w:szCs w:val="20"/>
              </w:rPr>
              <w:t>Zamawiający nie dopuszcza łączenia funkcji przez jedną osobę.</w:t>
            </w:r>
          </w:p>
          <w:p w14:paraId="32E59F38"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7" w:name="_Toc74836478"/>
            <w:r>
              <w:rPr>
                <w:rFonts w:ascii="Verdana" w:eastAsia="Times New Roman" w:hAnsi="Verdana" w:cs="Open Sans"/>
                <w:sz w:val="20"/>
                <w:szCs w:val="20"/>
                <w:lang w:eastAsia="pl-PL"/>
              </w:rPr>
              <w:t>Wykonawcy występujący wspólnie (konsorcjum):</w:t>
            </w:r>
            <w:bookmarkEnd w:id="7"/>
          </w:p>
          <w:p w14:paraId="2E1A0455"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Wykonawcy mogą wspólnie ubiegać się o udzielenie zamówienia.</w:t>
            </w:r>
          </w:p>
          <w:p w14:paraId="3724F451"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Wykonawcy występujący wspólnie ustanawiają pełnomocnika do reprezentowania ich w postępowaniu o udzielenie zamówienia albo reprezentowania ich w postępowaniu i zawarcia umowy w sprawie zamówienia publicznego.</w:t>
            </w:r>
          </w:p>
          <w:p w14:paraId="1FBD8D30"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Wszelka korespondencja prowadzona będzie wyłącznie z pełnomocnikiem.</w:t>
            </w:r>
          </w:p>
          <w:p w14:paraId="45DE2209"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Każdy z wykonawców występujących wspólnie (członek konsorcjum) nie może podlegać wykluczeniu z postępowania. Spełnienie warunków udziału w postępowaniu w stosunku do wykonawców występujących wspólnie będzie oceniane łącznie.</w:t>
            </w:r>
          </w:p>
          <w:p w14:paraId="75CC8490"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2068B96"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 Pozostałe podmiotowe środki dowodowe mogą być złożone wspólnie.</w:t>
            </w:r>
          </w:p>
          <w:p w14:paraId="1025DC53"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7822609" w14:textId="77777777" w:rsidR="00CD2E9B" w:rsidRDefault="00011D01">
            <w:pPr>
              <w:pStyle w:val="Akapitzlist"/>
              <w:numPr>
                <w:ilvl w:val="0"/>
                <w:numId w:val="4"/>
              </w:numPr>
              <w:spacing w:after="120" w:line="360" w:lineRule="auto"/>
              <w:jc w:val="both"/>
              <w:rPr>
                <w:rFonts w:ascii="Verdana" w:hAnsi="Verdana" w:cs="Open Sans"/>
                <w:sz w:val="20"/>
                <w:szCs w:val="20"/>
              </w:rPr>
            </w:pPr>
            <w:r>
              <w:rPr>
                <w:rFonts w:ascii="Verdana" w:hAnsi="Verdana" w:cs="Open Sans"/>
                <w:sz w:val="20"/>
                <w:szCs w:val="20"/>
              </w:rPr>
              <w:t xml:space="preserve">Wykonawcy, którzy złożyli ofertę wspólną odpowiadają solidarnie za realizację zamówienia. </w:t>
            </w:r>
          </w:p>
          <w:p w14:paraId="76F9DE7D"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8" w:name="_Toc74836479"/>
            <w:r>
              <w:rPr>
                <w:rFonts w:ascii="Verdana" w:eastAsia="Times New Roman" w:hAnsi="Verdana" w:cs="Open Sans"/>
                <w:sz w:val="20"/>
                <w:szCs w:val="20"/>
                <w:lang w:eastAsia="pl-PL"/>
              </w:rPr>
              <w:t>Udostępnienie zasobów</w:t>
            </w:r>
            <w:bookmarkEnd w:id="8"/>
          </w:p>
          <w:p w14:paraId="6AD95C97" w14:textId="77777777" w:rsidR="00CD2E9B" w:rsidRDefault="00011D01">
            <w:pPr>
              <w:pStyle w:val="Akapitzlist"/>
              <w:numPr>
                <w:ilvl w:val="0"/>
                <w:numId w:val="5"/>
              </w:numPr>
              <w:spacing w:after="120" w:line="360" w:lineRule="auto"/>
              <w:jc w:val="both"/>
              <w:rPr>
                <w:rFonts w:ascii="Verdana" w:hAnsi="Verdana" w:cs="Open Sans"/>
                <w:sz w:val="20"/>
                <w:szCs w:val="20"/>
              </w:rPr>
            </w:pPr>
            <w:r>
              <w:rPr>
                <w:rFonts w:ascii="Verdana" w:hAnsi="Verdana" w:cs="Open Sans"/>
                <w:sz w:val="20"/>
                <w:szCs w:val="20"/>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FC1FE60" w14:textId="77777777" w:rsidR="00CD2E9B" w:rsidRDefault="00011D01">
            <w:pPr>
              <w:pStyle w:val="Akapitzlist"/>
              <w:numPr>
                <w:ilvl w:val="0"/>
                <w:numId w:val="5"/>
              </w:numPr>
              <w:spacing w:after="120" w:line="360" w:lineRule="auto"/>
              <w:jc w:val="both"/>
              <w:rPr>
                <w:rFonts w:ascii="Verdana" w:hAnsi="Verdana" w:cs="Open Sans"/>
                <w:sz w:val="20"/>
                <w:szCs w:val="20"/>
              </w:rPr>
            </w:pPr>
            <w:r>
              <w:rPr>
                <w:rFonts w:ascii="Verdana" w:hAnsi="Verdana" w:cs="Open Sans"/>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4048638B" w14:textId="77777777" w:rsidR="00CD2E9B" w:rsidRDefault="00011D01">
            <w:pPr>
              <w:pStyle w:val="Akapitzlist"/>
              <w:numPr>
                <w:ilvl w:val="1"/>
                <w:numId w:val="5"/>
              </w:numPr>
              <w:spacing w:after="120" w:line="360" w:lineRule="auto"/>
              <w:jc w:val="both"/>
              <w:rPr>
                <w:rFonts w:ascii="Verdana" w:hAnsi="Verdana" w:cs="Open Sans"/>
                <w:sz w:val="20"/>
                <w:szCs w:val="20"/>
              </w:rPr>
            </w:pPr>
            <w:r>
              <w:rPr>
                <w:rFonts w:ascii="Verdana" w:hAnsi="Verdana" w:cs="Open Sans"/>
                <w:sz w:val="20"/>
                <w:szCs w:val="20"/>
              </w:rPr>
              <w:t>zakres dostępnych wykonawcy podmiotu udostępniającego</w:t>
            </w:r>
          </w:p>
          <w:p w14:paraId="341FADF4" w14:textId="77777777" w:rsidR="00CD2E9B" w:rsidRDefault="00011D01">
            <w:pPr>
              <w:pStyle w:val="Akapitzlist"/>
              <w:numPr>
                <w:ilvl w:val="1"/>
                <w:numId w:val="5"/>
              </w:numPr>
              <w:spacing w:after="120" w:line="360" w:lineRule="auto"/>
              <w:jc w:val="both"/>
              <w:rPr>
                <w:rFonts w:ascii="Verdana" w:hAnsi="Verdana" w:cs="Open Sans"/>
                <w:sz w:val="20"/>
                <w:szCs w:val="20"/>
              </w:rPr>
            </w:pPr>
            <w:r>
              <w:rPr>
                <w:rFonts w:ascii="Verdana" w:hAnsi="Verdana" w:cs="Open Sans"/>
                <w:sz w:val="20"/>
                <w:szCs w:val="20"/>
              </w:rPr>
              <w:t xml:space="preserve">sposób i okres udostępnienia i wykorzystania zasobów podmiotu udostępniającego </w:t>
            </w:r>
          </w:p>
          <w:p w14:paraId="3E61370B" w14:textId="77777777" w:rsidR="00CD2E9B" w:rsidRDefault="00011D01">
            <w:pPr>
              <w:pStyle w:val="Akapitzlist"/>
              <w:numPr>
                <w:ilvl w:val="1"/>
                <w:numId w:val="5"/>
              </w:numPr>
              <w:spacing w:after="120" w:line="360" w:lineRule="auto"/>
              <w:jc w:val="both"/>
              <w:rPr>
                <w:rFonts w:ascii="Verdana" w:hAnsi="Verdana" w:cs="Open Sans"/>
                <w:sz w:val="20"/>
                <w:szCs w:val="20"/>
              </w:rPr>
            </w:pPr>
            <w:r>
              <w:rPr>
                <w:rFonts w:ascii="Verdana" w:hAnsi="Verdana" w:cs="Open Sans"/>
                <w:sz w:val="20"/>
                <w:szCs w:val="20"/>
              </w:rPr>
              <w:t>czy i jakim zakresie podmiot udostępniający zasoby zrealizuje usługi, których dotyczą zdolności techniczne i zawodowe.</w:t>
            </w:r>
          </w:p>
          <w:p w14:paraId="32896CD3" w14:textId="77777777" w:rsidR="00CD2E9B" w:rsidRDefault="00011D01">
            <w:pPr>
              <w:spacing w:after="120" w:line="360" w:lineRule="auto"/>
              <w:ind w:left="360"/>
              <w:jc w:val="both"/>
              <w:rPr>
                <w:rFonts w:ascii="Verdana" w:hAnsi="Verdana" w:cs="Open Sans"/>
                <w:sz w:val="20"/>
                <w:szCs w:val="20"/>
              </w:rPr>
            </w:pPr>
            <w:r>
              <w:rPr>
                <w:rFonts w:ascii="Verdana" w:hAnsi="Verdana" w:cs="Open Sans"/>
                <w:sz w:val="20"/>
                <w:szCs w:val="20"/>
              </w:rPr>
              <w:t>Wzór zobowiązania stanowi Wzór nr 3 Część III OPW</w:t>
            </w:r>
          </w:p>
          <w:p w14:paraId="5D20AD99" w14:textId="77777777" w:rsidR="00CD2E9B" w:rsidRDefault="00011D01">
            <w:pPr>
              <w:pStyle w:val="Akapitzlist"/>
              <w:numPr>
                <w:ilvl w:val="0"/>
                <w:numId w:val="5"/>
              </w:numPr>
              <w:spacing w:after="120" w:line="360" w:lineRule="auto"/>
              <w:jc w:val="both"/>
              <w:rPr>
                <w:rFonts w:ascii="Verdana" w:hAnsi="Verdana" w:cs="Open Sans"/>
                <w:sz w:val="20"/>
                <w:szCs w:val="20"/>
              </w:rPr>
            </w:pPr>
            <w:r>
              <w:rPr>
                <w:rFonts w:ascii="Verdana" w:hAnsi="Verdana" w:cs="Open Sans"/>
                <w:sz w:val="20"/>
                <w:szCs w:val="20"/>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49B0A358" w14:textId="77777777" w:rsidR="00CD2E9B" w:rsidRDefault="00011D01">
            <w:pPr>
              <w:pStyle w:val="Akapitzlist"/>
              <w:numPr>
                <w:ilvl w:val="0"/>
                <w:numId w:val="5"/>
              </w:numPr>
              <w:spacing w:after="120" w:line="360" w:lineRule="auto"/>
              <w:jc w:val="both"/>
              <w:rPr>
                <w:rFonts w:ascii="Verdana" w:hAnsi="Verdana" w:cs="Open Sans"/>
                <w:sz w:val="20"/>
                <w:szCs w:val="20"/>
              </w:rPr>
            </w:pPr>
            <w:r>
              <w:rPr>
                <w:rFonts w:ascii="Verdana" w:hAnsi="Verdana" w:cs="Open Sans"/>
                <w:sz w:val="20"/>
                <w:szCs w:val="20"/>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 </w:t>
            </w:r>
          </w:p>
          <w:p w14:paraId="18773BDE"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JEDZ. Podmiotowe środki dowodowe.</w:t>
            </w:r>
          </w:p>
          <w:p w14:paraId="31405F68"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Zamawiający wymaga złożenia Jednolitego Europejskiego Dokumentu Zamówienia (JEDZ) oraz podmiotowych środków dowodowych wskazanych w pkt 2 poniżej przez:</w:t>
            </w:r>
          </w:p>
          <w:p w14:paraId="0D98F59F"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 xml:space="preserve">wykonawcę, </w:t>
            </w:r>
          </w:p>
          <w:p w14:paraId="40138A43"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w przypadku wykonawców ubiegających się wspólnie o udzielenie zamówienia – przez każdego z wykonawców</w:t>
            </w:r>
          </w:p>
          <w:p w14:paraId="48ABFA57"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w przypadku polegania na udostępnionych zasobach –przez podmiot udostępniający zasoby.</w:t>
            </w:r>
          </w:p>
          <w:p w14:paraId="08AFB8D2"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W celu potwierdzenia braku podstaw do wykluczenia zamawiający wymaga złożenia:</w:t>
            </w:r>
          </w:p>
          <w:p w14:paraId="58520244"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 xml:space="preserve">JEDZ zgodnie z wzorem stanowiącym Wzór nr 2 Część III OPW.; Zamawiający w zakresie warunków udziału w postępowaniu wymaga jedynie zaznaczenia sekcji alfa (część IV JEDZ); </w:t>
            </w:r>
            <w:r>
              <w:rPr>
                <w:rFonts w:ascii="Verdana" w:hAnsi="Verdana" w:cs="Open Sans"/>
                <w:i/>
                <w:sz w:val="20"/>
                <w:szCs w:val="20"/>
              </w:rPr>
              <w:t>Dokument składany wraz z wnioskiem o dopuszczenie do udziału w postępowaniu</w:t>
            </w:r>
            <w:r>
              <w:rPr>
                <w:rFonts w:ascii="Verdana" w:hAnsi="Verdana" w:cs="Open Sans"/>
                <w:sz w:val="20"/>
                <w:szCs w:val="20"/>
              </w:rPr>
              <w:t>;</w:t>
            </w:r>
          </w:p>
          <w:p w14:paraId="5D2DCA76"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Wzór nr 6 część III OPW; </w:t>
            </w:r>
            <w:r>
              <w:rPr>
                <w:rFonts w:ascii="Verdana" w:hAnsi="Verdana" w:cs="Open Sans"/>
                <w:i/>
                <w:sz w:val="20"/>
                <w:szCs w:val="20"/>
              </w:rPr>
              <w:t>Dokument składany na wezwanie zamawiającego;</w:t>
            </w:r>
          </w:p>
          <w:p w14:paraId="40BCEFF4"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 xml:space="preserve">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 </w:t>
            </w:r>
            <w:r>
              <w:rPr>
                <w:rFonts w:ascii="Verdana" w:hAnsi="Verdana" w:cs="Open Sans"/>
                <w:i/>
                <w:sz w:val="20"/>
                <w:szCs w:val="20"/>
              </w:rPr>
              <w:t>Dokument składany na wezwanie zamawiającego;</w:t>
            </w:r>
          </w:p>
          <w:p w14:paraId="2B4E2A60"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Pr>
                <w:rFonts w:ascii="Verdana" w:hAnsi="Verdana" w:cs="Open Sans"/>
                <w:i/>
                <w:sz w:val="20"/>
                <w:szCs w:val="20"/>
              </w:rPr>
              <w:t>Dokument składany na wezwanie zamawiającego;</w:t>
            </w:r>
          </w:p>
          <w:p w14:paraId="70BC6A55"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Pr>
                <w:rFonts w:ascii="Verdana" w:hAnsi="Verdana" w:cs="Open Sans"/>
                <w:i/>
                <w:sz w:val="20"/>
                <w:szCs w:val="20"/>
              </w:rPr>
              <w:t xml:space="preserve"> Dokument składany na wezwanie zamawiającego;</w:t>
            </w:r>
          </w:p>
          <w:p w14:paraId="07482755" w14:textId="77777777" w:rsidR="00CD2E9B" w:rsidRDefault="00011D01">
            <w:pPr>
              <w:pStyle w:val="Akapitzlist"/>
              <w:numPr>
                <w:ilvl w:val="0"/>
                <w:numId w:val="12"/>
              </w:numPr>
              <w:spacing w:after="120" w:line="360" w:lineRule="auto"/>
              <w:jc w:val="both"/>
              <w:rPr>
                <w:rFonts w:ascii="Verdana" w:hAnsi="Verdana" w:cs="Open Sans"/>
                <w:sz w:val="20"/>
                <w:szCs w:val="20"/>
              </w:rPr>
            </w:pPr>
            <w:r>
              <w:rPr>
                <w:rFonts w:ascii="Verdana" w:hAnsi="Verdana" w:cs="Open Sans"/>
                <w:sz w:val="20"/>
                <w:szCs w:val="20"/>
              </w:rPr>
              <w:t>informacji z Krajowego Rejestru Karnego w zakresie określonym w art. 108 ust. 1 pkt 1, 2 i 4 ustawy, sporządzonej nie wcześniej niż 6 miesięcy przed jej złożeniem;</w:t>
            </w:r>
            <w:r>
              <w:rPr>
                <w:rFonts w:ascii="Verdana" w:hAnsi="Verdana" w:cs="Open Sans"/>
                <w:i/>
                <w:sz w:val="20"/>
                <w:szCs w:val="20"/>
              </w:rPr>
              <w:t xml:space="preserve"> Dokument składany na wezwanie zamawiającego;</w:t>
            </w:r>
          </w:p>
          <w:p w14:paraId="7619A372" w14:textId="77777777" w:rsidR="00CD2E9B" w:rsidRDefault="00011D01">
            <w:pPr>
              <w:pStyle w:val="Akapitzlist"/>
              <w:numPr>
                <w:ilvl w:val="0"/>
                <w:numId w:val="12"/>
              </w:numPr>
              <w:spacing w:after="120" w:line="360" w:lineRule="auto"/>
              <w:jc w:val="both"/>
              <w:rPr>
                <w:rFonts w:ascii="Verdana" w:hAnsi="Verdana" w:cs="Open Sans"/>
                <w:i/>
                <w:sz w:val="20"/>
                <w:szCs w:val="20"/>
              </w:rPr>
            </w:pPr>
            <w:r>
              <w:rPr>
                <w:rFonts w:ascii="Verdana" w:hAnsi="Verdana" w:cs="Open Sans"/>
                <w:sz w:val="20"/>
                <w:szCs w:val="20"/>
              </w:rPr>
              <w:t xml:space="preserve">oświadczenia wykonawcy o aktualności informacji zawartych w JEDZ w zakresie stosowanych podstaw wykluczenia, Wzór oświadczenia stanowi Wzór nr 7 Część III OPW; </w:t>
            </w:r>
            <w:r>
              <w:rPr>
                <w:rFonts w:ascii="Verdana" w:hAnsi="Verdana" w:cs="Open Sans"/>
                <w:i/>
                <w:sz w:val="20"/>
                <w:szCs w:val="20"/>
              </w:rPr>
              <w:t>Dokument składany na wezwanie zamawiającego;</w:t>
            </w:r>
          </w:p>
          <w:p w14:paraId="50A035C3"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Jeżeli wykonawca ma siedzibę lub miejsce zamieszkania poza granicami Rzeczypospolitej Polskiej:</w:t>
            </w:r>
          </w:p>
          <w:p w14:paraId="2D3B62AA"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zamiast informacji  Krajowego Rejestru Karnego o której mowa w pkt 2.6. przedkłada informację z odpowiedniego rejestru takiego jak rejestr sądowy lub inny równoważny dokument wydany przez właściwy organ sądowy lub administracyjny kraju, w którym wykonawca ma siedzibę albo miejsce zamieszkania;</w:t>
            </w:r>
          </w:p>
          <w:p w14:paraId="5A44F204"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zamiast zaświadczenia, o którym mowa w ust. 2.3, zaświadczenia albo innego dokumentu potwierdzającego, że wykonawca nie zalega z opłacaniem składek na ubezpieczenia społeczne lub zdrowotne, o których mowa w ust 2.4,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220570A0" w14:textId="77777777" w:rsidR="00CD2E9B" w:rsidRDefault="00011D01">
            <w:pPr>
              <w:pStyle w:val="Akapitzlist"/>
              <w:numPr>
                <w:ilvl w:val="2"/>
                <w:numId w:val="6"/>
              </w:numPr>
              <w:spacing w:after="120" w:line="360" w:lineRule="auto"/>
              <w:jc w:val="both"/>
              <w:rPr>
                <w:rFonts w:ascii="Verdana" w:hAnsi="Verdana" w:cs="Open Sans"/>
                <w:sz w:val="20"/>
                <w:szCs w:val="20"/>
              </w:rPr>
            </w:pPr>
            <w:r>
              <w:rPr>
                <w:rFonts w:ascii="Verdana" w:hAnsi="Verdana" w:cs="Open Sans"/>
                <w:sz w:val="20"/>
                <w:szCs w:val="20"/>
              </w:rPr>
              <w:t>nie naruszył obowiązków dotyczących płatności podatków, opłat, lub składek na ubezpieczenie społeczne lub zdrowotne,</w:t>
            </w:r>
          </w:p>
          <w:p w14:paraId="45BE768D" w14:textId="77777777" w:rsidR="00CD2E9B" w:rsidRDefault="00011D01">
            <w:pPr>
              <w:pStyle w:val="Akapitzlist"/>
              <w:numPr>
                <w:ilvl w:val="2"/>
                <w:numId w:val="6"/>
              </w:numPr>
              <w:spacing w:after="120" w:line="360" w:lineRule="auto"/>
              <w:jc w:val="both"/>
              <w:rPr>
                <w:rFonts w:ascii="Verdana" w:hAnsi="Verdana" w:cs="Open Sans"/>
                <w:sz w:val="20"/>
                <w:szCs w:val="20"/>
              </w:rPr>
            </w:pPr>
            <w:r>
              <w:rPr>
                <w:rFonts w:ascii="Verdana" w:hAnsi="Verdana" w:cs="Open Sans"/>
                <w:sz w:val="20"/>
                <w:szCs w:val="20"/>
              </w:rPr>
              <w:tab/>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6D6E38D"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Dokumenty, o których mowa w pkt 3.1. powinny być wystawione nie wcześniej niż 6 m. przed złożeniem; dokumenty o których mowa w pkt 3.2.1 powinny być wystawione nie wcześniej niż 3 miesiące przed ich złożeniem.</w:t>
            </w:r>
          </w:p>
          <w:p w14:paraId="6CE47A60"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Jeżeli w kraju, w którym wykonawca ma siedzibę lub miejsce zamieszkania, nie wydaje się dokumentów, o których mowa w pkt 3,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3.3. stosuje się.</w:t>
            </w:r>
          </w:p>
          <w:p w14:paraId="1437B322"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 </w:t>
            </w:r>
          </w:p>
          <w:p w14:paraId="37DFD560"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21099C4B"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W celu potwierdzenia spełnienia warunków udziału w postępowaniu zamawiający wymaga złożenia:</w:t>
            </w:r>
          </w:p>
          <w:p w14:paraId="08BDA99D"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informacji banku lub spółdzielczej kasy oszczędnościowo-kredytowej potwierdzającej wysokość posiadanych środków finansowych lub zdolność kredytową wykonawcy w okresie nie wcześniejszym niż 3 miesiące przed jej złożeniem,</w:t>
            </w:r>
          </w:p>
          <w:p w14:paraId="6F20A0A2"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Wzór nr 4 Część III OPW.</w:t>
            </w:r>
          </w:p>
          <w:p w14:paraId="51BF5452"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Wzór nr 5 Część III OPW</w:t>
            </w:r>
          </w:p>
          <w:p w14:paraId="3412B62A"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Oświadczenie JEDZ powinno być sporządzone w formie elektronicznej (z podpisem elektronicznym kwalifikowanym).</w:t>
            </w:r>
          </w:p>
          <w:p w14:paraId="4CE34412"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Podmiotowe środki dowodowe powinny być złożone zgodnie z przepisami 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 tj:</w:t>
            </w:r>
          </w:p>
          <w:p w14:paraId="45B74613"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Jeżeli dokument został wystawiony przez podmiot upoważniony inny niż wykonawca (np. właściwy do jego wydania organ administracyjny lub sądowy) jako dokument elektroniczny – wykonawca przekazuje ten dokument,</w:t>
            </w:r>
          </w:p>
          <w:p w14:paraId="23081115"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078425BA"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Jeżeli dokument został wystawiony przez inny podmiot (np. wykonawcę, wystawcę referencji) w formie elektronicznej z podpisem elektronicznym kwalifikowanym – przekazuje się ten dokument,</w:t>
            </w:r>
          </w:p>
          <w:p w14:paraId="73A814E7" w14:textId="77777777" w:rsidR="00CD2E9B" w:rsidRDefault="00011D01">
            <w:pPr>
              <w:pStyle w:val="Akapitzlist"/>
              <w:numPr>
                <w:ilvl w:val="1"/>
                <w:numId w:val="6"/>
              </w:numPr>
              <w:spacing w:after="120" w:line="360" w:lineRule="auto"/>
              <w:jc w:val="both"/>
              <w:rPr>
                <w:rFonts w:ascii="Verdana" w:hAnsi="Verdana" w:cs="Open Sans"/>
                <w:sz w:val="20"/>
                <w:szCs w:val="20"/>
              </w:rPr>
            </w:pPr>
            <w:r>
              <w:rPr>
                <w:rFonts w:ascii="Verdana" w:hAnsi="Verdana" w:cs="Open Sans"/>
                <w:sz w:val="20"/>
                <w:szCs w:val="20"/>
              </w:rPr>
              <w:t>Jeżeli dokument został wystawiony przez inny podmiot (np. wykonawcę, wystawcę referencji) jako dokument  papierowy  – wykonawca przekazuje elektroniczną kopię dokumentu poświadczoną za zgodność z oryginałem.</w:t>
            </w:r>
          </w:p>
          <w:p w14:paraId="1236D4F0"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C93A7C5"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7980D54"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 xml:space="preserve">Podmiotowe środki dowodowe sporządzone w języku obcym wykonawca przekazuje wraz z tłumaczeniem na język polski. </w:t>
            </w:r>
          </w:p>
          <w:p w14:paraId="0F44246A" w14:textId="77777777" w:rsidR="00CD2E9B" w:rsidRDefault="00011D01">
            <w:pPr>
              <w:pStyle w:val="Akapitzlist"/>
              <w:numPr>
                <w:ilvl w:val="0"/>
                <w:numId w:val="6"/>
              </w:numPr>
              <w:spacing w:after="120" w:line="360" w:lineRule="auto"/>
              <w:jc w:val="both"/>
              <w:rPr>
                <w:rFonts w:ascii="Verdana" w:hAnsi="Verdana" w:cs="Open Sans"/>
                <w:sz w:val="20"/>
                <w:szCs w:val="20"/>
              </w:rPr>
            </w:pPr>
            <w:r>
              <w:rPr>
                <w:rFonts w:ascii="Verdana" w:hAnsi="Verdana" w:cs="Open Sans"/>
                <w:sz w:val="20"/>
                <w:szCs w:val="20"/>
              </w:rPr>
              <w:t>Jeżeli w dokumentach podane są wartości w walucie innej niż złoty polski zamawiający dokona przeliczenia po średnim kursie NBP obowiązującym w dniu publikacji ogłoszenia o zamówieniu.</w:t>
            </w:r>
          </w:p>
        </w:tc>
      </w:tr>
    </w:tbl>
    <w:p w14:paraId="589EE78A" w14:textId="77777777" w:rsidR="00CD2E9B" w:rsidRDefault="00CD2E9B">
      <w:pPr>
        <w:spacing w:after="120" w:line="360" w:lineRule="auto"/>
        <w:jc w:val="both"/>
        <w:rPr>
          <w:rFonts w:ascii="Verdana" w:hAnsi="Verdana" w:cs="Open Sans"/>
          <w:sz w:val="20"/>
          <w:szCs w:val="20"/>
        </w:rPr>
      </w:pPr>
    </w:p>
    <w:p w14:paraId="632574FE"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9" w:name="_Toc74836481"/>
      <w:r>
        <w:rPr>
          <w:rFonts w:ascii="Verdana" w:eastAsia="Times New Roman" w:hAnsi="Verdana" w:cs="Open Sans"/>
          <w:sz w:val="20"/>
          <w:szCs w:val="20"/>
          <w:lang w:eastAsia="pl-PL"/>
        </w:rPr>
        <w:t>Informacja o środkach komunikacji elektronicznej, przy użyciu których zamawiający będzie komunikował się z wykonawcami</w:t>
      </w:r>
      <w:bookmarkEnd w:id="9"/>
      <w:r>
        <w:rPr>
          <w:rFonts w:ascii="Verdana" w:eastAsia="Times New Roman" w:hAnsi="Verdana" w:cs="Open Sans"/>
          <w:sz w:val="20"/>
          <w:szCs w:val="20"/>
          <w:lang w:eastAsia="pl-PL"/>
        </w:rPr>
        <w:t xml:space="preserve"> </w:t>
      </w:r>
    </w:p>
    <w:p w14:paraId="2F0628A3" w14:textId="77777777" w:rsidR="00CD2E9B" w:rsidRDefault="00011D01">
      <w:pPr>
        <w:pStyle w:val="Akapitzlist"/>
        <w:numPr>
          <w:ilvl w:val="0"/>
          <w:numId w:val="8"/>
        </w:numPr>
        <w:spacing w:after="120" w:line="360" w:lineRule="auto"/>
        <w:jc w:val="both"/>
      </w:pPr>
      <w:r>
        <w:rPr>
          <w:rStyle w:val="markedcontent"/>
          <w:rFonts w:ascii="Verdana" w:hAnsi="Verdana" w:cs="Open Sans"/>
          <w:sz w:val="20"/>
          <w:szCs w:val="20"/>
        </w:rPr>
        <w:t xml:space="preserve">Komunikacja między Zamawiającym a Wykonawcą w niniejszym postępowaniu o udzielenie zamówienia, odbywa się w języku polskim za pośrednictwem platformy zakupowej pod adresem </w:t>
      </w:r>
      <w:hyperlink r:id="rId9">
        <w:r>
          <w:rPr>
            <w:rStyle w:val="czeinternetowe"/>
            <w:rFonts w:ascii="Verdana" w:eastAsiaTheme="majorEastAsia" w:hAnsi="Verdana" w:cs="Open Sans"/>
            <w:sz w:val="20"/>
            <w:szCs w:val="20"/>
          </w:rPr>
          <w:t>https://platformazakupowa.pl/pn/powiat_koszalin</w:t>
        </w:r>
      </w:hyperlink>
      <w:r>
        <w:rPr>
          <w:rFonts w:ascii="Verdana" w:hAnsi="Verdana" w:cs="Open Sans"/>
          <w:sz w:val="20"/>
          <w:szCs w:val="20"/>
        </w:rPr>
        <w:t xml:space="preserve"> </w:t>
      </w:r>
    </w:p>
    <w:p w14:paraId="1A51D26E" w14:textId="77777777" w:rsidR="00CD2E9B" w:rsidRDefault="00011D01">
      <w:pPr>
        <w:pStyle w:val="Akapitzlist"/>
        <w:numPr>
          <w:ilvl w:val="0"/>
          <w:numId w:val="8"/>
        </w:numPr>
        <w:spacing w:after="120" w:line="360" w:lineRule="auto"/>
        <w:jc w:val="both"/>
        <w:rPr>
          <w:rFonts w:ascii="Verdana" w:hAnsi="Verdana" w:cs="Open Sans"/>
          <w:sz w:val="20"/>
          <w:szCs w:val="20"/>
        </w:rPr>
      </w:pPr>
      <w:r>
        <w:rPr>
          <w:rStyle w:val="markedcontent"/>
          <w:rFonts w:ascii="Verdana" w:hAnsi="Verdana" w:cs="Open Sans"/>
          <w:sz w:val="20"/>
          <w:szCs w:val="20"/>
        </w:rPr>
        <w:t xml:space="preserve">Dane do postępowania na platformie: numer postępowania - </w:t>
      </w:r>
      <w:r>
        <w:rPr>
          <w:rFonts w:ascii="Verdana" w:hAnsi="Verdana" w:cs="Open Sans"/>
          <w:sz w:val="20"/>
          <w:szCs w:val="20"/>
        </w:rPr>
        <w:t>GDS 1/2021; nazwa postępowania - Wykonanie systemu zarządzania domami pomocy społecznej (DPS) w powiecie koszalińskim; numer ID postępowania - ID 474262.</w:t>
      </w:r>
    </w:p>
    <w:p w14:paraId="500277F0" w14:textId="77777777" w:rsidR="00CD2E9B" w:rsidRDefault="00011D01">
      <w:pPr>
        <w:pStyle w:val="Akapitzlist"/>
        <w:numPr>
          <w:ilvl w:val="0"/>
          <w:numId w:val="8"/>
        </w:numPr>
        <w:spacing w:after="120" w:line="360" w:lineRule="auto"/>
        <w:jc w:val="both"/>
      </w:pPr>
      <w:r>
        <w:rPr>
          <w:rFonts w:ascii="Verdana" w:hAnsi="Verdana" w:cs="Open Sans"/>
          <w:sz w:val="20"/>
          <w:szCs w:val="20"/>
        </w:rPr>
        <w:t xml:space="preserve">Zamawiający rekomenduje, aby wszelka komunikacja pomiędzy Zamawiającym a Wykonawcą odbywała się za pośrednictwem platformy zakupowej z pkt 1., ale dopuszcza opcjonalnie komunikację za pośrednictwem poczty elektronicznej z adresem </w:t>
      </w:r>
      <w:hyperlink r:id="rId10">
        <w:r>
          <w:rPr>
            <w:rStyle w:val="czeinternetowe"/>
            <w:rFonts w:ascii="Verdana" w:eastAsiaTheme="majorEastAsia" w:hAnsi="Verdana" w:cs="Open Sans"/>
            <w:sz w:val="20"/>
            <w:szCs w:val="20"/>
          </w:rPr>
          <w:t>grupasienna@grupasienna.pl</w:t>
        </w:r>
      </w:hyperlink>
      <w:r>
        <w:rPr>
          <w:rFonts w:ascii="Verdana" w:hAnsi="Verdana" w:cs="Open Sans"/>
          <w:sz w:val="20"/>
          <w:szCs w:val="20"/>
        </w:rPr>
        <w:t xml:space="preserve"> </w:t>
      </w:r>
    </w:p>
    <w:p w14:paraId="09C011F3"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 xml:space="preserve">Wykonawca będzie przekazywać Zamawiającemu dokumenty elektroniczne, w szczególności oświadczenia, dokumenty, wnioski, zapytania, informacje za pośrednictwem zamieszczonego na ww. platformie przycisku: „Wyślij wiadomość do Zamawiającego”. </w:t>
      </w:r>
    </w:p>
    <w:p w14:paraId="287D5000"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We wszelkiej korespondencji związanej z niniejszym postępowaniem Zamawiający i Wykonawcy posługują się nadanym przez Zamawiającego numerem referencyjnym postępowania.</w:t>
      </w:r>
    </w:p>
    <w:p w14:paraId="6A72D6BB"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 xml:space="preserve">Komunikacja poprzez przycisk „Wyślij wiadomość do Zamawiającego” umożliwia dodanie do treści wysyłanej wiadomości plików lub spakowanego folderu. Limit ilości i objętości plików lub spakowanych folderów wynosi: </w:t>
      </w:r>
    </w:p>
    <w:p w14:paraId="52A4AFC1" w14:textId="77777777" w:rsidR="00CD2E9B" w:rsidRDefault="00011D01">
      <w:pPr>
        <w:pStyle w:val="Akapitzlist"/>
        <w:numPr>
          <w:ilvl w:val="0"/>
          <w:numId w:val="9"/>
        </w:numPr>
        <w:spacing w:after="120" w:line="360" w:lineRule="auto"/>
        <w:jc w:val="both"/>
        <w:rPr>
          <w:rFonts w:ascii="Verdana" w:hAnsi="Verdana" w:cs="Open Sans"/>
          <w:sz w:val="20"/>
          <w:szCs w:val="20"/>
        </w:rPr>
      </w:pPr>
      <w:r>
        <w:rPr>
          <w:rFonts w:ascii="Verdana" w:hAnsi="Verdana" w:cs="Open Sans"/>
          <w:sz w:val="20"/>
          <w:szCs w:val="20"/>
        </w:rPr>
        <w:t>ilość plików lub spakowanych folderów: maksymalnie 10,</w:t>
      </w:r>
    </w:p>
    <w:p w14:paraId="12F76791" w14:textId="77777777" w:rsidR="00CD2E9B" w:rsidRDefault="00011D01">
      <w:pPr>
        <w:pStyle w:val="Akapitzlist"/>
        <w:numPr>
          <w:ilvl w:val="0"/>
          <w:numId w:val="9"/>
        </w:numPr>
        <w:spacing w:after="120" w:line="360" w:lineRule="auto"/>
        <w:jc w:val="both"/>
        <w:rPr>
          <w:rFonts w:ascii="Verdana" w:hAnsi="Verdana" w:cs="Open Sans"/>
          <w:sz w:val="20"/>
          <w:szCs w:val="20"/>
        </w:rPr>
      </w:pPr>
      <w:r>
        <w:rPr>
          <w:rFonts w:ascii="Verdana" w:hAnsi="Verdana" w:cs="Open Sans"/>
          <w:sz w:val="20"/>
          <w:szCs w:val="20"/>
        </w:rPr>
        <w:t xml:space="preserve">objętość plików lub spakowanych folderów: maksymalnie 500 MB. </w:t>
      </w:r>
    </w:p>
    <w:p w14:paraId="384CE118"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Sposób pakowania plików znajduje się w Instrukcji „Jak pakować pliki o dużym rozmiarze” zamieszczonej na ww. platformie pod adresem: platformazakupowa.pl w zakładce „Instrukcje”.</w:t>
      </w:r>
    </w:p>
    <w:p w14:paraId="78643121"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Za datę przekazania (wpływu) oświadczeń, dokumentów, wniosków, zapytań, informacji itp. uznaje się datę ich przekazania za pośrednictwem ww. platformy poprzez kliknięcie przycisku „Wyślij wiadomość do Zamawiającego”, po których pojawi się komunikat, że wiadomość została wysłana do Zamawiającego.</w:t>
      </w:r>
    </w:p>
    <w:p w14:paraId="36BDAFE8"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Zamawiający będzie udostępniał Wykonawcom za pośrednictwem ww. platformy wymaga prawem informacje poprzez ich zamieszczenie na w sekcji “Komunikaty”.</w:t>
      </w:r>
    </w:p>
    <w:p w14:paraId="261226EF"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Korespondencję, której zgodnie z obowiązującymi przepisami adresatem jest konkretny Wykonawca, Zamawiający będzie przekazywał Wykonawcy za pośrednictwem platformy.</w:t>
      </w:r>
    </w:p>
    <w:p w14:paraId="216C5586"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Wykonawca ma obowiązek sprawdzania komunikatów i wiadomości bezpośrednio na ww. platformie zamieszczonych/przesłanych przez Zamawiającego, gdyż system powiadomień może ulec awarii lub powiadomienie może trafić do folderu SPAM.</w:t>
      </w:r>
    </w:p>
    <w:p w14:paraId="5419C015"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Informacje o wymaganiach technicznych i organizacyjnych dotyczące wysyłania i odbierania korespondencji elektronicznej opisane zostały w Regulaminie Platformy i Instrukcjach korzystania z Platformy dostępnych pod adresem :platformazakupowa.pl w zakładkach „Regulamin” i „Instrukcje”.</w:t>
      </w:r>
    </w:p>
    <w:p w14:paraId="7AEACDA0"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 xml:space="preserve">Wymaga się, aby przed rozpoczęciem korzystania z platformy, Wykonawca zapoznał się z Regulaminem Platformy oraz Instrukcjami korzystania z Platformy. </w:t>
      </w:r>
    </w:p>
    <w:p w14:paraId="1CDF77D3"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Wykonawca, przystępując do niniejszego postępowania o udzielenie zamówienia, akceptuje warunki korzystania z Platformy określone w Regulaminie Platformy i Instrukcjach korzystania z Platformy oraz zobowiązuje się korzystając z Platformy przestrzegać postanowień jej Regulaminu i Instrukcji.</w:t>
      </w:r>
    </w:p>
    <w:p w14:paraId="4404A781" w14:textId="77777777" w:rsidR="00CD2E9B" w:rsidRDefault="00011D01">
      <w:pPr>
        <w:pStyle w:val="Akapitzlist"/>
        <w:numPr>
          <w:ilvl w:val="0"/>
          <w:numId w:val="8"/>
        </w:numPr>
        <w:spacing w:after="120" w:line="360" w:lineRule="auto"/>
        <w:jc w:val="both"/>
      </w:pPr>
      <w:r>
        <w:rPr>
          <w:rFonts w:ascii="Verdana" w:hAnsi="Verdana" w:cs="Open Sans"/>
          <w:sz w:val="20"/>
          <w:szCs w:val="20"/>
        </w:rPr>
        <w:t xml:space="preserve">W przypadku pytań technicznych związanych z działaniem Platformy Wykonawca może kontaktować się z Centrum Wsparcia Klienta: numer telefonu: +48 (22) 101 02 02,adrese-mail: </w:t>
      </w:r>
      <w:hyperlink r:id="rId11">
        <w:r>
          <w:rPr>
            <w:rStyle w:val="czeinternetowe"/>
            <w:rFonts w:ascii="Verdana" w:eastAsiaTheme="majorEastAsia" w:hAnsi="Verdana" w:cs="Open Sans"/>
            <w:sz w:val="20"/>
            <w:szCs w:val="20"/>
          </w:rPr>
          <w:t>cwk@platformazakupowa.pl</w:t>
        </w:r>
      </w:hyperlink>
      <w:r>
        <w:rPr>
          <w:rFonts w:ascii="Verdana" w:hAnsi="Verdana" w:cs="Open Sans"/>
          <w:sz w:val="20"/>
          <w:szCs w:val="20"/>
        </w:rPr>
        <w:t>.</w:t>
      </w:r>
    </w:p>
    <w:p w14:paraId="019ACF24" w14:textId="77777777" w:rsidR="00CD2E9B" w:rsidRDefault="00011D01">
      <w:pPr>
        <w:pStyle w:val="Akapitzlist"/>
        <w:numPr>
          <w:ilvl w:val="0"/>
          <w:numId w:val="8"/>
        </w:numPr>
        <w:spacing w:after="120" w:line="360" w:lineRule="auto"/>
        <w:jc w:val="both"/>
        <w:rPr>
          <w:rFonts w:ascii="Verdana" w:hAnsi="Verdana" w:cs="Open Sans"/>
          <w:sz w:val="20"/>
          <w:szCs w:val="20"/>
        </w:rPr>
      </w:pPr>
      <w:r>
        <w:rPr>
          <w:rFonts w:ascii="Verdana" w:hAnsi="Verdana" w:cs="Open Sans"/>
          <w:sz w:val="20"/>
          <w:szCs w:val="20"/>
        </w:rPr>
        <w:t>Dokumenty elektroniczne przekazywane przez Wykonawcę w niniejszym postępowaniu muszą być sporządzone zgodnie z wymaganiami technicznymi i organizacyjnym i dotyczącymi sporządzania dokumentów elektronicznych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wykonawcy(Dz. U. z 2020 r. poz. 2415).</w:t>
      </w:r>
    </w:p>
    <w:p w14:paraId="2B09524D" w14:textId="77777777" w:rsidR="00CD2E9B" w:rsidRDefault="00011D01">
      <w:pPr>
        <w:pStyle w:val="Akapitzlist"/>
        <w:numPr>
          <w:ilvl w:val="0"/>
          <w:numId w:val="8"/>
        </w:numPr>
        <w:spacing w:after="120" w:line="360" w:lineRule="auto"/>
        <w:jc w:val="both"/>
        <w:rPr>
          <w:rStyle w:val="markedcontent"/>
          <w:rFonts w:ascii="Verdana" w:hAnsi="Verdana" w:cs="Open Sans"/>
          <w:sz w:val="20"/>
          <w:szCs w:val="20"/>
        </w:rPr>
      </w:pPr>
      <w:r>
        <w:rPr>
          <w:rStyle w:val="markedcontent"/>
          <w:rFonts w:ascii="Verdana" w:hAnsi="Verdana" w:cs="Open Sans"/>
          <w:sz w:val="20"/>
          <w:szCs w:val="20"/>
        </w:rPr>
        <w:t>Rozszerzenia plików/formaty danych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(Dz. U. z 2017 poz. 2247 tekst jednolity).</w:t>
      </w:r>
    </w:p>
    <w:p w14:paraId="1FA70C9F" w14:textId="77777777" w:rsidR="00CD2E9B" w:rsidRDefault="00011D01">
      <w:pPr>
        <w:pStyle w:val="Akapitzlist"/>
        <w:numPr>
          <w:ilvl w:val="0"/>
          <w:numId w:val="8"/>
        </w:numPr>
        <w:spacing w:after="120" w:line="360" w:lineRule="auto"/>
        <w:jc w:val="both"/>
        <w:rPr>
          <w:rStyle w:val="markedcontent"/>
          <w:rFonts w:ascii="Verdana" w:hAnsi="Verdana" w:cs="Open Sans"/>
          <w:sz w:val="20"/>
          <w:szCs w:val="20"/>
        </w:rPr>
      </w:pPr>
      <w:r>
        <w:rPr>
          <w:rStyle w:val="markedcontent"/>
          <w:rFonts w:ascii="Verdana" w:hAnsi="Verdana" w:cs="Open Sans"/>
          <w:sz w:val="20"/>
          <w:szCs w:val="20"/>
        </w:rPr>
        <w:t>Zamawiający rekomenduje, aby dokumenty elektroniczne przekazywane przez Wykonawcę w niniejszym postępowaniu były sporządzone w formacie/formatach danych: .pdf .doc .docx .xls.xlsx.jpg (.jpeg) ze szczególnym wskazaniem na .pdf</w:t>
      </w:r>
    </w:p>
    <w:p w14:paraId="669BFB06" w14:textId="77777777" w:rsidR="00CD2E9B" w:rsidRDefault="00011D01">
      <w:pPr>
        <w:pStyle w:val="Akapitzlist"/>
        <w:numPr>
          <w:ilvl w:val="0"/>
          <w:numId w:val="8"/>
        </w:numPr>
        <w:spacing w:after="120" w:line="360" w:lineRule="auto"/>
        <w:jc w:val="both"/>
        <w:rPr>
          <w:rStyle w:val="markedcontent"/>
          <w:rFonts w:ascii="Verdana" w:hAnsi="Verdana" w:cs="Open Sans"/>
          <w:sz w:val="20"/>
          <w:szCs w:val="20"/>
        </w:rPr>
      </w:pPr>
      <w:r>
        <w:rPr>
          <w:rStyle w:val="markedcontent"/>
          <w:rFonts w:ascii="Verdana" w:hAnsi="Verdana" w:cs="Open Sans"/>
          <w:sz w:val="20"/>
          <w:szCs w:val="20"/>
        </w:rPr>
        <w:t>W celu ewentualnej kompresji danych Zamawiający rekomenduje wykorzystanie jednego z rozszerzeń:</w:t>
      </w:r>
    </w:p>
    <w:p w14:paraId="08FA13C6" w14:textId="77777777" w:rsidR="00CD2E9B" w:rsidRDefault="00011D01">
      <w:pPr>
        <w:pStyle w:val="Akapitzlist"/>
        <w:numPr>
          <w:ilvl w:val="0"/>
          <w:numId w:val="10"/>
        </w:numPr>
        <w:spacing w:after="120" w:line="360" w:lineRule="auto"/>
        <w:jc w:val="both"/>
        <w:rPr>
          <w:rStyle w:val="markedcontent"/>
          <w:rFonts w:ascii="Verdana" w:hAnsi="Verdana" w:cs="Open Sans"/>
          <w:sz w:val="20"/>
          <w:szCs w:val="20"/>
        </w:rPr>
      </w:pPr>
      <w:r>
        <w:rPr>
          <w:rStyle w:val="markedcontent"/>
          <w:rFonts w:ascii="Verdana" w:hAnsi="Verdana" w:cs="Open Sans"/>
          <w:sz w:val="20"/>
          <w:szCs w:val="20"/>
        </w:rPr>
        <w:t>.zip</w:t>
      </w:r>
    </w:p>
    <w:p w14:paraId="7CD55503" w14:textId="77777777" w:rsidR="00CD2E9B" w:rsidRDefault="00011D01">
      <w:pPr>
        <w:pStyle w:val="Akapitzlist"/>
        <w:numPr>
          <w:ilvl w:val="0"/>
          <w:numId w:val="10"/>
        </w:numPr>
        <w:spacing w:after="120" w:line="360" w:lineRule="auto"/>
        <w:jc w:val="both"/>
        <w:rPr>
          <w:rFonts w:ascii="Verdana" w:hAnsi="Verdana" w:cs="Open Sans"/>
          <w:sz w:val="20"/>
          <w:szCs w:val="20"/>
        </w:rPr>
      </w:pPr>
      <w:r>
        <w:rPr>
          <w:rStyle w:val="markedcontent"/>
          <w:rFonts w:ascii="Verdana" w:hAnsi="Verdana" w:cs="Open Sans"/>
          <w:sz w:val="20"/>
          <w:szCs w:val="20"/>
        </w:rPr>
        <w:t>.7Z</w:t>
      </w:r>
    </w:p>
    <w:p w14:paraId="1F2B5C3D"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10" w:name="_Toc74836482"/>
      <w:r>
        <w:rPr>
          <w:rFonts w:ascii="Verdana" w:eastAsia="Times New Roman" w:hAnsi="Verdana" w:cs="Open Sans"/>
          <w:sz w:val="20"/>
          <w:szCs w:val="20"/>
          <w:lang w:eastAsia="pl-PL"/>
        </w:rPr>
        <w:t xml:space="preserve">Opis sposobu przygotowywania </w:t>
      </w:r>
      <w:bookmarkEnd w:id="10"/>
      <w:r>
        <w:rPr>
          <w:rFonts w:ascii="Verdana" w:eastAsia="Times New Roman" w:hAnsi="Verdana" w:cs="Open Sans"/>
          <w:sz w:val="20"/>
          <w:szCs w:val="20"/>
          <w:lang w:eastAsia="pl-PL"/>
        </w:rPr>
        <w:t>oferty</w:t>
      </w:r>
    </w:p>
    <w:p w14:paraId="5D7E4548" w14:textId="77777777" w:rsidR="00CD2E9B" w:rsidRDefault="00011D01">
      <w:pPr>
        <w:spacing w:after="120" w:line="360" w:lineRule="auto"/>
        <w:jc w:val="both"/>
        <w:rPr>
          <w:rFonts w:ascii="Verdana" w:hAnsi="Verdana" w:cs="Open Sans"/>
          <w:b/>
          <w:bCs/>
          <w:sz w:val="20"/>
          <w:szCs w:val="20"/>
        </w:rPr>
      </w:pPr>
      <w:r>
        <w:rPr>
          <w:rFonts w:ascii="Verdana" w:hAnsi="Verdana" w:cs="Open Sans"/>
          <w:b/>
          <w:bCs/>
          <w:sz w:val="20"/>
          <w:szCs w:val="20"/>
        </w:rPr>
        <w:t>Wymagania ogólne</w:t>
      </w:r>
    </w:p>
    <w:p w14:paraId="5034D30A"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Wykonawca zaproszony do złożenia oferty może złożyć jedną ofertę.</w:t>
      </w:r>
    </w:p>
    <w:p w14:paraId="15911874"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7A63CA3E"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Ofertę Wykonawca sporządza pod rygorem nieważności w postaci elektronicznej i opatruje kwalifikowanym podpisem elektronicznym.</w:t>
      </w:r>
    </w:p>
    <w:p w14:paraId="61529DE3"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 xml:space="preserve">Ofertę podpisuje osoba (osoby) uprawniona do reprezentowania Wykonawcy zgodnie z zasadami reprezentacji Wykonawcy lub zgodnie z udzielonym pełnomocnictwem. </w:t>
      </w:r>
    </w:p>
    <w:p w14:paraId="398006ED"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Wykonawca ponosi wszelkie koszty związane z przygotowaniem i złożeniem Oferty.</w:t>
      </w:r>
    </w:p>
    <w:p w14:paraId="7F96766E" w14:textId="5DBE17F2"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 xml:space="preserve">Termin związania ofertą </w:t>
      </w:r>
      <w:r w:rsidR="00C6609B">
        <w:rPr>
          <w:rFonts w:ascii="Verdana" w:hAnsi="Verdana" w:cs="Open Sans"/>
          <w:sz w:val="20"/>
          <w:szCs w:val="20"/>
        </w:rPr>
        <w:t xml:space="preserve">- </w:t>
      </w:r>
      <w:r>
        <w:rPr>
          <w:rFonts w:ascii="Verdana" w:hAnsi="Verdana" w:cs="Open Sans"/>
          <w:sz w:val="20"/>
          <w:szCs w:val="20"/>
        </w:rPr>
        <w:t xml:space="preserve"> do dnia </w:t>
      </w:r>
      <w:r w:rsidR="00393E6B">
        <w:rPr>
          <w:rFonts w:ascii="Verdana" w:hAnsi="Verdana" w:cs="Open Sans"/>
          <w:sz w:val="20"/>
          <w:szCs w:val="20"/>
        </w:rPr>
        <w:t>2</w:t>
      </w:r>
      <w:r w:rsidR="003B3D53">
        <w:rPr>
          <w:rFonts w:ascii="Verdana" w:hAnsi="Verdana" w:cs="Open Sans"/>
          <w:sz w:val="20"/>
          <w:szCs w:val="20"/>
        </w:rPr>
        <w:t>1</w:t>
      </w:r>
      <w:r w:rsidR="00393E6B" w:rsidRPr="00C15030">
        <w:rPr>
          <w:rFonts w:ascii="Verdana" w:hAnsi="Verdana" w:cs="Open Sans"/>
          <w:sz w:val="20"/>
          <w:szCs w:val="20"/>
        </w:rPr>
        <w:t xml:space="preserve"> </w:t>
      </w:r>
      <w:r w:rsidR="00C15030" w:rsidRPr="00C15030">
        <w:rPr>
          <w:rFonts w:ascii="Verdana" w:hAnsi="Verdana" w:cs="Open Sans"/>
          <w:sz w:val="20"/>
          <w:szCs w:val="20"/>
        </w:rPr>
        <w:t>stycznia 2022 r.</w:t>
      </w:r>
    </w:p>
    <w:p w14:paraId="4A4A4CFA" w14:textId="77777777" w:rsidR="00CD2E9B" w:rsidRDefault="00011D01">
      <w:pPr>
        <w:spacing w:after="120" w:line="360" w:lineRule="auto"/>
        <w:jc w:val="both"/>
        <w:rPr>
          <w:rFonts w:ascii="Verdana" w:hAnsi="Verdana" w:cs="Open Sans"/>
          <w:b/>
          <w:bCs/>
          <w:sz w:val="20"/>
          <w:szCs w:val="20"/>
        </w:rPr>
      </w:pPr>
      <w:r>
        <w:rPr>
          <w:rFonts w:ascii="Verdana" w:hAnsi="Verdana" w:cs="Open Sans"/>
          <w:b/>
          <w:bCs/>
          <w:sz w:val="20"/>
          <w:szCs w:val="20"/>
        </w:rPr>
        <w:t>Zawartość oferty</w:t>
      </w:r>
    </w:p>
    <w:p w14:paraId="1F77E5C5" w14:textId="77777777" w:rsidR="00CD2E9B" w:rsidRDefault="00011D01">
      <w:pPr>
        <w:pStyle w:val="Akapitzlist"/>
        <w:numPr>
          <w:ilvl w:val="0"/>
          <w:numId w:val="7"/>
        </w:numPr>
        <w:spacing w:after="120" w:line="360" w:lineRule="auto"/>
        <w:jc w:val="both"/>
        <w:rPr>
          <w:rFonts w:ascii="Verdana" w:hAnsi="Verdana" w:cs="Open Sans"/>
          <w:sz w:val="20"/>
          <w:szCs w:val="20"/>
          <w:u w:val="single"/>
        </w:rPr>
      </w:pPr>
      <w:r>
        <w:rPr>
          <w:rFonts w:ascii="Verdana" w:hAnsi="Verdana" w:cs="Open Sans"/>
          <w:sz w:val="20"/>
          <w:szCs w:val="20"/>
          <w:u w:val="single"/>
        </w:rPr>
        <w:t>Oferta składa się z:</w:t>
      </w:r>
    </w:p>
    <w:p w14:paraId="55B66CF7" w14:textId="77777777" w:rsidR="00CD2E9B" w:rsidRDefault="00011D01">
      <w:pPr>
        <w:pStyle w:val="Akapitzlist"/>
        <w:numPr>
          <w:ilvl w:val="1"/>
          <w:numId w:val="7"/>
        </w:numPr>
        <w:spacing w:after="120" w:line="360" w:lineRule="auto"/>
        <w:jc w:val="both"/>
        <w:rPr>
          <w:rFonts w:ascii="Verdana" w:hAnsi="Verdana" w:cs="Open Sans"/>
          <w:sz w:val="20"/>
          <w:szCs w:val="20"/>
        </w:rPr>
      </w:pPr>
      <w:r>
        <w:rPr>
          <w:rFonts w:ascii="Verdana" w:hAnsi="Verdana" w:cs="Open Sans"/>
          <w:sz w:val="20"/>
          <w:szCs w:val="20"/>
        </w:rPr>
        <w:t>Formularza oferty - Formularz oferty stanowi załącznik nr 3 do SWZ;</w:t>
      </w:r>
    </w:p>
    <w:p w14:paraId="527F14A0" w14:textId="77777777" w:rsidR="00CD2E9B" w:rsidRDefault="00011D01">
      <w:pPr>
        <w:pStyle w:val="Akapitzlist"/>
        <w:numPr>
          <w:ilvl w:val="1"/>
          <w:numId w:val="7"/>
        </w:numPr>
        <w:spacing w:after="120" w:line="360" w:lineRule="auto"/>
        <w:jc w:val="both"/>
        <w:rPr>
          <w:rFonts w:ascii="Verdana" w:hAnsi="Verdana" w:cs="Open Sans"/>
          <w:sz w:val="20"/>
          <w:szCs w:val="20"/>
        </w:rPr>
      </w:pPr>
      <w:r>
        <w:rPr>
          <w:rFonts w:ascii="Verdana" w:hAnsi="Verdana" w:cs="Open Sans"/>
          <w:sz w:val="20"/>
          <w:szCs w:val="20"/>
        </w:rPr>
        <w:t>Pełnomocnictwa wskazującego pełnomocnika wykonawców występujących wspólnie (w wypadku złożenia oferty przez konsorcjum) o ile złożone przy wniosku uległo zmianie lub wygasło;</w:t>
      </w:r>
    </w:p>
    <w:p w14:paraId="7047103E" w14:textId="77777777" w:rsidR="00CD2E9B" w:rsidRDefault="00011D01">
      <w:pPr>
        <w:pStyle w:val="Akapitzlist"/>
        <w:numPr>
          <w:ilvl w:val="1"/>
          <w:numId w:val="7"/>
        </w:numPr>
        <w:spacing w:after="120" w:line="360" w:lineRule="auto"/>
        <w:jc w:val="both"/>
        <w:rPr>
          <w:rFonts w:ascii="Verdana" w:hAnsi="Verdana" w:cs="Open Sans"/>
          <w:sz w:val="20"/>
          <w:szCs w:val="20"/>
        </w:rPr>
      </w:pPr>
      <w:r>
        <w:rPr>
          <w:rFonts w:ascii="Verdana" w:hAnsi="Verdana" w:cs="Open Sans"/>
          <w:sz w:val="20"/>
          <w:szCs w:val="20"/>
        </w:rPr>
        <w:t>Pełnomocnictwa do podpisania oferty (w przypadku posługiwania się pełnomocnikiem) - o ile złożone przy wniosku uległo zmianie lub wygasło;</w:t>
      </w:r>
    </w:p>
    <w:p w14:paraId="71471DB8" w14:textId="77777777" w:rsidR="00CD2E9B" w:rsidRDefault="00011D01">
      <w:pPr>
        <w:pStyle w:val="Akapitzlist"/>
        <w:numPr>
          <w:ilvl w:val="1"/>
          <w:numId w:val="7"/>
        </w:numPr>
        <w:spacing w:after="120" w:line="360" w:lineRule="auto"/>
        <w:jc w:val="both"/>
        <w:rPr>
          <w:rFonts w:ascii="Verdana" w:hAnsi="Verdana" w:cs="Open Sans"/>
          <w:sz w:val="20"/>
          <w:szCs w:val="20"/>
        </w:rPr>
      </w:pPr>
      <w:r>
        <w:rPr>
          <w:rFonts w:ascii="Verdana" w:hAnsi="Verdana" w:cs="Open Sans"/>
          <w:sz w:val="20"/>
          <w:szCs w:val="20"/>
        </w:rPr>
        <w:t>dokumentu potwierdzające wniesienie wadium</w:t>
      </w:r>
    </w:p>
    <w:p w14:paraId="504C1E25" w14:textId="77777777" w:rsidR="00CD2E9B" w:rsidRDefault="00011D01">
      <w:pPr>
        <w:pStyle w:val="Akapitzlist"/>
        <w:numPr>
          <w:ilvl w:val="0"/>
          <w:numId w:val="7"/>
        </w:numPr>
        <w:spacing w:after="120" w:line="360" w:lineRule="auto"/>
        <w:jc w:val="both"/>
        <w:rPr>
          <w:rFonts w:ascii="Verdana" w:hAnsi="Verdana" w:cs="Open Sans"/>
          <w:b/>
          <w:bCs/>
          <w:sz w:val="20"/>
          <w:szCs w:val="20"/>
        </w:rPr>
      </w:pPr>
      <w:r>
        <w:rPr>
          <w:rFonts w:ascii="Verdana" w:hAnsi="Verdana" w:cs="Open Sans"/>
          <w:b/>
          <w:bCs/>
          <w:sz w:val="20"/>
          <w:szCs w:val="20"/>
        </w:rPr>
        <w:t>Wykonawca wypełnia Formularz oferty w zakresie kryteriów, cen urządzeń i usługi wsparcia za dany miesiąc, mając na uwadze, że usługi wsparcia realizowane są zgodnie z OPZ i Umową po zakończeniu wsparcia powdrożeniowego i Odbioru Systemu przez 4 lata, jeśli zastosowane zostanie prawo opcji. Zamawiający wskazuje, że iloczyn 48 i miesięcznej ceny  netto wynagrodzenia za usługi wsparcia nie może przekroczyć 12% ceny netto wynagrodzenia podanego w formularzu ofertowym za realizacji zamówienia podstawowego (ust. 2 formularza oferty). W przypadku przekroczenia tej wartości, oferta zostanie odrzucona w oparciu o art. 226 ust. 1 pkt 5) ustawy Pzp</w:t>
      </w:r>
    </w:p>
    <w:p w14:paraId="132D467D" w14:textId="77777777" w:rsidR="00CD2E9B" w:rsidRDefault="00011D01">
      <w:pPr>
        <w:spacing w:after="120" w:line="360" w:lineRule="auto"/>
        <w:jc w:val="both"/>
        <w:rPr>
          <w:rFonts w:ascii="Verdana" w:hAnsi="Verdana" w:cs="Open Sans"/>
          <w:b/>
          <w:bCs/>
          <w:sz w:val="20"/>
          <w:szCs w:val="20"/>
        </w:rPr>
      </w:pPr>
      <w:r>
        <w:rPr>
          <w:rFonts w:ascii="Verdana" w:hAnsi="Verdana" w:cs="Open Sans"/>
          <w:b/>
          <w:bCs/>
          <w:sz w:val="20"/>
          <w:szCs w:val="20"/>
        </w:rPr>
        <w:t>Sposób złożenia oferty</w:t>
      </w:r>
    </w:p>
    <w:p w14:paraId="4AF5E31B"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Formularz oferty powinien być podpisany podpisem elektronicznym kwalifikowanym przez upoważnione osoby.</w:t>
      </w:r>
    </w:p>
    <w:p w14:paraId="56165767" w14:textId="77777777" w:rsidR="00CD2E9B" w:rsidRDefault="00011D01">
      <w:pPr>
        <w:pStyle w:val="Akapitzlist"/>
        <w:numPr>
          <w:ilvl w:val="0"/>
          <w:numId w:val="7"/>
        </w:numPr>
        <w:spacing w:after="120" w:line="360" w:lineRule="auto"/>
        <w:jc w:val="both"/>
      </w:pPr>
      <w:r>
        <w:rPr>
          <w:rFonts w:ascii="Verdana" w:hAnsi="Verdana" w:cs="Open Sans"/>
          <w:sz w:val="20"/>
          <w:szCs w:val="20"/>
        </w:rPr>
        <w:t xml:space="preserve">Ofertę należy złożyć na platformie </w:t>
      </w:r>
      <w:hyperlink r:id="rId12">
        <w:r>
          <w:rPr>
            <w:rStyle w:val="czeinternetowe"/>
            <w:rFonts w:ascii="Verdana" w:eastAsiaTheme="majorEastAsia" w:hAnsi="Verdana" w:cs="Open Sans"/>
            <w:sz w:val="20"/>
            <w:szCs w:val="20"/>
          </w:rPr>
          <w:t>https://platformazakupowa.pl/pn/powiat_koszalin</w:t>
        </w:r>
      </w:hyperlink>
    </w:p>
    <w:p w14:paraId="3223E708" w14:textId="77777777" w:rsidR="00CD2E9B" w:rsidRDefault="00011D01">
      <w:pPr>
        <w:widowControl w:val="0"/>
        <w:spacing w:after="120" w:line="360" w:lineRule="auto"/>
        <w:jc w:val="both"/>
        <w:textAlignment w:val="baseline"/>
        <w:rPr>
          <w:rFonts w:ascii="Verdana" w:hAnsi="Verdana" w:cs="Open Sans"/>
          <w:b/>
          <w:bCs/>
          <w:sz w:val="20"/>
          <w:szCs w:val="20"/>
        </w:rPr>
      </w:pPr>
      <w:r>
        <w:rPr>
          <w:rFonts w:ascii="Verdana" w:hAnsi="Verdana" w:cs="Open Sans"/>
          <w:b/>
          <w:bCs/>
          <w:sz w:val="20"/>
          <w:szCs w:val="20"/>
        </w:rPr>
        <w:t>Opis sposobu obliczenia ceny</w:t>
      </w:r>
    </w:p>
    <w:p w14:paraId="2662E4DD"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Podstawą do określenia ceny jest zakres zamówienia określony w niniejszej specyfikacji wraz z załącznikami dotyczącymi zamówienia.</w:t>
      </w:r>
    </w:p>
    <w:p w14:paraId="3AF2CCA6" w14:textId="0B1A269E"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Wykonawca podaje cenę</w:t>
      </w:r>
      <w:r w:rsidR="001C3D46">
        <w:rPr>
          <w:rFonts w:ascii="Verdana" w:hAnsi="Verdana" w:cs="Open Sans"/>
          <w:sz w:val="20"/>
          <w:szCs w:val="20"/>
        </w:rPr>
        <w:t xml:space="preserve"> za zamówienie podstawowe</w:t>
      </w:r>
      <w:r>
        <w:rPr>
          <w:rFonts w:ascii="Verdana" w:hAnsi="Verdana" w:cs="Open Sans"/>
          <w:sz w:val="20"/>
          <w:szCs w:val="20"/>
        </w:rPr>
        <w:t>, jak też podaje odrębnie ceny za wybrane urządzenia oraz usługi wsparcia, co dotyczy zamówienia opcjonalnego. Sposób podania cen jest określony w Formularzu oferty (stanowiącym załącznik nr 3 do SWZ).</w:t>
      </w:r>
    </w:p>
    <w:p w14:paraId="0FA1D865" w14:textId="6C9F2FCB"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Cena musi zawierać wszystkie koszty Wykonawcy i opłaty związane z realizacją zamówienia.</w:t>
      </w:r>
      <w:bookmarkStart w:id="11" w:name="_Toc463422678"/>
      <w:bookmarkEnd w:id="11"/>
    </w:p>
    <w:p w14:paraId="31F97176" w14:textId="0B551DC7" w:rsidR="004D6B1D" w:rsidRPr="004D6B1D" w:rsidRDefault="004D6B1D">
      <w:pPr>
        <w:pStyle w:val="Akapitzlist"/>
        <w:numPr>
          <w:ilvl w:val="0"/>
          <w:numId w:val="7"/>
        </w:numPr>
        <w:spacing w:after="120" w:line="360" w:lineRule="auto"/>
        <w:jc w:val="both"/>
        <w:rPr>
          <w:rFonts w:ascii="Verdana" w:hAnsi="Verdana" w:cs="Open Sans"/>
          <w:b/>
          <w:bCs/>
          <w:sz w:val="20"/>
          <w:szCs w:val="20"/>
        </w:rPr>
      </w:pPr>
      <w:r w:rsidRPr="004D6B1D">
        <w:rPr>
          <w:rFonts w:ascii="Verdana" w:hAnsi="Verdana" w:cs="Open Sans"/>
          <w:b/>
          <w:bCs/>
          <w:sz w:val="20"/>
          <w:szCs w:val="20"/>
        </w:rPr>
        <w:t>Cena zaoferowana za zamówienie objęte opcją nie może przekraczać 4</w:t>
      </w:r>
      <w:r w:rsidR="005216A5">
        <w:rPr>
          <w:rFonts w:ascii="Verdana" w:hAnsi="Verdana" w:cs="Open Sans"/>
          <w:b/>
          <w:bCs/>
          <w:sz w:val="20"/>
          <w:szCs w:val="20"/>
        </w:rPr>
        <w:t>5</w:t>
      </w:r>
      <w:r w:rsidRPr="004D6B1D">
        <w:rPr>
          <w:rFonts w:ascii="Verdana" w:hAnsi="Verdana" w:cs="Open Sans"/>
          <w:b/>
          <w:bCs/>
          <w:sz w:val="20"/>
          <w:szCs w:val="20"/>
        </w:rPr>
        <w:t>% ceny zamówienia podstawowego.</w:t>
      </w:r>
    </w:p>
    <w:p w14:paraId="4EF7573C" w14:textId="77777777" w:rsidR="00CD2E9B" w:rsidRDefault="00011D01">
      <w:pPr>
        <w:spacing w:after="120" w:line="360" w:lineRule="auto"/>
        <w:jc w:val="both"/>
        <w:rPr>
          <w:rFonts w:ascii="Verdana" w:hAnsi="Verdana" w:cs="Open Sans"/>
          <w:b/>
          <w:bCs/>
          <w:sz w:val="20"/>
          <w:szCs w:val="20"/>
        </w:rPr>
      </w:pPr>
      <w:r>
        <w:rPr>
          <w:rFonts w:ascii="Verdana" w:hAnsi="Verdana" w:cs="Open Sans"/>
          <w:b/>
          <w:bCs/>
          <w:sz w:val="20"/>
          <w:szCs w:val="20"/>
        </w:rPr>
        <w:t>Tajemnica przedsiębiorstwa:</w:t>
      </w:r>
    </w:p>
    <w:p w14:paraId="01DA69A6"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313B868" w14:textId="77777777" w:rsidR="00CD2E9B" w:rsidRDefault="00011D01">
      <w:pPr>
        <w:pStyle w:val="Akapitzlist"/>
        <w:numPr>
          <w:ilvl w:val="0"/>
          <w:numId w:val="7"/>
        </w:numPr>
        <w:spacing w:after="120" w:line="360" w:lineRule="auto"/>
        <w:jc w:val="both"/>
        <w:rPr>
          <w:rFonts w:ascii="Verdana" w:hAnsi="Verdana" w:cs="Open Sans"/>
          <w:sz w:val="20"/>
          <w:szCs w:val="20"/>
        </w:rPr>
      </w:pPr>
      <w:r>
        <w:rPr>
          <w:rFonts w:ascii="Verdana" w:hAnsi="Verdana" w:cs="Open Sans"/>
          <w:sz w:val="20"/>
          <w:szCs w:val="20"/>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169642FB"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12" w:name="_Toc74836483"/>
      <w:r>
        <w:rPr>
          <w:rFonts w:ascii="Verdana" w:eastAsia="Times New Roman" w:hAnsi="Verdana" w:cs="Open Sans"/>
          <w:sz w:val="20"/>
          <w:szCs w:val="20"/>
          <w:lang w:eastAsia="pl-PL"/>
        </w:rPr>
        <w:t xml:space="preserve">Sposób oraz termin składania </w:t>
      </w:r>
      <w:bookmarkEnd w:id="12"/>
      <w:r>
        <w:rPr>
          <w:rFonts w:ascii="Verdana" w:eastAsia="Times New Roman" w:hAnsi="Verdana" w:cs="Open Sans"/>
          <w:sz w:val="20"/>
          <w:szCs w:val="20"/>
          <w:lang w:eastAsia="pl-PL"/>
        </w:rPr>
        <w:t>ofert</w:t>
      </w:r>
    </w:p>
    <w:p w14:paraId="1D944F75" w14:textId="00175627" w:rsidR="00CD2E9B" w:rsidRDefault="00011D01">
      <w:pPr>
        <w:pStyle w:val="Akapitzlist"/>
        <w:numPr>
          <w:ilvl w:val="0"/>
          <w:numId w:val="15"/>
        </w:numPr>
        <w:spacing w:after="120" w:line="360" w:lineRule="auto"/>
        <w:jc w:val="both"/>
        <w:rPr>
          <w:rFonts w:ascii="Verdana" w:hAnsi="Verdana" w:cs="Open Sans"/>
          <w:sz w:val="20"/>
          <w:szCs w:val="20"/>
        </w:rPr>
      </w:pPr>
      <w:r>
        <w:rPr>
          <w:rFonts w:ascii="Verdana" w:hAnsi="Verdana" w:cs="Open Sans"/>
          <w:sz w:val="20"/>
          <w:szCs w:val="20"/>
        </w:rPr>
        <w:t xml:space="preserve">Oferty należy złożyć do dnia </w:t>
      </w:r>
      <w:r w:rsidR="00393E6B" w:rsidRPr="00646772">
        <w:rPr>
          <w:rFonts w:ascii="Verdana" w:hAnsi="Verdana" w:cs="Open Sans"/>
          <w:b/>
          <w:bCs/>
          <w:sz w:val="20"/>
          <w:szCs w:val="20"/>
        </w:rPr>
        <w:t>2</w:t>
      </w:r>
      <w:r w:rsidR="003B3D53">
        <w:rPr>
          <w:rFonts w:ascii="Verdana" w:hAnsi="Verdana" w:cs="Open Sans"/>
          <w:b/>
          <w:bCs/>
          <w:sz w:val="20"/>
          <w:szCs w:val="20"/>
        </w:rPr>
        <w:t>9</w:t>
      </w:r>
      <w:r w:rsidR="00393E6B" w:rsidRPr="00646772">
        <w:rPr>
          <w:rFonts w:ascii="Verdana" w:hAnsi="Verdana" w:cs="Open Sans"/>
          <w:b/>
          <w:bCs/>
          <w:sz w:val="20"/>
          <w:szCs w:val="20"/>
        </w:rPr>
        <w:t xml:space="preserve">  </w:t>
      </w:r>
      <w:r w:rsidR="00C15030" w:rsidRPr="00646772">
        <w:rPr>
          <w:rFonts w:ascii="Verdana" w:hAnsi="Verdana" w:cs="Open Sans"/>
          <w:b/>
          <w:bCs/>
          <w:sz w:val="20"/>
          <w:szCs w:val="20"/>
        </w:rPr>
        <w:t xml:space="preserve">października </w:t>
      </w:r>
      <w:r w:rsidRPr="00646772">
        <w:rPr>
          <w:rFonts w:ascii="Verdana" w:hAnsi="Verdana" w:cs="Open Sans"/>
          <w:b/>
          <w:bCs/>
          <w:sz w:val="20"/>
          <w:szCs w:val="20"/>
        </w:rPr>
        <w:t>2021</w:t>
      </w:r>
      <w:r>
        <w:rPr>
          <w:rFonts w:ascii="Verdana" w:hAnsi="Verdana" w:cs="Open Sans"/>
          <w:sz w:val="20"/>
          <w:szCs w:val="20"/>
        </w:rPr>
        <w:t xml:space="preserve"> </w:t>
      </w:r>
      <w:r w:rsidR="001D7F4E">
        <w:rPr>
          <w:rFonts w:ascii="Verdana" w:hAnsi="Verdana" w:cs="Open Sans"/>
          <w:sz w:val="20"/>
          <w:szCs w:val="20"/>
        </w:rPr>
        <w:t xml:space="preserve">roku </w:t>
      </w:r>
      <w:r>
        <w:rPr>
          <w:rFonts w:ascii="Verdana" w:hAnsi="Verdana" w:cs="Open Sans"/>
          <w:sz w:val="20"/>
          <w:szCs w:val="20"/>
        </w:rPr>
        <w:t xml:space="preserve">do godziny </w:t>
      </w:r>
      <w:r w:rsidR="00C15030">
        <w:rPr>
          <w:rFonts w:ascii="Verdana" w:hAnsi="Verdana" w:cs="Open Sans"/>
          <w:sz w:val="20"/>
          <w:szCs w:val="20"/>
        </w:rPr>
        <w:t>10.00</w:t>
      </w:r>
      <w:r w:rsidR="00177FEA">
        <w:rPr>
          <w:rFonts w:ascii="Verdana" w:hAnsi="Verdana" w:cs="Open Sans"/>
          <w:sz w:val="20"/>
          <w:szCs w:val="20"/>
        </w:rPr>
        <w:t>. Otwarcie nastąpi 29 października 2021 r. o godzinie 11.00</w:t>
      </w:r>
    </w:p>
    <w:p w14:paraId="5DB8FECA" w14:textId="77777777" w:rsidR="00CD2E9B" w:rsidRDefault="00011D01">
      <w:pPr>
        <w:pStyle w:val="Akapitzlist"/>
        <w:numPr>
          <w:ilvl w:val="0"/>
          <w:numId w:val="15"/>
        </w:numPr>
        <w:spacing w:after="120" w:line="360" w:lineRule="auto"/>
        <w:jc w:val="both"/>
      </w:pPr>
      <w:r>
        <w:rPr>
          <w:rFonts w:ascii="Verdana" w:hAnsi="Verdana" w:cs="Open Sans"/>
          <w:sz w:val="20"/>
          <w:szCs w:val="20"/>
        </w:rPr>
        <w:t xml:space="preserve">Oferty należy złożyć w formie elektronicznej (z podpisem elektronicznym kwalifikowanym) na platformie wskazanej przez Zamawiającego - </w:t>
      </w:r>
      <w:hyperlink r:id="rId13">
        <w:r>
          <w:rPr>
            <w:rStyle w:val="czeinternetowe"/>
            <w:rFonts w:ascii="Verdana" w:eastAsiaTheme="majorEastAsia" w:hAnsi="Verdana" w:cs="Open Sans"/>
            <w:sz w:val="20"/>
            <w:szCs w:val="20"/>
          </w:rPr>
          <w:t>https://platformazakupowa.pl/pn/powiat_koszalin</w:t>
        </w:r>
      </w:hyperlink>
    </w:p>
    <w:p w14:paraId="1D136992"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Wadium</w:t>
      </w:r>
    </w:p>
    <w:p w14:paraId="0CC5C5E2"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Zamawiający żąda od Wykonawców wniesienia wadium w wysokości  40 000 PLN.</w:t>
      </w:r>
    </w:p>
    <w:p w14:paraId="1A45194A"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Wadium należy wnieść przed terminem składania ofert (w szczególności wadium w pieniądzu powinno znajdować się na rachunku zamawiającego przed upływem terminu składania ofert).</w:t>
      </w:r>
    </w:p>
    <w:p w14:paraId="67E7E979"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Wykonawca wnosi wadium w jednej lub kilku następujących formach:</w:t>
      </w:r>
    </w:p>
    <w:p w14:paraId="46F4ACA2" w14:textId="77777777" w:rsidR="00CD2E9B" w:rsidRDefault="00011D01">
      <w:pPr>
        <w:pStyle w:val="Akapitzlist"/>
        <w:numPr>
          <w:ilvl w:val="1"/>
          <w:numId w:val="23"/>
        </w:numPr>
        <w:spacing w:after="120" w:line="360" w:lineRule="auto"/>
        <w:jc w:val="both"/>
        <w:rPr>
          <w:rFonts w:ascii="Verdana" w:hAnsi="Verdana" w:cs="Open Sans"/>
          <w:sz w:val="20"/>
          <w:szCs w:val="20"/>
        </w:rPr>
      </w:pPr>
      <w:r>
        <w:rPr>
          <w:rFonts w:ascii="Verdana" w:hAnsi="Verdana" w:cs="Open Sans"/>
          <w:sz w:val="20"/>
          <w:szCs w:val="20"/>
        </w:rPr>
        <w:t>pieniądz,</w:t>
      </w:r>
    </w:p>
    <w:p w14:paraId="338FAF59" w14:textId="77777777" w:rsidR="00CD2E9B" w:rsidRDefault="00011D01">
      <w:pPr>
        <w:pStyle w:val="Akapitzlist"/>
        <w:numPr>
          <w:ilvl w:val="1"/>
          <w:numId w:val="23"/>
        </w:numPr>
        <w:spacing w:after="120" w:line="360" w:lineRule="auto"/>
        <w:jc w:val="both"/>
        <w:rPr>
          <w:rFonts w:ascii="Verdana" w:hAnsi="Verdana" w:cs="Open Sans"/>
          <w:sz w:val="20"/>
          <w:szCs w:val="20"/>
        </w:rPr>
      </w:pPr>
      <w:r>
        <w:rPr>
          <w:rFonts w:ascii="Verdana" w:hAnsi="Verdana" w:cs="Open Sans"/>
          <w:sz w:val="20"/>
          <w:szCs w:val="20"/>
        </w:rPr>
        <w:t>gwarancja bankowa,</w:t>
      </w:r>
    </w:p>
    <w:p w14:paraId="2A46C3C6" w14:textId="77777777" w:rsidR="00CD2E9B" w:rsidRDefault="00011D01">
      <w:pPr>
        <w:pStyle w:val="Akapitzlist"/>
        <w:numPr>
          <w:ilvl w:val="1"/>
          <w:numId w:val="23"/>
        </w:numPr>
        <w:spacing w:after="120" w:line="360" w:lineRule="auto"/>
        <w:jc w:val="both"/>
        <w:rPr>
          <w:rFonts w:ascii="Verdana" w:hAnsi="Verdana" w:cs="Open Sans"/>
          <w:sz w:val="20"/>
          <w:szCs w:val="20"/>
        </w:rPr>
      </w:pPr>
      <w:r>
        <w:rPr>
          <w:rFonts w:ascii="Verdana" w:hAnsi="Verdana" w:cs="Open Sans"/>
          <w:sz w:val="20"/>
          <w:szCs w:val="20"/>
        </w:rPr>
        <w:t>gwarancja ubezpieczeniowa,</w:t>
      </w:r>
    </w:p>
    <w:p w14:paraId="77D13F9E" w14:textId="77777777" w:rsidR="00CD2E9B" w:rsidRDefault="00011D01">
      <w:pPr>
        <w:pStyle w:val="Akapitzlist"/>
        <w:numPr>
          <w:ilvl w:val="1"/>
          <w:numId w:val="23"/>
        </w:numPr>
        <w:spacing w:after="120" w:line="360" w:lineRule="auto"/>
        <w:jc w:val="both"/>
        <w:rPr>
          <w:rFonts w:ascii="Verdana" w:hAnsi="Verdana" w:cs="Open Sans"/>
          <w:sz w:val="20"/>
          <w:szCs w:val="20"/>
        </w:rPr>
      </w:pPr>
      <w:r>
        <w:rPr>
          <w:rFonts w:ascii="Verdana" w:hAnsi="Verdana" w:cs="Open Sans"/>
          <w:sz w:val="20"/>
          <w:szCs w:val="20"/>
        </w:rPr>
        <w:t>poręczenie udzielane przez podmioty, o których mowa w art. 6b ust. 5 pkt. 2 ustawy z dnia 9 listopada 2000 roku o utworzeniu Polskiej Agencji Rozwoju Przedsiębiorczości (Dz.U. z 2019.poz.310 ze zm.)</w:t>
      </w:r>
    </w:p>
    <w:p w14:paraId="3182958C" w14:textId="654133EB"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 xml:space="preserve">Wadium w pieniądzu należy wpłacić przelewem na rachunek </w:t>
      </w:r>
      <w:r w:rsidR="00C06F61" w:rsidRPr="00C06F61">
        <w:rPr>
          <w:rFonts w:ascii="Verdana" w:hAnsi="Verdana" w:cs="Arial"/>
          <w:b/>
          <w:bCs/>
          <w:sz w:val="20"/>
          <w:szCs w:val="20"/>
        </w:rPr>
        <w:t>69 1020 2791 0000 7502 0312 0763</w:t>
      </w:r>
      <w:r w:rsidR="00C06F61" w:rsidRPr="00C06F61">
        <w:rPr>
          <w:rFonts w:ascii="Verdana" w:hAnsi="Verdana" w:cs="Arial"/>
          <w:sz w:val="20"/>
          <w:szCs w:val="20"/>
        </w:rPr>
        <w:t xml:space="preserve"> (wpłaty krajowe) / </w:t>
      </w:r>
      <w:r w:rsidR="00C06F61" w:rsidRPr="00C06F61">
        <w:rPr>
          <w:rFonts w:ascii="Verdana" w:eastAsia="Calibri" w:hAnsi="Verdana" w:cs="Arial"/>
          <w:b/>
          <w:bCs/>
          <w:iCs/>
          <w:sz w:val="20"/>
          <w:szCs w:val="20"/>
          <w:lang w:eastAsia="en-US"/>
        </w:rPr>
        <w:t xml:space="preserve">IBAN: PL </w:t>
      </w:r>
      <w:r w:rsidR="00C06F61" w:rsidRPr="00C06F61">
        <w:rPr>
          <w:rFonts w:ascii="Verdana" w:hAnsi="Verdana" w:cs="Arial"/>
          <w:b/>
          <w:bCs/>
          <w:sz w:val="20"/>
          <w:szCs w:val="20"/>
        </w:rPr>
        <w:t xml:space="preserve">69 1020 2791 0000 7502 0312 0763 </w:t>
      </w:r>
      <w:r w:rsidR="00C06F61" w:rsidRPr="00C06F61">
        <w:rPr>
          <w:rFonts w:ascii="Verdana" w:eastAsia="Calibri" w:hAnsi="Verdana" w:cs="Arial"/>
          <w:b/>
          <w:bCs/>
          <w:sz w:val="20"/>
          <w:szCs w:val="20"/>
          <w:lang w:eastAsia="en-US"/>
        </w:rPr>
        <w:t>BIC (SWIFT): BPKOPLPW</w:t>
      </w:r>
      <w:r w:rsidR="00C06F61" w:rsidRPr="00C06F61">
        <w:rPr>
          <w:rFonts w:ascii="Verdana" w:eastAsia="Calibri" w:hAnsi="Verdana" w:cs="Arial"/>
          <w:sz w:val="20"/>
          <w:szCs w:val="20"/>
          <w:lang w:eastAsia="en-US"/>
        </w:rPr>
        <w:t xml:space="preserve"> (wpłaty wykonawcy zagranicznego)</w:t>
      </w:r>
      <w:r>
        <w:rPr>
          <w:rFonts w:ascii="Verdana" w:hAnsi="Verdana" w:cs="Open Sans"/>
          <w:sz w:val="20"/>
          <w:szCs w:val="20"/>
        </w:rPr>
        <w:t xml:space="preserve"> z wpisaniem na dowodzie wpłaty hasła: „Wadium na dialog GDS1/21”. Koszty prowizji bankowych z tytułu wpłaty wadium ponosi Wykonawca. </w:t>
      </w:r>
    </w:p>
    <w:p w14:paraId="79AFED27"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Wadium w formie gwarancji lub poręczenia należy przekazać w oryginale w postaci elektronicznej tj. dokument gwarancji lub poręczenia podpisany elektronicznym podpisem kwalifikowanym przez gwaranta lub poręczyciela.</w:t>
      </w:r>
    </w:p>
    <w:p w14:paraId="6D29F471"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7D9375E1" w14:textId="77777777" w:rsidR="00CD2E9B" w:rsidRDefault="00011D01">
      <w:pPr>
        <w:pStyle w:val="Akapitzlist"/>
        <w:numPr>
          <w:ilvl w:val="0"/>
          <w:numId w:val="23"/>
        </w:numPr>
        <w:spacing w:after="120" w:line="360" w:lineRule="auto"/>
        <w:jc w:val="both"/>
        <w:rPr>
          <w:rFonts w:ascii="Verdana" w:hAnsi="Verdana" w:cs="Open Sans"/>
          <w:sz w:val="20"/>
          <w:szCs w:val="20"/>
        </w:rPr>
      </w:pPr>
      <w:r>
        <w:rPr>
          <w:rFonts w:ascii="Verdana" w:hAnsi="Verdana" w:cs="Open Sans"/>
          <w:sz w:val="20"/>
          <w:szCs w:val="20"/>
        </w:rPr>
        <w:t xml:space="preserve">Zwrot lub zatrzymanie wadium nastąpi zgodnie z przepisami art. 98 ustawy Pzp. </w:t>
      </w:r>
    </w:p>
    <w:p w14:paraId="1D1E290F"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Wyjaśnienia</w:t>
      </w:r>
    </w:p>
    <w:p w14:paraId="2919E2B7" w14:textId="77777777" w:rsidR="00CD2E9B" w:rsidRDefault="00011D01">
      <w:pPr>
        <w:pStyle w:val="Akapitzlist"/>
        <w:numPr>
          <w:ilvl w:val="0"/>
          <w:numId w:val="16"/>
        </w:numPr>
        <w:spacing w:after="120" w:line="360" w:lineRule="auto"/>
        <w:jc w:val="both"/>
        <w:rPr>
          <w:rFonts w:ascii="Verdana" w:hAnsi="Verdana" w:cs="Open Sans"/>
          <w:sz w:val="20"/>
          <w:szCs w:val="20"/>
        </w:rPr>
      </w:pPr>
      <w:r>
        <w:rPr>
          <w:rFonts w:ascii="Verdana" w:hAnsi="Verdana" w:cs="Open Sans"/>
          <w:sz w:val="20"/>
          <w:szCs w:val="20"/>
        </w:rPr>
        <w:t>Wykonawcy zaproszeni do składania ofert są w świetle art. 185 ustawy Pzp uprawnieni do wnioskowania o wyjaśnienie treści SWZ z zastrzeżeniem art. 143 ust. 4 ustawy Pzp, co skutkuje niedopuszczalnością wprowadzenia zmian skutkujących zmianą ogłoszenia o udzielenie zamówienia publicznego.</w:t>
      </w:r>
    </w:p>
    <w:p w14:paraId="611B5E25" w14:textId="77777777" w:rsidR="00CD2E9B" w:rsidRDefault="00011D01">
      <w:pPr>
        <w:pStyle w:val="Akapitzlist"/>
        <w:numPr>
          <w:ilvl w:val="0"/>
          <w:numId w:val="16"/>
        </w:numPr>
        <w:spacing w:after="120" w:line="360" w:lineRule="auto"/>
        <w:jc w:val="both"/>
        <w:rPr>
          <w:rFonts w:ascii="Verdana" w:hAnsi="Verdana" w:cs="Open Sans"/>
          <w:sz w:val="20"/>
          <w:szCs w:val="20"/>
        </w:rPr>
      </w:pPr>
      <w:r>
        <w:rPr>
          <w:rFonts w:ascii="Verdana" w:hAnsi="Verdana" w:cs="Open Sans"/>
          <w:sz w:val="20"/>
          <w:szCs w:val="20"/>
        </w:rPr>
        <w:t>Wniosek o wyjaśnienia składa się za pośrednictwem platformy przy użyciu której jest prowadzone postępowanie.</w:t>
      </w:r>
    </w:p>
    <w:p w14:paraId="71F79F35" w14:textId="77777777" w:rsidR="00CD2E9B" w:rsidRDefault="00011D01">
      <w:pPr>
        <w:pStyle w:val="Akapitzlist"/>
        <w:numPr>
          <w:ilvl w:val="0"/>
          <w:numId w:val="16"/>
        </w:numPr>
        <w:spacing w:after="120" w:line="360" w:lineRule="auto"/>
        <w:jc w:val="both"/>
        <w:rPr>
          <w:rFonts w:ascii="Verdana" w:hAnsi="Verdana"/>
          <w:bCs/>
          <w:sz w:val="20"/>
          <w:szCs w:val="20"/>
        </w:rPr>
      </w:pPr>
      <w:r>
        <w:rPr>
          <w:rFonts w:ascii="Verdana" w:hAnsi="Verdana"/>
          <w:bCs/>
          <w:sz w:val="20"/>
          <w:szCs w:val="20"/>
        </w:rPr>
        <w:t>Po złożeniu ofert zamawiający dokona badania i oceny ofert, w tym poprawy omyłek zgodnie z art. 223 ustawy Pzp</w:t>
      </w:r>
    </w:p>
    <w:p w14:paraId="43A3B86D"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13" w:name="_Toc74836485"/>
      <w:r>
        <w:rPr>
          <w:rFonts w:ascii="Verdana" w:eastAsia="Times New Roman" w:hAnsi="Verdana" w:cs="Open Sans"/>
          <w:sz w:val="20"/>
          <w:szCs w:val="20"/>
          <w:lang w:eastAsia="pl-PL"/>
        </w:rPr>
        <w:t>Kryteria oceny ofert</w:t>
      </w:r>
      <w:bookmarkEnd w:id="13"/>
    </w:p>
    <w:p w14:paraId="7AE71751"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Przewiduje się zastosowanie następujących kryteriów oceny ofert:</w:t>
      </w:r>
    </w:p>
    <w:p w14:paraId="0E7689F2"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Cena -  waga 60</w:t>
      </w:r>
    </w:p>
    <w:p w14:paraId="7496C4C7"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Kryteria odnoszące się do kwalifikacji zespołu wykonawcy. Punkty będą przyznawane za doświadczenie Kierownika Projektu oraz architekta za doświadczenie w systemach IT dot. usług społecznych lub ochrony zdrowia – waga 30</w:t>
      </w:r>
    </w:p>
    <w:p w14:paraId="57080B84"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Kryteria techniczne w zakresie funkcjonalności urządzeń – waga 10</w:t>
      </w:r>
      <w:bookmarkStart w:id="14" w:name="_Hlk82436257"/>
      <w:bookmarkEnd w:id="14"/>
    </w:p>
    <w:p w14:paraId="6AAE9F4B"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W kryterium cena oceniana będzie całkowita cena oferty. Oferta z najniższą ceną otrzyma maksymalną liczbę punktów. Pozostałe oferty zostaną ocenione zgodnie z wzorem</w:t>
      </w:r>
    </w:p>
    <w:p w14:paraId="4821E001"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Pofx = (Kmin / Kx ) x 60 pkt</w:t>
      </w:r>
    </w:p>
    <w:p w14:paraId="569B6572"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gdzie:</w:t>
      </w:r>
    </w:p>
    <w:p w14:paraId="228FB383"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 xml:space="preserve">Pofx  - liczba punktów w kryterium „Cena” dla oferty o numerze „x” </w:t>
      </w:r>
    </w:p>
    <w:p w14:paraId="7DE66E0B"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 xml:space="preserve">Kmin– najniższa cena realizacji brutto oferty spośród wszystkich rozpatrywanych ofert </w:t>
      </w:r>
    </w:p>
    <w:p w14:paraId="0C18AAD0"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Kx   – cena realizacji brutto oferty o numerze „x”</w:t>
      </w:r>
    </w:p>
    <w:p w14:paraId="295DA922"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W kryterium odnoszącym się do kwalifikacji zespołu wykonawcy. Punkty będą przyznawane za doświadczenie Kierownika Projektu oraz architekta za doświadczenie w systemach IT dot. usług społecznych lub ochrony zdrowia – waga 30, zgodnie z poniższym zestawieniem - ocenie podlegać będzie deklaracja z formularza ofertowego:</w:t>
      </w:r>
    </w:p>
    <w:p w14:paraId="092E4057"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Kierownik Projektu – punktowane będzie doświadczenie w pełnieniu funkcjo kierownika projektu dodatkowych projektów niż te wskazane do spełnienia warunku udziału w postępowaniu w systemach IT dot. usług społecznych lub ochrony zdrowia – max 20 pkt, gdzie każdy dodatkowy projekt był realizowany przez okres nie krótszy niż dziesięć miesięcy w każdym z nich i dotyczył obsługi usług społecznych lub usług w ochronie zdrowia; Przez usługi społeczne należy rozumieć usługi medyczne, opiekuńcze, wsparcie niepełnosprawnych, wsparcie socjalne - wymagany jest udział w fazie projektowania, budowy i wdrożenia systemu w wykazanych projektach łącznie, gdzie:</w:t>
      </w:r>
    </w:p>
    <w:tbl>
      <w:tblPr>
        <w:tblStyle w:val="Tabela-Siatka"/>
        <w:tblW w:w="7982" w:type="dxa"/>
        <w:tblInd w:w="1080" w:type="dxa"/>
        <w:tblLook w:val="04A0" w:firstRow="1" w:lastRow="0" w:firstColumn="1" w:lastColumn="0" w:noHBand="0" w:noVBand="1"/>
      </w:tblPr>
      <w:tblGrid>
        <w:gridCol w:w="4011"/>
        <w:gridCol w:w="3971"/>
      </w:tblGrid>
      <w:tr w:rsidR="00CD2E9B" w14:paraId="73AAA9B6" w14:textId="77777777">
        <w:tc>
          <w:tcPr>
            <w:tcW w:w="4010" w:type="dxa"/>
            <w:shd w:val="clear" w:color="auto" w:fill="auto"/>
          </w:tcPr>
          <w:p w14:paraId="4E670BEB"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Liczba dodatkowych projektów</w:t>
            </w:r>
          </w:p>
        </w:tc>
        <w:tc>
          <w:tcPr>
            <w:tcW w:w="3971" w:type="dxa"/>
            <w:shd w:val="clear" w:color="auto" w:fill="auto"/>
          </w:tcPr>
          <w:p w14:paraId="624106B1"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Punkty za dodatkowe projekty</w:t>
            </w:r>
          </w:p>
        </w:tc>
      </w:tr>
      <w:tr w:rsidR="00CD2E9B" w14:paraId="6CF32CBC" w14:textId="77777777">
        <w:tc>
          <w:tcPr>
            <w:tcW w:w="4010" w:type="dxa"/>
            <w:shd w:val="clear" w:color="auto" w:fill="auto"/>
          </w:tcPr>
          <w:p w14:paraId="753D9D28"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1 projekt</w:t>
            </w:r>
          </w:p>
        </w:tc>
        <w:tc>
          <w:tcPr>
            <w:tcW w:w="3971" w:type="dxa"/>
            <w:shd w:val="clear" w:color="auto" w:fill="auto"/>
          </w:tcPr>
          <w:p w14:paraId="57C2F30D"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4 pkt</w:t>
            </w:r>
          </w:p>
        </w:tc>
      </w:tr>
      <w:tr w:rsidR="00CD2E9B" w14:paraId="12142149" w14:textId="77777777">
        <w:tc>
          <w:tcPr>
            <w:tcW w:w="4010" w:type="dxa"/>
            <w:shd w:val="clear" w:color="auto" w:fill="auto"/>
          </w:tcPr>
          <w:p w14:paraId="48082188"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2 projekty</w:t>
            </w:r>
          </w:p>
        </w:tc>
        <w:tc>
          <w:tcPr>
            <w:tcW w:w="3971" w:type="dxa"/>
            <w:shd w:val="clear" w:color="auto" w:fill="auto"/>
          </w:tcPr>
          <w:p w14:paraId="7AFB3459"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8 pkt</w:t>
            </w:r>
          </w:p>
        </w:tc>
      </w:tr>
      <w:tr w:rsidR="00CD2E9B" w14:paraId="2E4FA7BA" w14:textId="77777777">
        <w:tc>
          <w:tcPr>
            <w:tcW w:w="4010" w:type="dxa"/>
            <w:shd w:val="clear" w:color="auto" w:fill="auto"/>
          </w:tcPr>
          <w:p w14:paraId="294DB72D"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3 projekty</w:t>
            </w:r>
          </w:p>
        </w:tc>
        <w:tc>
          <w:tcPr>
            <w:tcW w:w="3971" w:type="dxa"/>
            <w:shd w:val="clear" w:color="auto" w:fill="auto"/>
          </w:tcPr>
          <w:p w14:paraId="25790208"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12 pkt</w:t>
            </w:r>
          </w:p>
        </w:tc>
      </w:tr>
      <w:tr w:rsidR="00CD2E9B" w14:paraId="7F04A162" w14:textId="77777777">
        <w:tc>
          <w:tcPr>
            <w:tcW w:w="4010" w:type="dxa"/>
            <w:shd w:val="clear" w:color="auto" w:fill="auto"/>
          </w:tcPr>
          <w:p w14:paraId="40E2549A"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 xml:space="preserve">4 projekty </w:t>
            </w:r>
          </w:p>
        </w:tc>
        <w:tc>
          <w:tcPr>
            <w:tcW w:w="3971" w:type="dxa"/>
            <w:shd w:val="clear" w:color="auto" w:fill="auto"/>
          </w:tcPr>
          <w:p w14:paraId="45D45D1B"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16 pkt</w:t>
            </w:r>
          </w:p>
        </w:tc>
      </w:tr>
      <w:tr w:rsidR="00CD2E9B" w14:paraId="6CC7C0E5" w14:textId="77777777">
        <w:tc>
          <w:tcPr>
            <w:tcW w:w="4010" w:type="dxa"/>
            <w:shd w:val="clear" w:color="auto" w:fill="auto"/>
          </w:tcPr>
          <w:p w14:paraId="6FB01EDD"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5 projektów</w:t>
            </w:r>
          </w:p>
        </w:tc>
        <w:tc>
          <w:tcPr>
            <w:tcW w:w="3971" w:type="dxa"/>
            <w:shd w:val="clear" w:color="auto" w:fill="auto"/>
          </w:tcPr>
          <w:p w14:paraId="529D04A3" w14:textId="77777777" w:rsidR="00CD2E9B" w:rsidRDefault="00011D01">
            <w:pPr>
              <w:spacing w:after="120" w:line="360" w:lineRule="auto"/>
              <w:jc w:val="both"/>
              <w:rPr>
                <w:rFonts w:ascii="Verdana" w:hAnsi="Verdana" w:cs="Open Sans"/>
                <w:sz w:val="20"/>
                <w:szCs w:val="20"/>
              </w:rPr>
            </w:pPr>
            <w:r>
              <w:rPr>
                <w:rFonts w:ascii="Verdana" w:hAnsi="Verdana" w:cs="Open Sans"/>
                <w:sz w:val="20"/>
                <w:szCs w:val="20"/>
              </w:rPr>
              <w:t>20 pkt</w:t>
            </w:r>
          </w:p>
        </w:tc>
      </w:tr>
    </w:tbl>
    <w:p w14:paraId="46400FAC"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Wykonawca może przedstawić  do  oceny w kryterium oceny ofert osobę inną niż wskazana we wniosku o dopuszczenie do udziału w postępowaniu. W takim wypadku niezbędne jest aby spełnione były również pozostałe wymagania co do tej osoby.</w:t>
      </w:r>
    </w:p>
    <w:p w14:paraId="22A60457"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Zgodnie z warunkami udziału w postępowaniu: Kierownik projektu – osoba, która pełniła funkcję kierownika projektu w co najmniej 2 projektach dot. wykonania systemu IT przez okres nie krótszy niż dziesięć miesięcy w każdym z nich, przy czym:</w:t>
      </w:r>
    </w:p>
    <w:p w14:paraId="560142B0" w14:textId="77777777" w:rsidR="00CD2E9B" w:rsidRDefault="00011D01">
      <w:pPr>
        <w:pStyle w:val="Akapitzlist"/>
        <w:numPr>
          <w:ilvl w:val="2"/>
          <w:numId w:val="24"/>
        </w:numPr>
        <w:spacing w:after="120" w:line="360" w:lineRule="auto"/>
        <w:jc w:val="both"/>
        <w:rPr>
          <w:rFonts w:ascii="Verdana" w:hAnsi="Verdana" w:cs="Open Sans"/>
          <w:sz w:val="20"/>
          <w:szCs w:val="20"/>
        </w:rPr>
      </w:pPr>
      <w:r>
        <w:rPr>
          <w:rFonts w:ascii="Verdana" w:hAnsi="Verdana" w:cs="Open Sans"/>
          <w:sz w:val="20"/>
          <w:szCs w:val="20"/>
        </w:rPr>
        <w:t>co najmniej jeden system był przeznaczony dla co najmniej 100 użytkowników końcowych;</w:t>
      </w:r>
    </w:p>
    <w:p w14:paraId="096845EA" w14:textId="77777777" w:rsidR="00CD2E9B" w:rsidRDefault="00011D01">
      <w:pPr>
        <w:pStyle w:val="Akapitzlist"/>
        <w:numPr>
          <w:ilvl w:val="2"/>
          <w:numId w:val="24"/>
        </w:numPr>
        <w:spacing w:after="120" w:line="360" w:lineRule="auto"/>
        <w:jc w:val="both"/>
        <w:rPr>
          <w:rFonts w:ascii="Verdana" w:hAnsi="Verdana" w:cs="Open Sans"/>
          <w:sz w:val="20"/>
          <w:szCs w:val="20"/>
        </w:rPr>
      </w:pPr>
      <w:r>
        <w:rPr>
          <w:rFonts w:ascii="Verdana" w:hAnsi="Verdana" w:cs="Open Sans"/>
          <w:sz w:val="20"/>
          <w:szCs w:val="20"/>
        </w:rPr>
        <w:t>co najmniej jeden system służył obsłudze usług społecznych lub usług w ochronie zdrowia; Przez usługi społeczne należy rozumieć usługi medyczne, opiekuńcze, wsparcie niepełnosprawnych, wsparcie socjalne;</w:t>
      </w:r>
    </w:p>
    <w:p w14:paraId="004ECBAC" w14:textId="77777777" w:rsidR="00CD2E9B" w:rsidRDefault="00011D01">
      <w:pPr>
        <w:pStyle w:val="Akapitzlist"/>
        <w:numPr>
          <w:ilvl w:val="2"/>
          <w:numId w:val="24"/>
        </w:numPr>
        <w:spacing w:after="120" w:line="360" w:lineRule="auto"/>
        <w:ind w:left="1276" w:hanging="567"/>
        <w:jc w:val="both"/>
        <w:rPr>
          <w:rFonts w:ascii="Verdana" w:hAnsi="Verdana" w:cs="Open Sans"/>
          <w:sz w:val="20"/>
          <w:szCs w:val="20"/>
        </w:rPr>
      </w:pPr>
      <w:r>
        <w:rPr>
          <w:rFonts w:ascii="Verdana" w:hAnsi="Verdana" w:cs="Open Sans"/>
          <w:sz w:val="20"/>
          <w:szCs w:val="20"/>
        </w:rPr>
        <w:t>co najmniej jeden z projektów był zarządzany zgodnie z metodyką Prince2Agile lub inną hybrydową.</w:t>
      </w:r>
    </w:p>
    <w:p w14:paraId="69E838A8"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 xml:space="preserve">Jeżeli warunki co do tej osoby nie zostaną spełnione – wykonawca nie otrzyma punktów w tym kryterium. Uznaje się że do wykonania zamówienia została skierowana osoba wskazana we wniosku. </w:t>
      </w:r>
    </w:p>
    <w:p w14:paraId="0CD28790"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Punkty zostaną przyznane od pierwszego projektu (włącznie z projektem, który jest brany pod uwagę dla spełnienia warunku udziału w postępowaniu).</w:t>
      </w:r>
    </w:p>
    <w:p w14:paraId="03A74ADA" w14:textId="77777777" w:rsidR="00CD2E9B" w:rsidRDefault="00CD2E9B">
      <w:pPr>
        <w:pStyle w:val="Akapitzlist"/>
        <w:spacing w:after="120" w:line="360" w:lineRule="auto"/>
        <w:ind w:left="360"/>
        <w:jc w:val="both"/>
        <w:rPr>
          <w:rFonts w:ascii="Verdana" w:hAnsi="Verdana" w:cs="Open Sans"/>
          <w:sz w:val="20"/>
          <w:szCs w:val="20"/>
        </w:rPr>
      </w:pPr>
    </w:p>
    <w:p w14:paraId="43EF2EC3"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Główny Architekt – punktowane będzie doświadczenie w roli architekta dodatkowych projektów niż te wskazane do spełnienia warunku udziału w postępowaniu w systemach IT dot. usług społecznych lub ochrony zdrowia – max 10 pkt, gdzie każdy dodatkowy projekt obejmował swoim zakresem zaprojektowanie i budowę systemu informatycznego i dotyczył obsługi usług społecznych lub usług w ochronie zdrowia; Przez usługi społeczne należy rozumieć usługi medyczne, opiekuńcze, wsparcie niepełnosprawnych, wsparcie socjalne – gdzie:</w:t>
      </w:r>
    </w:p>
    <w:tbl>
      <w:tblPr>
        <w:tblStyle w:val="Tabela-Siatka"/>
        <w:tblW w:w="7982" w:type="dxa"/>
        <w:tblInd w:w="1080" w:type="dxa"/>
        <w:tblLook w:val="04A0" w:firstRow="1" w:lastRow="0" w:firstColumn="1" w:lastColumn="0" w:noHBand="0" w:noVBand="1"/>
      </w:tblPr>
      <w:tblGrid>
        <w:gridCol w:w="4011"/>
        <w:gridCol w:w="3971"/>
      </w:tblGrid>
      <w:tr w:rsidR="00CD2E9B" w14:paraId="5DE4FE7F" w14:textId="77777777">
        <w:tc>
          <w:tcPr>
            <w:tcW w:w="4010" w:type="dxa"/>
            <w:shd w:val="clear" w:color="auto" w:fill="auto"/>
          </w:tcPr>
          <w:p w14:paraId="49E1D711"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Ilość dodatkowych projektów</w:t>
            </w:r>
          </w:p>
        </w:tc>
        <w:tc>
          <w:tcPr>
            <w:tcW w:w="3971" w:type="dxa"/>
            <w:shd w:val="clear" w:color="auto" w:fill="auto"/>
          </w:tcPr>
          <w:p w14:paraId="7804740D"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Punkty za dodatkowe projekty</w:t>
            </w:r>
          </w:p>
        </w:tc>
      </w:tr>
      <w:tr w:rsidR="00CD2E9B" w14:paraId="61FF1E04" w14:textId="77777777">
        <w:tc>
          <w:tcPr>
            <w:tcW w:w="4010" w:type="dxa"/>
            <w:shd w:val="clear" w:color="auto" w:fill="auto"/>
          </w:tcPr>
          <w:p w14:paraId="35043E01"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1 projekt</w:t>
            </w:r>
          </w:p>
        </w:tc>
        <w:tc>
          <w:tcPr>
            <w:tcW w:w="3971" w:type="dxa"/>
            <w:shd w:val="clear" w:color="auto" w:fill="auto"/>
          </w:tcPr>
          <w:p w14:paraId="7ECB8D78"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2 pkt</w:t>
            </w:r>
          </w:p>
        </w:tc>
      </w:tr>
      <w:tr w:rsidR="00CD2E9B" w14:paraId="3933CFD6" w14:textId="77777777">
        <w:tc>
          <w:tcPr>
            <w:tcW w:w="4010" w:type="dxa"/>
            <w:shd w:val="clear" w:color="auto" w:fill="auto"/>
          </w:tcPr>
          <w:p w14:paraId="132F6F2D"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2 projekty</w:t>
            </w:r>
          </w:p>
        </w:tc>
        <w:tc>
          <w:tcPr>
            <w:tcW w:w="3971" w:type="dxa"/>
            <w:shd w:val="clear" w:color="auto" w:fill="auto"/>
          </w:tcPr>
          <w:p w14:paraId="1DC8BE28"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4 pkt</w:t>
            </w:r>
          </w:p>
        </w:tc>
      </w:tr>
      <w:tr w:rsidR="00CD2E9B" w14:paraId="3663041F" w14:textId="77777777">
        <w:tc>
          <w:tcPr>
            <w:tcW w:w="4010" w:type="dxa"/>
            <w:shd w:val="clear" w:color="auto" w:fill="auto"/>
          </w:tcPr>
          <w:p w14:paraId="13B90D47"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3 projekty</w:t>
            </w:r>
          </w:p>
        </w:tc>
        <w:tc>
          <w:tcPr>
            <w:tcW w:w="3971" w:type="dxa"/>
            <w:shd w:val="clear" w:color="auto" w:fill="auto"/>
          </w:tcPr>
          <w:p w14:paraId="3D3F09AD"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6 pkt</w:t>
            </w:r>
          </w:p>
        </w:tc>
      </w:tr>
      <w:tr w:rsidR="00CD2E9B" w14:paraId="5C32518F" w14:textId="77777777">
        <w:tc>
          <w:tcPr>
            <w:tcW w:w="4010" w:type="dxa"/>
            <w:shd w:val="clear" w:color="auto" w:fill="auto"/>
          </w:tcPr>
          <w:p w14:paraId="0FA1DDAD"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 xml:space="preserve">4 projekty </w:t>
            </w:r>
          </w:p>
        </w:tc>
        <w:tc>
          <w:tcPr>
            <w:tcW w:w="3971" w:type="dxa"/>
            <w:shd w:val="clear" w:color="auto" w:fill="auto"/>
          </w:tcPr>
          <w:p w14:paraId="4FC1E31B"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8 pkt</w:t>
            </w:r>
          </w:p>
        </w:tc>
      </w:tr>
      <w:tr w:rsidR="00CD2E9B" w14:paraId="383E5CD5" w14:textId="77777777">
        <w:tc>
          <w:tcPr>
            <w:tcW w:w="4010" w:type="dxa"/>
            <w:shd w:val="clear" w:color="auto" w:fill="auto"/>
          </w:tcPr>
          <w:p w14:paraId="116FB11F"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5 projektów</w:t>
            </w:r>
          </w:p>
        </w:tc>
        <w:tc>
          <w:tcPr>
            <w:tcW w:w="3971" w:type="dxa"/>
            <w:shd w:val="clear" w:color="auto" w:fill="auto"/>
          </w:tcPr>
          <w:p w14:paraId="04EAA165" w14:textId="77777777" w:rsidR="00CD2E9B" w:rsidRDefault="00011D01">
            <w:pPr>
              <w:pStyle w:val="Akapitzlist"/>
              <w:spacing w:after="120" w:line="360" w:lineRule="auto"/>
              <w:ind w:left="360"/>
              <w:jc w:val="both"/>
              <w:rPr>
                <w:rFonts w:ascii="Verdana" w:hAnsi="Verdana" w:cs="Open Sans"/>
                <w:sz w:val="20"/>
                <w:szCs w:val="20"/>
              </w:rPr>
            </w:pPr>
            <w:r>
              <w:rPr>
                <w:rFonts w:ascii="Verdana" w:hAnsi="Verdana" w:cs="Open Sans"/>
                <w:sz w:val="20"/>
                <w:szCs w:val="20"/>
              </w:rPr>
              <w:t>10 pkt</w:t>
            </w:r>
          </w:p>
        </w:tc>
      </w:tr>
    </w:tbl>
    <w:p w14:paraId="4B7C399C"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Wykonawca może przedstawić  do  oceny w kryterium oceny ofert osobę inną niż wskazana we wniosku o dopuszczenie do udziału w postępowaniu. W takim wypadku niezbędne jest aby spełnione były również pozostałe wymagania co do tej osoby.</w:t>
      </w:r>
    </w:p>
    <w:p w14:paraId="77BAF487"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Zgodnie z warunkami udziału w postępowaniu: Główny architekt- osoba, która pełniła funkcję architekta w co najmniej dwóch projektach, z których każdy obejmował swoim zakresem zaprojektowanie i budowę systemu informatycznego</w:t>
      </w:r>
    </w:p>
    <w:p w14:paraId="5A43DD98" w14:textId="77777777" w:rsidR="00CD2E9B" w:rsidRDefault="00011D01">
      <w:pPr>
        <w:pStyle w:val="Akapitzlist"/>
        <w:numPr>
          <w:ilvl w:val="2"/>
          <w:numId w:val="24"/>
        </w:numPr>
        <w:spacing w:after="120" w:line="360" w:lineRule="auto"/>
        <w:jc w:val="both"/>
        <w:rPr>
          <w:rFonts w:ascii="Verdana" w:hAnsi="Verdana" w:cs="Open Sans"/>
          <w:sz w:val="20"/>
          <w:szCs w:val="20"/>
        </w:rPr>
      </w:pPr>
      <w:r>
        <w:rPr>
          <w:rFonts w:ascii="Verdana" w:hAnsi="Verdana" w:cs="Open Sans"/>
          <w:sz w:val="20"/>
          <w:szCs w:val="20"/>
        </w:rPr>
        <w:t>co najmniej jeden system był przeznaczony dla co najmniej 100 użytkowników końcowych, przy czym</w:t>
      </w:r>
    </w:p>
    <w:p w14:paraId="7899087A" w14:textId="77777777" w:rsidR="00CD2E9B" w:rsidRDefault="00011D01">
      <w:pPr>
        <w:pStyle w:val="Akapitzlist"/>
        <w:numPr>
          <w:ilvl w:val="2"/>
          <w:numId w:val="24"/>
        </w:numPr>
        <w:spacing w:after="120" w:line="360" w:lineRule="auto"/>
        <w:jc w:val="both"/>
        <w:rPr>
          <w:rFonts w:ascii="Verdana" w:hAnsi="Verdana" w:cs="Open Sans"/>
          <w:sz w:val="20"/>
          <w:szCs w:val="20"/>
        </w:rPr>
      </w:pPr>
      <w:r>
        <w:rPr>
          <w:rFonts w:ascii="Verdana" w:hAnsi="Verdana" w:cs="Open Sans"/>
          <w:sz w:val="20"/>
          <w:szCs w:val="20"/>
        </w:rPr>
        <w:t xml:space="preserve">co najmniej jeden system służył obsłudze usług społecznych lub usług w ochronie zdrowia; Przez usługi społeczne należy rozumieć usługi medyczne, opiekuńcze, wsparcie niepełnosprawnych, wsparcie socjalne; </w:t>
      </w:r>
    </w:p>
    <w:p w14:paraId="21E71E9E" w14:textId="77777777" w:rsidR="00CD2E9B" w:rsidRDefault="00011D01">
      <w:pPr>
        <w:pStyle w:val="Akapitzlist"/>
        <w:numPr>
          <w:ilvl w:val="2"/>
          <w:numId w:val="24"/>
        </w:numPr>
        <w:spacing w:after="120" w:line="360" w:lineRule="auto"/>
        <w:jc w:val="both"/>
        <w:rPr>
          <w:rFonts w:ascii="Verdana" w:hAnsi="Verdana" w:cs="Open Sans"/>
          <w:sz w:val="20"/>
          <w:szCs w:val="20"/>
        </w:rPr>
      </w:pPr>
      <w:r>
        <w:rPr>
          <w:rFonts w:ascii="Verdana" w:hAnsi="Verdana" w:cs="Open Sans"/>
          <w:sz w:val="20"/>
          <w:szCs w:val="20"/>
        </w:rPr>
        <w:t>co najmniej jeden z projektów był zarządzany zgodnie z metodyką Prince2Agile lub inną hybrydową</w:t>
      </w:r>
    </w:p>
    <w:p w14:paraId="3A8E5543"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 xml:space="preserve">Jeżeli warunki co do tej osoby nie zostaną spełnione – wykonawca nie otrzyma punktów w tym kryterium. Uznaje się że do wykonania zamówienia została skierowana osoba wskazana we wniosku. </w:t>
      </w:r>
    </w:p>
    <w:p w14:paraId="0169B838" w14:textId="77777777" w:rsidR="00CD2E9B" w:rsidRDefault="00011D01">
      <w:pPr>
        <w:pStyle w:val="Akapitzlist"/>
        <w:numPr>
          <w:ilvl w:val="1"/>
          <w:numId w:val="24"/>
        </w:numPr>
        <w:spacing w:after="120" w:line="360" w:lineRule="auto"/>
        <w:jc w:val="both"/>
        <w:rPr>
          <w:rFonts w:ascii="Verdana" w:hAnsi="Verdana" w:cs="Open Sans"/>
          <w:sz w:val="20"/>
          <w:szCs w:val="20"/>
        </w:rPr>
      </w:pPr>
      <w:r>
        <w:rPr>
          <w:rFonts w:ascii="Verdana" w:hAnsi="Verdana" w:cs="Open Sans"/>
          <w:sz w:val="20"/>
          <w:szCs w:val="20"/>
        </w:rPr>
        <w:t>Punkty zostaną przyznane od pierwszego projektu (włącznie z projektem, który jest brany pod uwagę dla spełnienia warunku udziału w postępowaniu).</w:t>
      </w:r>
    </w:p>
    <w:p w14:paraId="4FCCFDC1"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W kryterium o technicznym w zakresie funkcjonalności sprzętu – waga 10, zgodnie z poniższym zestawieniem:</w:t>
      </w:r>
    </w:p>
    <w:p w14:paraId="062FC4E9" w14:textId="77777777" w:rsidR="00CD2E9B" w:rsidRDefault="00CD2E9B">
      <w:pPr>
        <w:pStyle w:val="Akapitzlist"/>
        <w:spacing w:after="120" w:line="360" w:lineRule="auto"/>
        <w:ind w:left="1152"/>
        <w:jc w:val="both"/>
      </w:pPr>
    </w:p>
    <w:tbl>
      <w:tblPr>
        <w:tblStyle w:val="Tabela-Siatka"/>
        <w:tblW w:w="8630" w:type="dxa"/>
        <w:tblInd w:w="432" w:type="dxa"/>
        <w:tblLook w:val="04A0" w:firstRow="1" w:lastRow="0" w:firstColumn="1" w:lastColumn="0" w:noHBand="0" w:noVBand="1"/>
      </w:tblPr>
      <w:tblGrid>
        <w:gridCol w:w="979"/>
        <w:gridCol w:w="6097"/>
        <w:gridCol w:w="1554"/>
      </w:tblGrid>
      <w:tr w:rsidR="00CD2E9B" w:rsidRPr="00C6609B" w14:paraId="23DB9DEA" w14:textId="77777777" w:rsidTr="00C6609B">
        <w:tc>
          <w:tcPr>
            <w:tcW w:w="979" w:type="dxa"/>
            <w:shd w:val="clear" w:color="auto" w:fill="D0CECE" w:themeFill="background2" w:themeFillShade="E6"/>
          </w:tcPr>
          <w:p w14:paraId="71A1DDE2" w14:textId="77777777" w:rsidR="00CD2E9B" w:rsidRPr="00C6609B" w:rsidRDefault="00011D01" w:rsidP="00C6609B">
            <w:pPr>
              <w:pStyle w:val="Akapitzlist"/>
              <w:spacing w:after="120" w:line="360" w:lineRule="auto"/>
              <w:ind w:left="0"/>
              <w:jc w:val="center"/>
              <w:rPr>
                <w:rFonts w:ascii="Verdana" w:hAnsi="Verdana" w:cs="Open Sans"/>
                <w:b/>
                <w:bCs/>
                <w:sz w:val="20"/>
                <w:szCs w:val="20"/>
              </w:rPr>
            </w:pPr>
            <w:bookmarkStart w:id="15" w:name="_Hlk83991093"/>
            <w:r w:rsidRPr="00C6609B">
              <w:rPr>
                <w:rFonts w:ascii="Verdana" w:hAnsi="Verdana" w:cs="Open Sans"/>
                <w:b/>
                <w:bCs/>
                <w:sz w:val="20"/>
                <w:szCs w:val="20"/>
              </w:rPr>
              <w:t>L.p.</w:t>
            </w:r>
          </w:p>
        </w:tc>
        <w:tc>
          <w:tcPr>
            <w:tcW w:w="6097" w:type="dxa"/>
            <w:shd w:val="clear" w:color="auto" w:fill="D0CECE" w:themeFill="background2" w:themeFillShade="E6"/>
          </w:tcPr>
          <w:p w14:paraId="69CA0CA1" w14:textId="77777777" w:rsidR="00CD2E9B" w:rsidRPr="00C6609B" w:rsidRDefault="00011D01" w:rsidP="00C6609B">
            <w:pPr>
              <w:pStyle w:val="Akapitzlist"/>
              <w:spacing w:after="120" w:line="360" w:lineRule="auto"/>
              <w:ind w:left="0"/>
              <w:jc w:val="center"/>
              <w:rPr>
                <w:rFonts w:ascii="Verdana" w:hAnsi="Verdana" w:cs="Open Sans"/>
                <w:b/>
                <w:bCs/>
                <w:sz w:val="20"/>
                <w:szCs w:val="20"/>
              </w:rPr>
            </w:pPr>
            <w:r w:rsidRPr="00C6609B">
              <w:rPr>
                <w:rFonts w:ascii="Verdana" w:hAnsi="Verdana" w:cs="Open Sans"/>
                <w:b/>
                <w:bCs/>
                <w:sz w:val="20"/>
                <w:szCs w:val="20"/>
              </w:rPr>
              <w:t>Funkcjonalność</w:t>
            </w:r>
          </w:p>
        </w:tc>
        <w:tc>
          <w:tcPr>
            <w:tcW w:w="1554" w:type="dxa"/>
            <w:shd w:val="clear" w:color="auto" w:fill="D0CECE" w:themeFill="background2" w:themeFillShade="E6"/>
          </w:tcPr>
          <w:p w14:paraId="07535B20" w14:textId="77777777" w:rsidR="00CD2E9B" w:rsidRPr="00C6609B" w:rsidRDefault="00011D01" w:rsidP="00C6609B">
            <w:pPr>
              <w:pStyle w:val="Akapitzlist"/>
              <w:spacing w:after="120" w:line="360" w:lineRule="auto"/>
              <w:ind w:left="0"/>
              <w:jc w:val="center"/>
              <w:rPr>
                <w:rFonts w:ascii="Verdana" w:hAnsi="Verdana" w:cs="Open Sans"/>
                <w:b/>
                <w:bCs/>
                <w:sz w:val="20"/>
                <w:szCs w:val="20"/>
              </w:rPr>
            </w:pPr>
            <w:r w:rsidRPr="00C6609B">
              <w:rPr>
                <w:rFonts w:ascii="Verdana" w:hAnsi="Verdana" w:cs="Open Sans"/>
                <w:b/>
                <w:bCs/>
                <w:sz w:val="20"/>
                <w:szCs w:val="20"/>
              </w:rPr>
              <w:t>Liczba punktów</w:t>
            </w:r>
          </w:p>
        </w:tc>
      </w:tr>
      <w:tr w:rsidR="00CD2E9B" w14:paraId="73914AC8" w14:textId="77777777" w:rsidTr="00C6609B">
        <w:tc>
          <w:tcPr>
            <w:tcW w:w="979" w:type="dxa"/>
            <w:shd w:val="clear" w:color="auto" w:fill="auto"/>
          </w:tcPr>
          <w:p w14:paraId="3B45D1D4"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1</w:t>
            </w:r>
          </w:p>
        </w:tc>
        <w:tc>
          <w:tcPr>
            <w:tcW w:w="6097" w:type="dxa"/>
            <w:shd w:val="clear" w:color="auto" w:fill="auto"/>
          </w:tcPr>
          <w:p w14:paraId="27469EAA" w14:textId="77777777" w:rsidR="00CD2E9B" w:rsidRPr="00C6609B" w:rsidRDefault="00011D01">
            <w:pPr>
              <w:pStyle w:val="Akapitzlist"/>
              <w:spacing w:after="120" w:line="360" w:lineRule="auto"/>
              <w:ind w:left="0"/>
              <w:jc w:val="both"/>
              <w:rPr>
                <w:rFonts w:ascii="Verdana" w:hAnsi="Verdana" w:cs="Open Sans"/>
                <w:b/>
                <w:bCs/>
                <w:sz w:val="20"/>
                <w:szCs w:val="20"/>
              </w:rPr>
            </w:pPr>
            <w:r w:rsidRPr="00C6609B">
              <w:rPr>
                <w:rFonts w:ascii="Verdana" w:hAnsi="Verdana" w:cs="Open Sans"/>
                <w:b/>
                <w:bCs/>
                <w:sz w:val="20"/>
                <w:szCs w:val="20"/>
              </w:rPr>
              <w:t>Urządzenie audio umożliwiające ocenę akcji płuc</w:t>
            </w:r>
          </w:p>
          <w:p w14:paraId="02D8FB80" w14:textId="180E8967" w:rsidR="00C6609B" w:rsidRDefault="00C6609B">
            <w:pPr>
              <w:pStyle w:val="Akapitzlist"/>
              <w:spacing w:after="120" w:line="360" w:lineRule="auto"/>
              <w:ind w:left="0"/>
              <w:jc w:val="both"/>
              <w:rPr>
                <w:rFonts w:ascii="Verdana" w:hAnsi="Verdana" w:cs="Open Sans"/>
                <w:sz w:val="20"/>
                <w:szCs w:val="20"/>
              </w:rPr>
            </w:pPr>
            <w:r w:rsidRPr="00C6609B">
              <w:rPr>
                <w:rFonts w:ascii="Verdana" w:hAnsi="Verdana" w:cs="Open Sans"/>
                <w:sz w:val="20"/>
                <w:szCs w:val="20"/>
              </w:rPr>
              <w:t xml:space="preserve">Ocenie zostanie poddane </w:t>
            </w:r>
            <w:r>
              <w:rPr>
                <w:rFonts w:ascii="Verdana" w:hAnsi="Verdana" w:cs="Open Sans"/>
                <w:sz w:val="20"/>
                <w:szCs w:val="20"/>
              </w:rPr>
              <w:t xml:space="preserve">przenośny zestaw medyczny, o którym mowa w pkt </w:t>
            </w:r>
            <w:r w:rsidRPr="00C6609B">
              <w:rPr>
                <w:rFonts w:ascii="Verdana" w:hAnsi="Verdana" w:cs="Open Sans"/>
                <w:sz w:val="20"/>
                <w:szCs w:val="20"/>
              </w:rPr>
              <w:t>3.12.2.1.</w:t>
            </w:r>
            <w:r>
              <w:rPr>
                <w:rFonts w:ascii="Verdana" w:hAnsi="Verdana" w:cs="Open Sans"/>
                <w:sz w:val="20"/>
                <w:szCs w:val="20"/>
              </w:rPr>
              <w:t xml:space="preserve"> OPZ.</w:t>
            </w:r>
          </w:p>
          <w:p w14:paraId="7E959E50" w14:textId="63790976" w:rsidR="00C6609B" w:rsidRDefault="00C6609B">
            <w:pPr>
              <w:pStyle w:val="Akapitzlist"/>
              <w:spacing w:after="120" w:line="360" w:lineRule="auto"/>
              <w:ind w:left="0"/>
              <w:jc w:val="both"/>
              <w:rPr>
                <w:rFonts w:ascii="Verdana" w:hAnsi="Verdana" w:cs="Open Sans"/>
                <w:sz w:val="20"/>
                <w:szCs w:val="20"/>
              </w:rPr>
            </w:pPr>
            <w:r>
              <w:rPr>
                <w:rFonts w:ascii="Verdana" w:hAnsi="Verdana" w:cs="Open Sans"/>
                <w:sz w:val="20"/>
                <w:szCs w:val="20"/>
              </w:rPr>
              <w:t>Punkty zostaną przyznane, jeżeli zestaw będzie zawierał urządzenie audio umożliwiające ocenę akcji płuc badanego mieszkańca</w:t>
            </w:r>
          </w:p>
          <w:p w14:paraId="008F9839" w14:textId="7B5E7E0F" w:rsidR="00C6609B" w:rsidRDefault="00C6609B" w:rsidP="00C6609B">
            <w:pPr>
              <w:pStyle w:val="Akapitzlist"/>
              <w:spacing w:after="120" w:line="360" w:lineRule="auto"/>
              <w:ind w:left="0"/>
              <w:jc w:val="both"/>
            </w:pPr>
            <w:r>
              <w:rPr>
                <w:rFonts w:ascii="Verdana" w:hAnsi="Verdana" w:cs="Open Sans"/>
                <w:sz w:val="20"/>
                <w:szCs w:val="20"/>
              </w:rPr>
              <w:t>Punkty zostaną przyznane na podstawie oświadczenia złożonego w formularzu oferty.</w:t>
            </w:r>
          </w:p>
        </w:tc>
        <w:tc>
          <w:tcPr>
            <w:tcW w:w="1554" w:type="dxa"/>
            <w:shd w:val="clear" w:color="auto" w:fill="auto"/>
          </w:tcPr>
          <w:p w14:paraId="1FCF6CE5" w14:textId="77777777" w:rsidR="00CD2E9B" w:rsidRDefault="00011D01">
            <w:pPr>
              <w:pStyle w:val="Akapitzlist"/>
              <w:spacing w:after="120" w:line="360" w:lineRule="auto"/>
              <w:ind w:left="0"/>
              <w:jc w:val="both"/>
            </w:pPr>
            <w:r>
              <w:rPr>
                <w:rFonts w:ascii="Verdana" w:hAnsi="Verdana" w:cs="Open Sans"/>
                <w:sz w:val="20"/>
                <w:szCs w:val="20"/>
              </w:rPr>
              <w:t>1</w:t>
            </w:r>
          </w:p>
        </w:tc>
      </w:tr>
      <w:tr w:rsidR="00CD2E9B" w14:paraId="3C4C3014" w14:textId="77777777" w:rsidTr="00C6609B">
        <w:tc>
          <w:tcPr>
            <w:tcW w:w="979" w:type="dxa"/>
            <w:shd w:val="clear" w:color="auto" w:fill="auto"/>
          </w:tcPr>
          <w:p w14:paraId="27EECBD6"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2</w:t>
            </w:r>
          </w:p>
        </w:tc>
        <w:tc>
          <w:tcPr>
            <w:tcW w:w="6097" w:type="dxa"/>
            <w:shd w:val="clear" w:color="auto" w:fill="auto"/>
          </w:tcPr>
          <w:p w14:paraId="77E0BCEE" w14:textId="636763F2" w:rsidR="00CD2E9B" w:rsidRPr="00C6609B" w:rsidRDefault="00011D01">
            <w:pPr>
              <w:pStyle w:val="Akapitzlist"/>
              <w:spacing w:after="120" w:line="360" w:lineRule="auto"/>
              <w:ind w:left="0"/>
              <w:jc w:val="both"/>
              <w:rPr>
                <w:rFonts w:ascii="Verdana" w:hAnsi="Verdana" w:cs="Open Sans"/>
                <w:b/>
                <w:bCs/>
                <w:sz w:val="20"/>
                <w:szCs w:val="20"/>
              </w:rPr>
            </w:pPr>
            <w:r w:rsidRPr="00C6609B">
              <w:rPr>
                <w:rFonts w:ascii="Verdana" w:hAnsi="Verdana" w:cs="Open Sans"/>
                <w:b/>
                <w:bCs/>
                <w:sz w:val="20"/>
                <w:szCs w:val="20"/>
              </w:rPr>
              <w:t xml:space="preserve">Urządzenia przenośne dla personelu o wadze </w:t>
            </w:r>
            <w:r w:rsidR="00EE322A">
              <w:rPr>
                <w:rFonts w:ascii="Verdana" w:hAnsi="Verdana" w:cs="Open Sans"/>
                <w:b/>
                <w:bCs/>
                <w:sz w:val="20"/>
                <w:szCs w:val="20"/>
              </w:rPr>
              <w:t xml:space="preserve">równej lub mniejszej </w:t>
            </w:r>
            <w:r w:rsidRPr="00C6609B">
              <w:rPr>
                <w:rFonts w:ascii="Verdana" w:hAnsi="Verdana" w:cs="Open Sans"/>
                <w:b/>
                <w:bCs/>
                <w:sz w:val="20"/>
                <w:szCs w:val="20"/>
              </w:rPr>
              <w:t xml:space="preserve">niż </w:t>
            </w:r>
            <w:r w:rsidR="00EE322A">
              <w:rPr>
                <w:rFonts w:ascii="Verdana" w:hAnsi="Verdana" w:cs="Open Sans"/>
                <w:b/>
                <w:bCs/>
                <w:sz w:val="20"/>
                <w:szCs w:val="20"/>
              </w:rPr>
              <w:t>270</w:t>
            </w:r>
            <w:r w:rsidRPr="00C6609B">
              <w:rPr>
                <w:rFonts w:ascii="Verdana" w:hAnsi="Verdana" w:cs="Open Sans"/>
                <w:b/>
                <w:bCs/>
                <w:sz w:val="20"/>
                <w:szCs w:val="20"/>
              </w:rPr>
              <w:t xml:space="preserve"> g</w:t>
            </w:r>
            <w:r w:rsidR="00C6609B" w:rsidRPr="00C6609B">
              <w:rPr>
                <w:rFonts w:ascii="Verdana" w:hAnsi="Verdana" w:cs="Open Sans"/>
                <w:b/>
                <w:bCs/>
                <w:sz w:val="20"/>
                <w:szCs w:val="20"/>
              </w:rPr>
              <w:t>.</w:t>
            </w:r>
          </w:p>
          <w:p w14:paraId="24E1B39F" w14:textId="1389204B" w:rsidR="00C6609B" w:rsidRPr="00C6609B" w:rsidRDefault="00C6609B" w:rsidP="00C6609B">
            <w:pPr>
              <w:spacing w:after="120" w:line="360" w:lineRule="auto"/>
              <w:jc w:val="both"/>
              <w:rPr>
                <w:rFonts w:ascii="Verdana" w:hAnsi="Verdana"/>
                <w:sz w:val="20"/>
                <w:szCs w:val="20"/>
              </w:rPr>
            </w:pPr>
            <w:r w:rsidRPr="00C6609B">
              <w:rPr>
                <w:rFonts w:ascii="Verdana" w:hAnsi="Verdana"/>
                <w:sz w:val="20"/>
                <w:szCs w:val="20"/>
              </w:rPr>
              <w:t>Ocenie zostanie poddan</w:t>
            </w:r>
            <w:r>
              <w:rPr>
                <w:rFonts w:ascii="Verdana" w:hAnsi="Verdana"/>
                <w:sz w:val="20"/>
                <w:szCs w:val="20"/>
              </w:rPr>
              <w:t>a waga urządzenia przenośnego dla pracowników opieki</w:t>
            </w:r>
            <w:r w:rsidRPr="00C6609B">
              <w:rPr>
                <w:rFonts w:ascii="Verdana" w:hAnsi="Verdana"/>
                <w:sz w:val="20"/>
                <w:szCs w:val="20"/>
              </w:rPr>
              <w:t>, o którym mowa w pkt</w:t>
            </w:r>
            <w:r>
              <w:rPr>
                <w:rFonts w:ascii="Verdana" w:hAnsi="Verdana"/>
                <w:sz w:val="20"/>
                <w:szCs w:val="20"/>
              </w:rPr>
              <w:t xml:space="preserve"> 3.7.1.</w:t>
            </w:r>
            <w:r w:rsidRPr="00C6609B">
              <w:rPr>
                <w:rFonts w:ascii="Verdana" w:hAnsi="Verdana"/>
                <w:sz w:val="20"/>
                <w:szCs w:val="20"/>
              </w:rPr>
              <w:t xml:space="preserve"> OPZ.</w:t>
            </w:r>
          </w:p>
          <w:p w14:paraId="01B49BE1" w14:textId="18038CDD" w:rsidR="00C6609B" w:rsidRPr="00C6609B" w:rsidRDefault="00C6609B" w:rsidP="00C6609B">
            <w:pPr>
              <w:spacing w:after="120" w:line="360" w:lineRule="auto"/>
              <w:jc w:val="both"/>
              <w:rPr>
                <w:rFonts w:ascii="Verdana" w:hAnsi="Verdana"/>
                <w:sz w:val="20"/>
                <w:szCs w:val="20"/>
              </w:rPr>
            </w:pPr>
            <w:r w:rsidRPr="00C6609B">
              <w:rPr>
                <w:rFonts w:ascii="Verdana" w:hAnsi="Verdana"/>
                <w:sz w:val="20"/>
                <w:szCs w:val="20"/>
              </w:rPr>
              <w:t xml:space="preserve">Punkty zostaną przyznane, jeżeli </w:t>
            </w:r>
            <w:r>
              <w:rPr>
                <w:rFonts w:ascii="Verdana" w:hAnsi="Verdana"/>
                <w:sz w:val="20"/>
                <w:szCs w:val="20"/>
              </w:rPr>
              <w:t xml:space="preserve">całkowita waga urządzenia będzie </w:t>
            </w:r>
            <w:r w:rsidR="00EE322A">
              <w:rPr>
                <w:rFonts w:ascii="Verdana" w:hAnsi="Verdana"/>
                <w:sz w:val="20"/>
                <w:szCs w:val="20"/>
              </w:rPr>
              <w:t>równa lub mniejsza niż 270 g</w:t>
            </w:r>
          </w:p>
          <w:p w14:paraId="0F0EA5A4" w14:textId="29958CE2" w:rsidR="00C6609B" w:rsidRDefault="00C6609B" w:rsidP="00C6609B">
            <w:pPr>
              <w:pStyle w:val="Akapitzlist"/>
              <w:spacing w:after="120" w:line="360" w:lineRule="auto"/>
              <w:ind w:left="0"/>
              <w:jc w:val="both"/>
            </w:pPr>
            <w:r w:rsidRPr="00C6609B">
              <w:rPr>
                <w:rFonts w:ascii="Verdana" w:hAnsi="Verdana"/>
                <w:sz w:val="20"/>
                <w:szCs w:val="20"/>
              </w:rPr>
              <w:t>Punkty zostaną przyznane na podstawie oświadczenia złożonego w formularzu oferty.</w:t>
            </w:r>
          </w:p>
        </w:tc>
        <w:tc>
          <w:tcPr>
            <w:tcW w:w="1554" w:type="dxa"/>
            <w:shd w:val="clear" w:color="auto" w:fill="auto"/>
          </w:tcPr>
          <w:p w14:paraId="3FF53056" w14:textId="77777777" w:rsidR="00CD2E9B" w:rsidRDefault="00011D01">
            <w:pPr>
              <w:pStyle w:val="Akapitzlist"/>
              <w:spacing w:after="120" w:line="360" w:lineRule="auto"/>
              <w:ind w:left="0"/>
              <w:jc w:val="both"/>
            </w:pPr>
            <w:r>
              <w:rPr>
                <w:rFonts w:ascii="Verdana" w:hAnsi="Verdana" w:cs="Open Sans"/>
                <w:sz w:val="20"/>
                <w:szCs w:val="20"/>
              </w:rPr>
              <w:t>2</w:t>
            </w:r>
          </w:p>
        </w:tc>
      </w:tr>
      <w:tr w:rsidR="00CD2E9B" w14:paraId="2EEA369B" w14:textId="77777777" w:rsidTr="00C6609B">
        <w:tc>
          <w:tcPr>
            <w:tcW w:w="979" w:type="dxa"/>
            <w:shd w:val="clear" w:color="auto" w:fill="auto"/>
          </w:tcPr>
          <w:p w14:paraId="51DD4B20" w14:textId="77777777" w:rsidR="00CD2E9B" w:rsidRDefault="00011D01">
            <w:pPr>
              <w:pStyle w:val="Akapitzlist"/>
              <w:spacing w:after="120" w:line="360" w:lineRule="auto"/>
              <w:ind w:left="0"/>
              <w:jc w:val="both"/>
              <w:rPr>
                <w:rFonts w:ascii="Verdana" w:hAnsi="Verdana" w:cs="Open Sans"/>
                <w:sz w:val="20"/>
                <w:szCs w:val="20"/>
              </w:rPr>
            </w:pPr>
            <w:r>
              <w:rPr>
                <w:rFonts w:ascii="Verdana" w:hAnsi="Verdana" w:cs="Open Sans"/>
                <w:sz w:val="20"/>
                <w:szCs w:val="20"/>
              </w:rPr>
              <w:t>3</w:t>
            </w:r>
          </w:p>
        </w:tc>
        <w:tc>
          <w:tcPr>
            <w:tcW w:w="6097" w:type="dxa"/>
            <w:shd w:val="clear" w:color="auto" w:fill="auto"/>
          </w:tcPr>
          <w:p w14:paraId="6851CD50" w14:textId="77777777" w:rsidR="00CD2E9B" w:rsidRPr="00C6609B" w:rsidRDefault="00011D01">
            <w:pPr>
              <w:pStyle w:val="Akapitzlist"/>
              <w:spacing w:after="120" w:line="360" w:lineRule="auto"/>
              <w:ind w:left="0"/>
              <w:jc w:val="both"/>
              <w:rPr>
                <w:rFonts w:ascii="Verdana" w:hAnsi="Verdana" w:cs="Open Sans"/>
                <w:b/>
                <w:bCs/>
                <w:sz w:val="20"/>
                <w:szCs w:val="20"/>
              </w:rPr>
            </w:pPr>
            <w:r w:rsidRPr="00C6609B">
              <w:rPr>
                <w:rFonts w:ascii="Verdana" w:hAnsi="Verdana" w:cs="Open Sans"/>
                <w:b/>
                <w:bCs/>
                <w:sz w:val="20"/>
                <w:szCs w:val="20"/>
              </w:rPr>
              <w:t>Urządzenia przenośne dla personelu ładowane indukcyjnie</w:t>
            </w:r>
          </w:p>
          <w:p w14:paraId="3F041907" w14:textId="3DEF2708" w:rsidR="00C6609B" w:rsidRPr="00C6609B" w:rsidRDefault="00C6609B" w:rsidP="00C6609B">
            <w:pPr>
              <w:spacing w:after="120" w:line="360" w:lineRule="auto"/>
              <w:jc w:val="both"/>
              <w:rPr>
                <w:rFonts w:ascii="Verdana" w:hAnsi="Verdana"/>
                <w:sz w:val="20"/>
                <w:szCs w:val="20"/>
              </w:rPr>
            </w:pPr>
            <w:r w:rsidRPr="00C6609B">
              <w:rPr>
                <w:rFonts w:ascii="Verdana" w:hAnsi="Verdana"/>
                <w:sz w:val="20"/>
                <w:szCs w:val="20"/>
              </w:rPr>
              <w:t>Ocenie zostanie poddan</w:t>
            </w:r>
            <w:r w:rsidR="0002477C">
              <w:rPr>
                <w:rFonts w:ascii="Verdana" w:hAnsi="Verdana"/>
                <w:sz w:val="20"/>
                <w:szCs w:val="20"/>
              </w:rPr>
              <w:t>e</w:t>
            </w:r>
            <w:r>
              <w:rPr>
                <w:rFonts w:ascii="Verdana" w:hAnsi="Verdana"/>
                <w:sz w:val="20"/>
                <w:szCs w:val="20"/>
              </w:rPr>
              <w:t xml:space="preserve"> urządzenie przenośnego dla pracowników opieki</w:t>
            </w:r>
            <w:r w:rsidRPr="00C6609B">
              <w:rPr>
                <w:rFonts w:ascii="Verdana" w:hAnsi="Verdana"/>
                <w:sz w:val="20"/>
                <w:szCs w:val="20"/>
              </w:rPr>
              <w:t>, o którym mowa w pkt</w:t>
            </w:r>
            <w:r>
              <w:rPr>
                <w:rFonts w:ascii="Verdana" w:hAnsi="Verdana"/>
                <w:sz w:val="20"/>
                <w:szCs w:val="20"/>
              </w:rPr>
              <w:t xml:space="preserve"> 3.7.1.</w:t>
            </w:r>
            <w:r w:rsidRPr="00C6609B">
              <w:rPr>
                <w:rFonts w:ascii="Verdana" w:hAnsi="Verdana"/>
                <w:sz w:val="20"/>
                <w:szCs w:val="20"/>
              </w:rPr>
              <w:t xml:space="preserve"> OPZ.</w:t>
            </w:r>
          </w:p>
          <w:p w14:paraId="1B4109EC" w14:textId="02224F0B" w:rsidR="00C6609B" w:rsidRPr="00C6609B" w:rsidRDefault="00C6609B" w:rsidP="00C6609B">
            <w:pPr>
              <w:spacing w:after="120" w:line="360" w:lineRule="auto"/>
              <w:jc w:val="both"/>
              <w:rPr>
                <w:rFonts w:ascii="Verdana" w:hAnsi="Verdana"/>
                <w:sz w:val="20"/>
                <w:szCs w:val="20"/>
              </w:rPr>
            </w:pPr>
            <w:r w:rsidRPr="00C6609B">
              <w:rPr>
                <w:rFonts w:ascii="Verdana" w:hAnsi="Verdana"/>
                <w:sz w:val="20"/>
                <w:szCs w:val="20"/>
              </w:rPr>
              <w:t xml:space="preserve">Punkty zostaną przyznane, jeżeli </w:t>
            </w:r>
            <w:r>
              <w:rPr>
                <w:rFonts w:ascii="Verdana" w:hAnsi="Verdana"/>
                <w:sz w:val="20"/>
                <w:szCs w:val="20"/>
              </w:rPr>
              <w:t>zapewniona jest możliwość ładowania indukcyjnego urządzenia.</w:t>
            </w:r>
          </w:p>
          <w:p w14:paraId="3197FEFD" w14:textId="3DCBC2B6" w:rsidR="00C6609B" w:rsidRDefault="00C6609B" w:rsidP="00C6609B">
            <w:pPr>
              <w:pStyle w:val="Akapitzlist"/>
              <w:spacing w:after="120" w:line="360" w:lineRule="auto"/>
              <w:ind w:left="0"/>
              <w:jc w:val="both"/>
            </w:pPr>
            <w:r w:rsidRPr="00C6609B">
              <w:rPr>
                <w:rFonts w:ascii="Verdana" w:hAnsi="Verdana"/>
                <w:sz w:val="20"/>
                <w:szCs w:val="20"/>
              </w:rPr>
              <w:t>Punkty zostaną przyznane na podstawie oświadczenia złożonego w formularzu oferty.</w:t>
            </w:r>
          </w:p>
        </w:tc>
        <w:tc>
          <w:tcPr>
            <w:tcW w:w="1554" w:type="dxa"/>
            <w:shd w:val="clear" w:color="auto" w:fill="auto"/>
          </w:tcPr>
          <w:p w14:paraId="2F1E0D1F" w14:textId="77777777" w:rsidR="00CD2E9B" w:rsidRDefault="00011D01">
            <w:pPr>
              <w:pStyle w:val="Akapitzlist"/>
              <w:spacing w:after="120" w:line="360" w:lineRule="auto"/>
              <w:ind w:left="0"/>
              <w:jc w:val="both"/>
            </w:pPr>
            <w:r>
              <w:rPr>
                <w:rFonts w:ascii="Verdana" w:hAnsi="Verdana" w:cs="Open Sans"/>
                <w:sz w:val="20"/>
                <w:szCs w:val="20"/>
              </w:rPr>
              <w:t>1</w:t>
            </w:r>
          </w:p>
        </w:tc>
      </w:tr>
      <w:tr w:rsidR="00CD2E9B" w:rsidRPr="00C6609B" w14:paraId="25CDBE8C" w14:textId="77777777" w:rsidTr="00C6609B">
        <w:tc>
          <w:tcPr>
            <w:tcW w:w="979" w:type="dxa"/>
            <w:tcBorders>
              <w:top w:val="nil"/>
            </w:tcBorders>
            <w:shd w:val="clear" w:color="auto" w:fill="auto"/>
          </w:tcPr>
          <w:p w14:paraId="6A3D91B4" w14:textId="77777777" w:rsidR="00CD2E9B" w:rsidRPr="00C6609B" w:rsidRDefault="00011D01">
            <w:pPr>
              <w:pStyle w:val="Akapitzlist"/>
              <w:spacing w:after="120" w:line="360" w:lineRule="auto"/>
              <w:ind w:left="0"/>
              <w:jc w:val="both"/>
              <w:rPr>
                <w:rFonts w:ascii="Verdana" w:hAnsi="Verdana" w:cs="Open Sans"/>
                <w:sz w:val="20"/>
                <w:szCs w:val="20"/>
              </w:rPr>
            </w:pPr>
            <w:r w:rsidRPr="00C6609B">
              <w:rPr>
                <w:rFonts w:ascii="Verdana" w:hAnsi="Verdana" w:cs="Open Sans"/>
                <w:sz w:val="20"/>
                <w:szCs w:val="20"/>
              </w:rPr>
              <w:t>4</w:t>
            </w:r>
          </w:p>
        </w:tc>
        <w:tc>
          <w:tcPr>
            <w:tcW w:w="6097" w:type="dxa"/>
            <w:tcBorders>
              <w:top w:val="nil"/>
            </w:tcBorders>
            <w:shd w:val="clear" w:color="auto" w:fill="auto"/>
          </w:tcPr>
          <w:p w14:paraId="1D1BA59F" w14:textId="77777777" w:rsidR="00CD2E9B" w:rsidRPr="00C6609B" w:rsidRDefault="00011D01">
            <w:pPr>
              <w:pStyle w:val="Akapitzlist"/>
              <w:spacing w:after="120" w:line="360" w:lineRule="auto"/>
              <w:ind w:left="0"/>
              <w:jc w:val="both"/>
              <w:rPr>
                <w:rFonts w:ascii="Verdana" w:hAnsi="Verdana"/>
                <w:b/>
                <w:bCs/>
                <w:sz w:val="20"/>
                <w:szCs w:val="20"/>
              </w:rPr>
            </w:pPr>
            <w:bookmarkStart w:id="16" w:name="__DdeLink__12603_267247334"/>
            <w:r w:rsidRPr="00C6609B">
              <w:rPr>
                <w:rFonts w:ascii="Verdana" w:hAnsi="Verdana"/>
                <w:b/>
                <w:bCs/>
                <w:sz w:val="20"/>
                <w:szCs w:val="20"/>
              </w:rPr>
              <w:t>Urządzenia przywoławcze wyposażone w uchwyt umożliwiający przyczepienie ich do</w:t>
            </w:r>
            <w:bookmarkEnd w:id="16"/>
            <w:r w:rsidRPr="00C6609B">
              <w:rPr>
                <w:rFonts w:ascii="Verdana" w:hAnsi="Verdana"/>
                <w:b/>
                <w:bCs/>
                <w:sz w:val="20"/>
                <w:szCs w:val="20"/>
              </w:rPr>
              <w:t xml:space="preserve"> łóżka</w:t>
            </w:r>
          </w:p>
          <w:p w14:paraId="60E52824" w14:textId="72760014" w:rsidR="00C6609B" w:rsidRPr="00C6609B" w:rsidRDefault="00C6609B" w:rsidP="00C6609B">
            <w:pPr>
              <w:spacing w:after="120" w:line="360" w:lineRule="auto"/>
              <w:jc w:val="both"/>
              <w:rPr>
                <w:rFonts w:ascii="Verdana" w:hAnsi="Verdana"/>
                <w:sz w:val="20"/>
                <w:szCs w:val="20"/>
              </w:rPr>
            </w:pPr>
            <w:r w:rsidRPr="00C6609B">
              <w:rPr>
                <w:rFonts w:ascii="Verdana" w:hAnsi="Verdana"/>
                <w:sz w:val="20"/>
                <w:szCs w:val="20"/>
              </w:rPr>
              <w:t xml:space="preserve">Ocenie zostanie poddana urządzenie </w:t>
            </w:r>
            <w:r>
              <w:rPr>
                <w:rFonts w:ascii="Verdana" w:hAnsi="Verdana"/>
                <w:sz w:val="20"/>
                <w:szCs w:val="20"/>
              </w:rPr>
              <w:t>przywoławcze</w:t>
            </w:r>
            <w:r w:rsidRPr="00C6609B">
              <w:rPr>
                <w:rFonts w:ascii="Verdana" w:hAnsi="Verdana"/>
                <w:sz w:val="20"/>
                <w:szCs w:val="20"/>
              </w:rPr>
              <w:t>, o którym mowa w pkt 3.</w:t>
            </w:r>
            <w:r>
              <w:rPr>
                <w:rFonts w:ascii="Verdana" w:hAnsi="Verdana"/>
                <w:sz w:val="20"/>
                <w:szCs w:val="20"/>
              </w:rPr>
              <w:t>11.1.</w:t>
            </w:r>
            <w:r w:rsidRPr="00C6609B">
              <w:rPr>
                <w:rFonts w:ascii="Verdana" w:hAnsi="Verdana"/>
                <w:sz w:val="20"/>
                <w:szCs w:val="20"/>
              </w:rPr>
              <w:t>1. OPZ.</w:t>
            </w:r>
          </w:p>
          <w:p w14:paraId="64099142" w14:textId="77777777" w:rsidR="0002477C" w:rsidRDefault="00C6609B" w:rsidP="0002477C">
            <w:pPr>
              <w:spacing w:after="120" w:line="360" w:lineRule="auto"/>
              <w:jc w:val="both"/>
              <w:rPr>
                <w:rFonts w:ascii="Verdana" w:hAnsi="Verdana"/>
                <w:sz w:val="20"/>
                <w:szCs w:val="20"/>
              </w:rPr>
            </w:pPr>
            <w:r w:rsidRPr="00C6609B">
              <w:rPr>
                <w:rFonts w:ascii="Verdana" w:hAnsi="Verdana"/>
                <w:sz w:val="20"/>
                <w:szCs w:val="20"/>
              </w:rPr>
              <w:t xml:space="preserve">Punkty zostaną przyznane, jeżeli </w:t>
            </w:r>
            <w:r w:rsidR="0002477C">
              <w:rPr>
                <w:rFonts w:ascii="Verdana" w:hAnsi="Verdana"/>
                <w:sz w:val="20"/>
                <w:szCs w:val="20"/>
              </w:rPr>
              <w:t>urządzenie zawiera uchwyt, który umożliwia umocowanie urządzenia przez pracownika DPS do łóżka mieszkańca.</w:t>
            </w:r>
          </w:p>
          <w:p w14:paraId="570B8579" w14:textId="7D74D94D" w:rsidR="00C6609B" w:rsidRPr="00C6609B" w:rsidRDefault="0002477C" w:rsidP="0002477C">
            <w:pPr>
              <w:spacing w:after="120" w:line="360" w:lineRule="auto"/>
              <w:jc w:val="both"/>
              <w:rPr>
                <w:rFonts w:ascii="Verdana" w:hAnsi="Verdana"/>
                <w:sz w:val="20"/>
                <w:szCs w:val="20"/>
              </w:rPr>
            </w:pPr>
            <w:r>
              <w:rPr>
                <w:rFonts w:ascii="Verdana" w:hAnsi="Verdana"/>
                <w:sz w:val="20"/>
                <w:szCs w:val="20"/>
              </w:rPr>
              <w:t>Punkty zostaną pr</w:t>
            </w:r>
            <w:r w:rsidR="00C6609B" w:rsidRPr="00C6609B">
              <w:rPr>
                <w:rFonts w:ascii="Verdana" w:hAnsi="Verdana"/>
                <w:sz w:val="20"/>
                <w:szCs w:val="20"/>
              </w:rPr>
              <w:t>zyznane na podstawie oświadczenia złożonego w formularzu oferty.</w:t>
            </w:r>
          </w:p>
        </w:tc>
        <w:tc>
          <w:tcPr>
            <w:tcW w:w="1554" w:type="dxa"/>
            <w:tcBorders>
              <w:top w:val="nil"/>
            </w:tcBorders>
            <w:shd w:val="clear" w:color="auto" w:fill="auto"/>
          </w:tcPr>
          <w:p w14:paraId="700C600D" w14:textId="77777777" w:rsidR="00CD2E9B" w:rsidRPr="00C6609B" w:rsidRDefault="00011D01">
            <w:pPr>
              <w:pStyle w:val="Akapitzlist"/>
              <w:spacing w:after="120" w:line="360" w:lineRule="auto"/>
              <w:ind w:left="0"/>
              <w:jc w:val="both"/>
              <w:rPr>
                <w:rFonts w:ascii="Verdana" w:hAnsi="Verdana"/>
                <w:sz w:val="20"/>
                <w:szCs w:val="20"/>
              </w:rPr>
            </w:pPr>
            <w:r w:rsidRPr="00C6609B">
              <w:rPr>
                <w:rFonts w:ascii="Verdana" w:hAnsi="Verdana"/>
                <w:sz w:val="20"/>
                <w:szCs w:val="20"/>
              </w:rPr>
              <w:t>2</w:t>
            </w:r>
          </w:p>
        </w:tc>
      </w:tr>
      <w:tr w:rsidR="00CD2E9B" w:rsidRPr="00C6609B" w14:paraId="51C25905" w14:textId="77777777" w:rsidTr="00C6609B">
        <w:tc>
          <w:tcPr>
            <w:tcW w:w="979" w:type="dxa"/>
            <w:tcBorders>
              <w:top w:val="nil"/>
            </w:tcBorders>
            <w:shd w:val="clear" w:color="auto" w:fill="auto"/>
          </w:tcPr>
          <w:p w14:paraId="6113C305" w14:textId="77777777" w:rsidR="00CD2E9B" w:rsidRPr="00C6609B" w:rsidRDefault="00011D01">
            <w:pPr>
              <w:pStyle w:val="Akapitzlist"/>
              <w:spacing w:after="120" w:line="360" w:lineRule="auto"/>
              <w:ind w:left="0"/>
              <w:jc w:val="both"/>
              <w:rPr>
                <w:rFonts w:ascii="Verdana" w:hAnsi="Verdana" w:cs="Open Sans"/>
                <w:sz w:val="20"/>
                <w:szCs w:val="20"/>
              </w:rPr>
            </w:pPr>
            <w:r w:rsidRPr="00C6609B">
              <w:rPr>
                <w:rFonts w:ascii="Verdana" w:hAnsi="Verdana" w:cs="Open Sans"/>
                <w:sz w:val="20"/>
                <w:szCs w:val="20"/>
              </w:rPr>
              <w:t>5</w:t>
            </w:r>
          </w:p>
        </w:tc>
        <w:tc>
          <w:tcPr>
            <w:tcW w:w="6097" w:type="dxa"/>
            <w:tcBorders>
              <w:top w:val="nil"/>
            </w:tcBorders>
            <w:shd w:val="clear" w:color="auto" w:fill="auto"/>
          </w:tcPr>
          <w:p w14:paraId="41F763E8" w14:textId="77777777" w:rsidR="00CD2E9B" w:rsidRDefault="00011D01">
            <w:pPr>
              <w:pStyle w:val="Akapitzlist"/>
              <w:spacing w:after="120" w:line="360" w:lineRule="auto"/>
              <w:ind w:left="0"/>
              <w:jc w:val="both"/>
              <w:rPr>
                <w:rFonts w:ascii="Verdana" w:hAnsi="Verdana"/>
                <w:b/>
                <w:bCs/>
                <w:sz w:val="20"/>
                <w:szCs w:val="20"/>
              </w:rPr>
            </w:pPr>
            <w:r w:rsidRPr="0002477C">
              <w:rPr>
                <w:rFonts w:ascii="Verdana" w:hAnsi="Verdana"/>
                <w:b/>
                <w:bCs/>
                <w:sz w:val="20"/>
                <w:szCs w:val="20"/>
              </w:rPr>
              <w:t>Urządzenia przywoławcze wyposażone w uchwyt umożliwiający przyczepienie ich do ściany</w:t>
            </w:r>
          </w:p>
          <w:p w14:paraId="438BF161" w14:textId="77777777" w:rsidR="0002477C" w:rsidRPr="00C6609B" w:rsidRDefault="0002477C" w:rsidP="0002477C">
            <w:pPr>
              <w:spacing w:after="120" w:line="360" w:lineRule="auto"/>
              <w:jc w:val="both"/>
              <w:rPr>
                <w:rFonts w:ascii="Verdana" w:hAnsi="Verdana"/>
                <w:sz w:val="20"/>
                <w:szCs w:val="20"/>
              </w:rPr>
            </w:pPr>
            <w:r w:rsidRPr="00C6609B">
              <w:rPr>
                <w:rFonts w:ascii="Verdana" w:hAnsi="Verdana"/>
                <w:sz w:val="20"/>
                <w:szCs w:val="20"/>
              </w:rPr>
              <w:t xml:space="preserve">Ocenie zostanie poddana urządzenie </w:t>
            </w:r>
            <w:r>
              <w:rPr>
                <w:rFonts w:ascii="Verdana" w:hAnsi="Verdana"/>
                <w:sz w:val="20"/>
                <w:szCs w:val="20"/>
              </w:rPr>
              <w:t>przywoławcze</w:t>
            </w:r>
            <w:r w:rsidRPr="00C6609B">
              <w:rPr>
                <w:rFonts w:ascii="Verdana" w:hAnsi="Verdana"/>
                <w:sz w:val="20"/>
                <w:szCs w:val="20"/>
              </w:rPr>
              <w:t>, o którym mowa w pkt 3.</w:t>
            </w:r>
            <w:r>
              <w:rPr>
                <w:rFonts w:ascii="Verdana" w:hAnsi="Verdana"/>
                <w:sz w:val="20"/>
                <w:szCs w:val="20"/>
              </w:rPr>
              <w:t>11.1.</w:t>
            </w:r>
            <w:r w:rsidRPr="00C6609B">
              <w:rPr>
                <w:rFonts w:ascii="Verdana" w:hAnsi="Verdana"/>
                <w:sz w:val="20"/>
                <w:szCs w:val="20"/>
              </w:rPr>
              <w:t>1. OPZ.</w:t>
            </w:r>
          </w:p>
          <w:p w14:paraId="6AB7DC85" w14:textId="77777777" w:rsidR="0002477C" w:rsidRDefault="0002477C" w:rsidP="0002477C">
            <w:pPr>
              <w:spacing w:after="120" w:line="360" w:lineRule="auto"/>
              <w:jc w:val="both"/>
              <w:rPr>
                <w:rFonts w:ascii="Verdana" w:hAnsi="Verdana"/>
                <w:sz w:val="20"/>
                <w:szCs w:val="20"/>
              </w:rPr>
            </w:pPr>
            <w:r w:rsidRPr="00C6609B">
              <w:rPr>
                <w:rFonts w:ascii="Verdana" w:hAnsi="Verdana"/>
                <w:sz w:val="20"/>
                <w:szCs w:val="20"/>
              </w:rPr>
              <w:t xml:space="preserve">Punkty zostaną przyznane, jeżeli </w:t>
            </w:r>
            <w:r>
              <w:rPr>
                <w:rFonts w:ascii="Verdana" w:hAnsi="Verdana"/>
                <w:sz w:val="20"/>
                <w:szCs w:val="20"/>
              </w:rPr>
              <w:t>urządzenie zawiera uchwyt, który umożliwia umocowanie urządzenia przez pracownika DPS do łóżka mieszkańca.</w:t>
            </w:r>
          </w:p>
          <w:p w14:paraId="2D33D1C1" w14:textId="6C9BC7B8" w:rsidR="0002477C" w:rsidRPr="0002477C" w:rsidRDefault="0002477C">
            <w:pPr>
              <w:pStyle w:val="Akapitzlist"/>
              <w:spacing w:after="120" w:line="360" w:lineRule="auto"/>
              <w:ind w:left="0"/>
              <w:jc w:val="both"/>
              <w:rPr>
                <w:rFonts w:ascii="Verdana" w:hAnsi="Verdana"/>
                <w:sz w:val="20"/>
                <w:szCs w:val="20"/>
              </w:rPr>
            </w:pPr>
            <w:r>
              <w:rPr>
                <w:rFonts w:ascii="Verdana" w:hAnsi="Verdana"/>
                <w:sz w:val="20"/>
                <w:szCs w:val="20"/>
              </w:rPr>
              <w:t>Punkty zostaną pr</w:t>
            </w:r>
            <w:r w:rsidRPr="00C6609B">
              <w:rPr>
                <w:rFonts w:ascii="Verdana" w:hAnsi="Verdana"/>
                <w:sz w:val="20"/>
                <w:szCs w:val="20"/>
              </w:rPr>
              <w:t>zyznane na podstawie oświadczenia złożonego w formularzu oferty.</w:t>
            </w:r>
          </w:p>
          <w:p w14:paraId="4E2D7F91" w14:textId="4B7D9E6E" w:rsidR="0002477C" w:rsidRPr="0002477C" w:rsidRDefault="0002477C">
            <w:pPr>
              <w:pStyle w:val="Akapitzlist"/>
              <w:spacing w:after="120" w:line="360" w:lineRule="auto"/>
              <w:ind w:left="0"/>
              <w:jc w:val="both"/>
              <w:rPr>
                <w:rFonts w:ascii="Verdana" w:hAnsi="Verdana"/>
                <w:b/>
                <w:bCs/>
                <w:sz w:val="20"/>
                <w:szCs w:val="20"/>
              </w:rPr>
            </w:pPr>
          </w:p>
        </w:tc>
        <w:tc>
          <w:tcPr>
            <w:tcW w:w="1554" w:type="dxa"/>
            <w:tcBorders>
              <w:top w:val="nil"/>
            </w:tcBorders>
            <w:shd w:val="clear" w:color="auto" w:fill="auto"/>
          </w:tcPr>
          <w:p w14:paraId="4283B4F8" w14:textId="77777777" w:rsidR="00CD2E9B" w:rsidRPr="00C6609B" w:rsidRDefault="00011D01">
            <w:pPr>
              <w:pStyle w:val="Akapitzlist"/>
              <w:spacing w:after="120" w:line="360" w:lineRule="auto"/>
              <w:ind w:left="0"/>
              <w:jc w:val="both"/>
              <w:rPr>
                <w:rFonts w:ascii="Verdana" w:hAnsi="Verdana"/>
                <w:sz w:val="20"/>
                <w:szCs w:val="20"/>
              </w:rPr>
            </w:pPr>
            <w:r w:rsidRPr="00C6609B">
              <w:rPr>
                <w:rFonts w:ascii="Verdana" w:hAnsi="Verdana"/>
                <w:sz w:val="20"/>
                <w:szCs w:val="20"/>
              </w:rPr>
              <w:t>2</w:t>
            </w:r>
          </w:p>
        </w:tc>
      </w:tr>
      <w:tr w:rsidR="00CD2E9B" w:rsidRPr="00C6609B" w14:paraId="4E34E763" w14:textId="77777777" w:rsidTr="00C6609B">
        <w:tc>
          <w:tcPr>
            <w:tcW w:w="979" w:type="dxa"/>
            <w:tcBorders>
              <w:top w:val="nil"/>
            </w:tcBorders>
            <w:shd w:val="clear" w:color="auto" w:fill="auto"/>
          </w:tcPr>
          <w:p w14:paraId="27DE073C" w14:textId="77777777" w:rsidR="00CD2E9B" w:rsidRPr="00C6609B" w:rsidRDefault="00011D01">
            <w:pPr>
              <w:pStyle w:val="Akapitzlist"/>
              <w:spacing w:after="120" w:line="360" w:lineRule="auto"/>
              <w:ind w:left="0"/>
              <w:jc w:val="both"/>
              <w:rPr>
                <w:rFonts w:ascii="Verdana" w:hAnsi="Verdana"/>
                <w:sz w:val="20"/>
                <w:szCs w:val="20"/>
              </w:rPr>
            </w:pPr>
            <w:r w:rsidRPr="00C6609B">
              <w:rPr>
                <w:rFonts w:ascii="Verdana" w:hAnsi="Verdana"/>
                <w:sz w:val="20"/>
                <w:szCs w:val="20"/>
              </w:rPr>
              <w:t>6</w:t>
            </w:r>
          </w:p>
        </w:tc>
        <w:tc>
          <w:tcPr>
            <w:tcW w:w="6097" w:type="dxa"/>
            <w:tcBorders>
              <w:top w:val="nil"/>
            </w:tcBorders>
            <w:shd w:val="clear" w:color="auto" w:fill="auto"/>
          </w:tcPr>
          <w:p w14:paraId="345E8C24" w14:textId="2E05E851" w:rsidR="00CD2E9B" w:rsidRPr="0002477C" w:rsidRDefault="0002477C">
            <w:pPr>
              <w:pStyle w:val="Akapitzlist"/>
              <w:spacing w:after="120" w:line="360" w:lineRule="auto"/>
              <w:ind w:left="0"/>
              <w:jc w:val="both"/>
              <w:rPr>
                <w:rFonts w:ascii="Verdana" w:hAnsi="Verdana"/>
                <w:b/>
                <w:bCs/>
                <w:sz w:val="20"/>
                <w:szCs w:val="20"/>
              </w:rPr>
            </w:pPr>
            <w:r>
              <w:rPr>
                <w:rFonts w:ascii="Verdana" w:hAnsi="Verdana"/>
                <w:b/>
                <w:bCs/>
                <w:sz w:val="20"/>
                <w:szCs w:val="20"/>
              </w:rPr>
              <w:t>Urządzenie przenośnie wraz z pasem biodrowym dla pracownika</w:t>
            </w:r>
          </w:p>
          <w:p w14:paraId="529142EB" w14:textId="18200319" w:rsidR="0002477C" w:rsidRPr="00C6609B" w:rsidRDefault="0002477C" w:rsidP="0002477C">
            <w:pPr>
              <w:spacing w:after="120" w:line="360" w:lineRule="auto"/>
              <w:jc w:val="both"/>
              <w:rPr>
                <w:rFonts w:ascii="Verdana" w:hAnsi="Verdana"/>
                <w:sz w:val="20"/>
                <w:szCs w:val="20"/>
              </w:rPr>
            </w:pPr>
            <w:r w:rsidRPr="00C6609B">
              <w:rPr>
                <w:rFonts w:ascii="Verdana" w:hAnsi="Verdana"/>
                <w:sz w:val="20"/>
                <w:szCs w:val="20"/>
              </w:rPr>
              <w:t>Ocenie zostanie poddan</w:t>
            </w:r>
            <w:r>
              <w:rPr>
                <w:rFonts w:ascii="Verdana" w:hAnsi="Verdana"/>
                <w:sz w:val="20"/>
                <w:szCs w:val="20"/>
              </w:rPr>
              <w:t>e wyposażenie dodatkowe urządzenia przenośnego dla pracowników opieki</w:t>
            </w:r>
            <w:r w:rsidRPr="00C6609B">
              <w:rPr>
                <w:rFonts w:ascii="Verdana" w:hAnsi="Verdana"/>
                <w:sz w:val="20"/>
                <w:szCs w:val="20"/>
              </w:rPr>
              <w:t>, o którym mowa w pkt</w:t>
            </w:r>
            <w:r>
              <w:rPr>
                <w:rFonts w:ascii="Verdana" w:hAnsi="Verdana"/>
                <w:sz w:val="20"/>
                <w:szCs w:val="20"/>
              </w:rPr>
              <w:t xml:space="preserve"> 3.7.1.</w:t>
            </w:r>
            <w:r w:rsidRPr="00C6609B">
              <w:rPr>
                <w:rFonts w:ascii="Verdana" w:hAnsi="Verdana"/>
                <w:sz w:val="20"/>
                <w:szCs w:val="20"/>
              </w:rPr>
              <w:t xml:space="preserve"> OPZ.</w:t>
            </w:r>
          </w:p>
          <w:p w14:paraId="29C11E9E" w14:textId="22B6B74C" w:rsidR="0002477C" w:rsidRPr="00C6609B" w:rsidRDefault="0002477C" w:rsidP="0002477C">
            <w:pPr>
              <w:spacing w:after="120" w:line="360" w:lineRule="auto"/>
              <w:jc w:val="both"/>
              <w:rPr>
                <w:rFonts w:ascii="Verdana" w:hAnsi="Verdana"/>
                <w:sz w:val="20"/>
                <w:szCs w:val="20"/>
              </w:rPr>
            </w:pPr>
            <w:r w:rsidRPr="00C6609B">
              <w:rPr>
                <w:rFonts w:ascii="Verdana" w:hAnsi="Verdana"/>
                <w:sz w:val="20"/>
                <w:szCs w:val="20"/>
              </w:rPr>
              <w:t xml:space="preserve">Punkty zostaną przyznane, jeżeli </w:t>
            </w:r>
            <w:r>
              <w:rPr>
                <w:rFonts w:ascii="Verdana" w:hAnsi="Verdana"/>
                <w:sz w:val="20"/>
                <w:szCs w:val="20"/>
              </w:rPr>
              <w:t>wykonawca dostawczy pas biodrowy dla pracownika DPS (opiekuna), który umożliwia łatwe zaczepienie urządzenia (zawierający rozwiązanie umożliwiające dołączenie urządzenia do pasa np. za pomocą klipsa). Zaczepienie urządzenia powinno być pewne, tak by przy wykonywaniu czynności przez pracownika urządzenie nie odpadało, nie wyślizgiwało się z zaczepu itd.</w:t>
            </w:r>
          </w:p>
          <w:p w14:paraId="2BE8CDE6" w14:textId="7C1E25A8" w:rsidR="0002477C" w:rsidRDefault="0002477C">
            <w:pPr>
              <w:pStyle w:val="Akapitzlist"/>
              <w:spacing w:after="120" w:line="360" w:lineRule="auto"/>
              <w:ind w:left="0"/>
              <w:jc w:val="both"/>
              <w:rPr>
                <w:rFonts w:ascii="Verdana" w:hAnsi="Verdana"/>
                <w:sz w:val="20"/>
                <w:szCs w:val="20"/>
              </w:rPr>
            </w:pPr>
            <w:r w:rsidRPr="00C6609B">
              <w:rPr>
                <w:rFonts w:ascii="Verdana" w:hAnsi="Verdana"/>
                <w:sz w:val="20"/>
                <w:szCs w:val="20"/>
              </w:rPr>
              <w:t>Punkty zostaną przyznane na podstawie oświadczenia złożonego w formularzu oferty.</w:t>
            </w:r>
          </w:p>
          <w:p w14:paraId="0BC84A4A" w14:textId="0446D1BC" w:rsidR="0002477C" w:rsidRPr="00C6609B" w:rsidRDefault="0002477C">
            <w:pPr>
              <w:pStyle w:val="Akapitzlist"/>
              <w:spacing w:after="120" w:line="360" w:lineRule="auto"/>
              <w:ind w:left="0"/>
              <w:jc w:val="both"/>
              <w:rPr>
                <w:rFonts w:ascii="Verdana" w:hAnsi="Verdana"/>
                <w:sz w:val="20"/>
                <w:szCs w:val="20"/>
              </w:rPr>
            </w:pPr>
          </w:p>
        </w:tc>
        <w:tc>
          <w:tcPr>
            <w:tcW w:w="1554" w:type="dxa"/>
            <w:tcBorders>
              <w:top w:val="nil"/>
            </w:tcBorders>
            <w:shd w:val="clear" w:color="auto" w:fill="auto"/>
          </w:tcPr>
          <w:p w14:paraId="1DD6A2EC" w14:textId="77777777" w:rsidR="00CD2E9B" w:rsidRPr="00C6609B" w:rsidRDefault="00011D01">
            <w:pPr>
              <w:pStyle w:val="Akapitzlist"/>
              <w:spacing w:after="120" w:line="360" w:lineRule="auto"/>
              <w:ind w:left="0"/>
              <w:jc w:val="both"/>
              <w:rPr>
                <w:rFonts w:ascii="Verdana" w:hAnsi="Verdana"/>
                <w:sz w:val="20"/>
                <w:szCs w:val="20"/>
              </w:rPr>
            </w:pPr>
            <w:r w:rsidRPr="00C6609B">
              <w:rPr>
                <w:rFonts w:ascii="Verdana" w:hAnsi="Verdana"/>
                <w:sz w:val="20"/>
                <w:szCs w:val="20"/>
              </w:rPr>
              <w:t>2</w:t>
            </w:r>
          </w:p>
        </w:tc>
      </w:tr>
    </w:tbl>
    <w:bookmarkEnd w:id="15"/>
    <w:p w14:paraId="5E9DAEE2" w14:textId="77777777" w:rsidR="00CD2E9B" w:rsidRDefault="00011D01">
      <w:pPr>
        <w:pStyle w:val="Akapitzlist"/>
        <w:numPr>
          <w:ilvl w:val="0"/>
          <w:numId w:val="24"/>
        </w:numPr>
        <w:spacing w:after="120" w:line="360" w:lineRule="auto"/>
        <w:jc w:val="both"/>
        <w:rPr>
          <w:rFonts w:ascii="Verdana" w:hAnsi="Verdana" w:cs="Open Sans"/>
          <w:sz w:val="20"/>
          <w:szCs w:val="20"/>
        </w:rPr>
      </w:pPr>
      <w:r>
        <w:rPr>
          <w:rFonts w:ascii="Verdana" w:hAnsi="Verdana" w:cs="Open Sans"/>
          <w:sz w:val="20"/>
          <w:szCs w:val="20"/>
        </w:rPr>
        <w:t>Punkty przyznane w kryteriach zostaną zsumowane. Oferta, która uzyska największą liczbę punktów zostanie uznana za najkorzystniejszą</w:t>
      </w:r>
    </w:p>
    <w:p w14:paraId="624AFFD9"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Postanowienia umowy</w:t>
      </w:r>
    </w:p>
    <w:p w14:paraId="72460950" w14:textId="77777777" w:rsidR="00CD2E9B" w:rsidRDefault="00011D01">
      <w:pPr>
        <w:spacing w:after="120" w:line="360" w:lineRule="auto"/>
        <w:jc w:val="both"/>
        <w:rPr>
          <w:rFonts w:ascii="Verdana" w:hAnsi="Verdana" w:cs="Open Sans"/>
          <w:bCs/>
          <w:sz w:val="20"/>
          <w:szCs w:val="20"/>
        </w:rPr>
      </w:pPr>
      <w:r>
        <w:rPr>
          <w:rFonts w:ascii="Verdana" w:hAnsi="Verdana" w:cs="Open Sans"/>
          <w:bCs/>
          <w:sz w:val="20"/>
          <w:szCs w:val="20"/>
        </w:rPr>
        <w:t>Załącznik nr 2 do SWZ zawiera postanowienia, które zostaną wprowadzone do umowy w sprawie zamówienia publicznego.</w:t>
      </w:r>
    </w:p>
    <w:p w14:paraId="03E027F8"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Formalności jakie należy dopełnić przed zawarcie umowy</w:t>
      </w:r>
    </w:p>
    <w:p w14:paraId="496A09C5" w14:textId="77777777" w:rsidR="00CD2E9B" w:rsidRDefault="00011D01">
      <w:pPr>
        <w:pStyle w:val="Akapitzlist"/>
        <w:numPr>
          <w:ilvl w:val="0"/>
          <w:numId w:val="25"/>
        </w:numPr>
        <w:spacing w:after="120" w:line="360" w:lineRule="auto"/>
        <w:jc w:val="both"/>
        <w:rPr>
          <w:rFonts w:ascii="Verdana" w:hAnsi="Verdana" w:cs="Open Sans"/>
          <w:sz w:val="20"/>
          <w:szCs w:val="20"/>
        </w:rPr>
      </w:pPr>
      <w:r>
        <w:rPr>
          <w:rFonts w:ascii="Verdana" w:hAnsi="Verdana" w:cs="Open Sans"/>
          <w:sz w:val="20"/>
          <w:szCs w:val="20"/>
        </w:rPr>
        <w:t>Umowa w sprawie zamówienia publicznego zawarta z Wykonawcą, którego oferta zostanie oceniona jako najkorzystniejsza w terminie wskazanym przez Zamawiającego, z uwzględnieniem art. 264 ustawy Pzp.</w:t>
      </w:r>
    </w:p>
    <w:p w14:paraId="040598A5" w14:textId="77777777" w:rsidR="00CD2E9B" w:rsidRDefault="00011D01">
      <w:pPr>
        <w:pStyle w:val="Akapitzlist"/>
        <w:numPr>
          <w:ilvl w:val="0"/>
          <w:numId w:val="25"/>
        </w:numPr>
        <w:spacing w:after="120" w:line="360" w:lineRule="auto"/>
        <w:jc w:val="both"/>
        <w:rPr>
          <w:rFonts w:ascii="Verdana" w:hAnsi="Verdana" w:cs="Open Sans"/>
          <w:sz w:val="20"/>
          <w:szCs w:val="20"/>
        </w:rPr>
      </w:pPr>
      <w:r>
        <w:rPr>
          <w:rFonts w:ascii="Verdana" w:hAnsi="Verdana" w:cs="Open Sans"/>
          <w:sz w:val="20"/>
          <w:szCs w:val="20"/>
        </w:rPr>
        <w:t>Wykonawca, będzie zobowiązany do podpisania umowy w miejscu i terminie wskazanym przez Zamawiającego.</w:t>
      </w:r>
    </w:p>
    <w:p w14:paraId="65BDAFC1" w14:textId="77777777" w:rsidR="00CD2E9B" w:rsidRDefault="00011D01">
      <w:pPr>
        <w:pStyle w:val="Akapitzlist"/>
        <w:numPr>
          <w:ilvl w:val="1"/>
          <w:numId w:val="25"/>
        </w:numPr>
        <w:spacing w:after="120" w:line="360" w:lineRule="auto"/>
        <w:jc w:val="both"/>
        <w:rPr>
          <w:rFonts w:ascii="Verdana" w:hAnsi="Verdana" w:cs="Open Sans"/>
          <w:sz w:val="20"/>
          <w:szCs w:val="20"/>
        </w:rPr>
      </w:pPr>
      <w:r>
        <w:rPr>
          <w:rFonts w:ascii="Verdana" w:hAnsi="Verdana" w:cs="Open Sans"/>
          <w:sz w:val="20"/>
          <w:szCs w:val="20"/>
        </w:rPr>
        <w:t>Przed podpisaniem umowy, wybrany Wykonawca:</w:t>
      </w:r>
    </w:p>
    <w:p w14:paraId="390C79B2" w14:textId="77777777" w:rsidR="00CD2E9B" w:rsidRDefault="00011D01">
      <w:pPr>
        <w:pStyle w:val="Akapitzlist"/>
        <w:numPr>
          <w:ilvl w:val="1"/>
          <w:numId w:val="25"/>
        </w:numPr>
        <w:spacing w:after="120" w:line="360" w:lineRule="auto"/>
        <w:jc w:val="both"/>
        <w:rPr>
          <w:rFonts w:ascii="Verdana" w:hAnsi="Verdana" w:cs="Open Sans"/>
          <w:sz w:val="20"/>
          <w:szCs w:val="20"/>
        </w:rPr>
      </w:pPr>
      <w:r>
        <w:rPr>
          <w:rFonts w:ascii="Verdana" w:hAnsi="Verdana" w:cs="Open Sans"/>
          <w:sz w:val="20"/>
          <w:szCs w:val="20"/>
        </w:rPr>
        <w:t>-przekaże Zamawiającemu informacje niezbędne do wpisania do treści umowy, np. imiona i nazwiska uprawnionych osób, które będą reprezentować Wykonawcę przy podpisywaniu umowy, do kontaktu w trakcie realizacji umowy itp.;</w:t>
      </w:r>
    </w:p>
    <w:p w14:paraId="2EA581CC" w14:textId="77777777" w:rsidR="00CD2E9B" w:rsidRDefault="00011D01">
      <w:pPr>
        <w:pStyle w:val="Akapitzlist"/>
        <w:numPr>
          <w:ilvl w:val="1"/>
          <w:numId w:val="25"/>
        </w:numPr>
        <w:spacing w:after="120" w:line="360" w:lineRule="auto"/>
        <w:jc w:val="both"/>
        <w:rPr>
          <w:rFonts w:ascii="Verdana" w:hAnsi="Verdana" w:cs="Open Sans"/>
          <w:sz w:val="20"/>
          <w:szCs w:val="20"/>
        </w:rPr>
      </w:pPr>
      <w:r>
        <w:rPr>
          <w:rFonts w:ascii="Verdana" w:hAnsi="Verdana" w:cs="Open Sans"/>
          <w:sz w:val="20"/>
          <w:szCs w:val="20"/>
        </w:rPr>
        <w:t>- jeżeli zostanie wybrana oferta Wykonawców wspólnie ubiegających się o zamówienie, to Zamawiający może zażądać przed podpisaniem umowy przedłożenia umowy regulującej ich współpracę w zakresie obejmującym wykonanie zamówienia. Z treści powyższej umowy winno w szczególności wynikać: zasady współdziałania, zakres współuczestnictwa i podział obowiązków Wykonawców w wykonaniu przedmiotu zamówienia;</w:t>
      </w:r>
    </w:p>
    <w:p w14:paraId="1E714AAD" w14:textId="77777777" w:rsidR="00CD2E9B" w:rsidRDefault="00011D01">
      <w:pPr>
        <w:pStyle w:val="Akapitzlist"/>
        <w:numPr>
          <w:ilvl w:val="1"/>
          <w:numId w:val="25"/>
        </w:numPr>
        <w:spacing w:after="120" w:line="360" w:lineRule="auto"/>
        <w:jc w:val="both"/>
        <w:rPr>
          <w:rFonts w:ascii="Verdana" w:hAnsi="Verdana" w:cs="Open Sans"/>
          <w:sz w:val="20"/>
          <w:szCs w:val="20"/>
        </w:rPr>
      </w:pPr>
      <w:r>
        <w:rPr>
          <w:rFonts w:ascii="Verdana" w:hAnsi="Verdana" w:cs="Open Sans"/>
          <w:sz w:val="20"/>
          <w:szCs w:val="20"/>
        </w:rPr>
        <w:t>- przekaże Zamawiającemu wartość netto podpisanej umowy, wyliczaną na podstawie przedstawionej oferty w formularzu ofertowym.</w:t>
      </w:r>
    </w:p>
    <w:p w14:paraId="7B4A80F9"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Podwykonawstwo</w:t>
      </w:r>
    </w:p>
    <w:p w14:paraId="7442BE26" w14:textId="77777777" w:rsidR="00CD2E9B" w:rsidRDefault="00011D01">
      <w:pPr>
        <w:pStyle w:val="Akapitzlist"/>
        <w:numPr>
          <w:ilvl w:val="0"/>
          <w:numId w:val="18"/>
        </w:numPr>
        <w:spacing w:after="120" w:line="360" w:lineRule="auto"/>
        <w:jc w:val="both"/>
        <w:rPr>
          <w:rFonts w:ascii="Verdana" w:hAnsi="Verdana" w:cs="Open Sans"/>
          <w:bCs/>
          <w:sz w:val="20"/>
          <w:szCs w:val="20"/>
        </w:rPr>
      </w:pPr>
      <w:r>
        <w:rPr>
          <w:rFonts w:ascii="Verdana" w:hAnsi="Verdana" w:cs="Open Sans"/>
          <w:bCs/>
          <w:sz w:val="20"/>
          <w:szCs w:val="20"/>
        </w:rPr>
        <w:t>Zamawiający dopuszcza udział podwykonawców w realizacji zamówienia. Powierzenie realizacji części zamówienia podwykonawcom nie zwalnia wykonawcy z odpowiedzialności za prawidłową realizację zamówienia.</w:t>
      </w:r>
    </w:p>
    <w:p w14:paraId="3F85B503" w14:textId="77777777" w:rsidR="00CD2E9B" w:rsidRDefault="00011D01">
      <w:pPr>
        <w:pStyle w:val="Akapitzlist"/>
        <w:numPr>
          <w:ilvl w:val="0"/>
          <w:numId w:val="18"/>
        </w:numPr>
        <w:spacing w:after="120" w:line="360" w:lineRule="auto"/>
        <w:jc w:val="both"/>
        <w:rPr>
          <w:rFonts w:ascii="Verdana" w:hAnsi="Verdana" w:cs="Open Sans"/>
          <w:bCs/>
          <w:sz w:val="20"/>
          <w:szCs w:val="20"/>
        </w:rPr>
      </w:pPr>
      <w:r>
        <w:rPr>
          <w:rFonts w:ascii="Verdana" w:hAnsi="Verdana" w:cs="Open Sans"/>
          <w:bCs/>
          <w:sz w:val="20"/>
          <w:szCs w:val="20"/>
        </w:rPr>
        <w:t>Zamawiający żąda wskazania przez wykonawcę w ofercie części zamówienia, których wykonanie zamierza powierzyć ewentualnym podwykonawcom i podania przez wykonawcę firm podwykonawców, o ile są już znani.</w:t>
      </w:r>
    </w:p>
    <w:p w14:paraId="077DFBA6"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Zabezpieczenie należytego wykonania umowy</w:t>
      </w:r>
    </w:p>
    <w:p w14:paraId="072BD4B1"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Zamawiający żąda zabezpieczenia należytego wykonania umowy, w tym roszczeń z tytułu gwarancji, w wysokości 5 % ceny oferty.</w:t>
      </w:r>
    </w:p>
    <w:p w14:paraId="378B456C"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4F2FFC5"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Zabezpieczenie może być wnoszone według wyboru Wykonawcy w jednej lub w kilku następujących formach:</w:t>
      </w:r>
    </w:p>
    <w:p w14:paraId="294B29F8"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 xml:space="preserve">W pieniądzu - wpłaty należy dokonać w formie przelewu na konto ……………………………….. z wpisaniem na dowodzie wpłaty hasła: Zabezpieczenia należytego wykonania umowy - ……………………………………………… </w:t>
      </w:r>
    </w:p>
    <w:p w14:paraId="4395DD3E"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W poręczeniach bankowych lub poręczeniach spółdzielczej kasy oszczędnościowo-kredytowej, z tym, że poręczenie kasy jest zawsze poręczeniem pieniężnym,</w:t>
      </w:r>
    </w:p>
    <w:p w14:paraId="67557EAB"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W gwarancjach bankowych,</w:t>
      </w:r>
    </w:p>
    <w:p w14:paraId="55E95C95"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W gwarancjach ubezpieczeniowych,</w:t>
      </w:r>
    </w:p>
    <w:p w14:paraId="7491A0A2"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W poręczeniach udzielanych przez podmioty, o których mowa w art. 6b ust. 5 pkt. 2 ustawy z dnia 9 listopada 2000 roku o utworzeniu Polskiej Agencji Rozwoju Przedsiębiorczości.</w:t>
      </w:r>
    </w:p>
    <w:p w14:paraId="11CC6542"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 xml:space="preserve">Jeżeli zabezpieczenie wniesiono w pieniądzu Zamawiający przechowuje je na oprocentowanym rachunku bankowym. </w:t>
      </w:r>
    </w:p>
    <w:p w14:paraId="695558EF"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Zabezpieczenie wnoszone w innej formie niż pieniądz należy zdeponować przed zawarciem umowy w siedzibie Zamawiającego w formie oryginału dokumentu, w terminie wyznaczonym przez Zamawiającego.</w:t>
      </w:r>
    </w:p>
    <w:p w14:paraId="0A41BF5D"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W przypadku wniesienia wadium w pieniądzu Wykonawca może wyrazić zgodę na zaliczenie kwoty wadium na poczet zabezpieczenia.</w:t>
      </w:r>
    </w:p>
    <w:p w14:paraId="175713E7"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W trakcie realizacji umowy Wykonawca może dokonać zmiany formy zabezpieczenia na jedną lub kilka form, o których mowa w pkt. 1.</w:t>
      </w:r>
    </w:p>
    <w:p w14:paraId="02A3327A"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Zmiana formy zabezpieczenia jest dokonywana z zachowaniem ciągłości zabezpieczenia i bez zmniejszenia jego wysokości.</w:t>
      </w:r>
    </w:p>
    <w:p w14:paraId="49D43694"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D3EB7D0" w14:textId="77777777" w:rsidR="00CD2E9B" w:rsidRDefault="00011D01">
      <w:pPr>
        <w:pStyle w:val="Akapitzlist"/>
        <w:numPr>
          <w:ilvl w:val="0"/>
          <w:numId w:val="26"/>
        </w:numPr>
        <w:spacing w:after="120" w:line="360" w:lineRule="auto"/>
        <w:jc w:val="both"/>
        <w:rPr>
          <w:rFonts w:ascii="Verdana" w:hAnsi="Verdana" w:cs="Open Sans"/>
          <w:sz w:val="20"/>
          <w:szCs w:val="20"/>
        </w:rPr>
      </w:pPr>
      <w:r>
        <w:rPr>
          <w:rFonts w:ascii="Verdana" w:hAnsi="Verdana" w:cs="Open Sans"/>
          <w:sz w:val="20"/>
          <w:szCs w:val="20"/>
        </w:rPr>
        <w:t>Zabezpieczenie należytego wykonania Umowy będzie zwracane przez Zamawiającego w następujący sposób:</w:t>
      </w:r>
    </w:p>
    <w:p w14:paraId="1A1E948F"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 xml:space="preserve">70 % wartości zabezpieczenia zostanie zwrócone w terminie 30 dni od podpisania protokołu Odbioru Systemu; </w:t>
      </w:r>
    </w:p>
    <w:p w14:paraId="2235FE4E" w14:textId="77777777" w:rsidR="00CD2E9B" w:rsidRDefault="00011D01">
      <w:pPr>
        <w:pStyle w:val="Akapitzlist"/>
        <w:numPr>
          <w:ilvl w:val="1"/>
          <w:numId w:val="26"/>
        </w:numPr>
        <w:spacing w:after="120" w:line="360" w:lineRule="auto"/>
        <w:jc w:val="both"/>
        <w:rPr>
          <w:rFonts w:ascii="Verdana" w:hAnsi="Verdana" w:cs="Open Sans"/>
          <w:sz w:val="20"/>
          <w:szCs w:val="20"/>
        </w:rPr>
      </w:pPr>
      <w:r>
        <w:rPr>
          <w:rFonts w:ascii="Verdana" w:hAnsi="Verdana" w:cs="Open Sans"/>
          <w:sz w:val="20"/>
          <w:szCs w:val="20"/>
        </w:rPr>
        <w:t>30 % wartości zabezpieczenia zostanie zwrócone w terminie 15 dni po upływie terminu rękojmi za wady.</w:t>
      </w:r>
    </w:p>
    <w:p w14:paraId="0C69AD56"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17" w:name="_Toc74836486"/>
      <w:r>
        <w:rPr>
          <w:rFonts w:ascii="Verdana" w:eastAsia="Times New Roman" w:hAnsi="Verdana" w:cs="Open Sans"/>
          <w:sz w:val="20"/>
          <w:szCs w:val="20"/>
          <w:lang w:eastAsia="pl-PL"/>
        </w:rPr>
        <w:t>Środki ochrony prawnej</w:t>
      </w:r>
      <w:bookmarkEnd w:id="17"/>
    </w:p>
    <w:p w14:paraId="4D2B7C28"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Środki ochrony prawnej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1846E20D"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Odwołanie przysługuje na:</w:t>
      </w:r>
    </w:p>
    <w:p w14:paraId="725AC631" w14:textId="77777777" w:rsidR="00CD2E9B" w:rsidRDefault="00011D01">
      <w:pPr>
        <w:pStyle w:val="Akapitzlist"/>
        <w:numPr>
          <w:ilvl w:val="1"/>
          <w:numId w:val="27"/>
        </w:numPr>
        <w:spacing w:after="120" w:line="360" w:lineRule="auto"/>
        <w:jc w:val="both"/>
        <w:rPr>
          <w:rFonts w:ascii="Verdana" w:hAnsi="Verdana" w:cs="Open Sans"/>
          <w:sz w:val="20"/>
          <w:szCs w:val="20"/>
        </w:rPr>
      </w:pPr>
      <w:r>
        <w:rPr>
          <w:rFonts w:ascii="Verdana" w:hAnsi="Verdana" w:cs="Open Sans"/>
          <w:sz w:val="20"/>
          <w:szCs w:val="20"/>
        </w:rPr>
        <w:t>niezgodną z przepisami ustawy czynność Zamawiającego, podjętą w postępowaniu o udzielenie zamówienia, w tym na projektowane postanowienie umowy;</w:t>
      </w:r>
    </w:p>
    <w:p w14:paraId="1F722BDB" w14:textId="77777777" w:rsidR="00CD2E9B" w:rsidRDefault="00011D01">
      <w:pPr>
        <w:pStyle w:val="Akapitzlist"/>
        <w:numPr>
          <w:ilvl w:val="1"/>
          <w:numId w:val="27"/>
        </w:numPr>
        <w:spacing w:after="120" w:line="360" w:lineRule="auto"/>
        <w:jc w:val="both"/>
        <w:rPr>
          <w:rFonts w:ascii="Verdana" w:hAnsi="Verdana" w:cs="Open Sans"/>
          <w:sz w:val="20"/>
          <w:szCs w:val="20"/>
        </w:rPr>
      </w:pPr>
      <w:r>
        <w:rPr>
          <w:rFonts w:ascii="Verdana" w:hAnsi="Verdana" w:cs="Open Sans"/>
          <w:sz w:val="20"/>
          <w:szCs w:val="20"/>
        </w:rPr>
        <w:t>zaniechanie czynności w postępowaniu o udzielenie zamówienia, do której Zamawiający był obowiązany na podstawie ustawy;</w:t>
      </w:r>
    </w:p>
    <w:p w14:paraId="7A093351"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Odwołanie wnosi się w terminie:</w:t>
      </w:r>
    </w:p>
    <w:p w14:paraId="4E02A48F" w14:textId="77777777" w:rsidR="00CD2E9B" w:rsidRDefault="00011D01">
      <w:pPr>
        <w:pStyle w:val="Akapitzlist"/>
        <w:numPr>
          <w:ilvl w:val="1"/>
          <w:numId w:val="27"/>
        </w:numPr>
        <w:spacing w:after="120" w:line="360" w:lineRule="auto"/>
        <w:jc w:val="both"/>
        <w:rPr>
          <w:rFonts w:ascii="Verdana" w:hAnsi="Verdana" w:cs="Open Sans"/>
          <w:sz w:val="20"/>
          <w:szCs w:val="20"/>
        </w:rPr>
      </w:pPr>
      <w:r>
        <w:rPr>
          <w:rFonts w:ascii="Verdana" w:hAnsi="Verdana" w:cs="Open Sans"/>
          <w:sz w:val="20"/>
          <w:szCs w:val="20"/>
        </w:rPr>
        <w:t>10 dni od dnia przekazania informacji o czynności zamawiającego stanowiącej podstawę jego wniesienia, jeżeli informacja została przekazana przy użyciu środków komunikacji elektronicznej,</w:t>
      </w:r>
    </w:p>
    <w:p w14:paraId="566FDEC9" w14:textId="77777777" w:rsidR="00CD2E9B" w:rsidRDefault="00011D01">
      <w:pPr>
        <w:pStyle w:val="Akapitzlist"/>
        <w:numPr>
          <w:ilvl w:val="1"/>
          <w:numId w:val="27"/>
        </w:numPr>
        <w:spacing w:after="120" w:line="360" w:lineRule="auto"/>
        <w:jc w:val="both"/>
        <w:rPr>
          <w:rFonts w:ascii="Verdana" w:hAnsi="Verdana" w:cs="Open Sans"/>
          <w:sz w:val="20"/>
          <w:szCs w:val="20"/>
        </w:rPr>
      </w:pPr>
      <w:r>
        <w:rPr>
          <w:rFonts w:ascii="Verdana" w:hAnsi="Verdana" w:cs="Open Sans"/>
          <w:sz w:val="20"/>
          <w:szCs w:val="20"/>
        </w:rPr>
        <w:t>15 dni od dnia przekazania informacji o czynności zamawiającego stanowiącej podstawę jego wniesienia, jeżeli informacja została przekazana w sposób inny niż określony w pkt 1;</w:t>
      </w:r>
    </w:p>
    <w:p w14:paraId="1CC2A0E2"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71A2CC19"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 xml:space="preserve">Odwołanie w przypadkach innych niż określone w pkt 3 i 4 wnosi się w terminie 10 dni od dnia, w którym powzięto lub przy zachowaniu należytej staranności można było powziąć wiadomość o okolicznościach stanowiących podstawę jego wniesienia. </w:t>
      </w:r>
    </w:p>
    <w:p w14:paraId="0D7CDEA9"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14:paraId="0A76AB60" w14:textId="77777777" w:rsidR="00CD2E9B" w:rsidRDefault="00011D01">
      <w:pPr>
        <w:pStyle w:val="Akapitzlist"/>
        <w:numPr>
          <w:ilvl w:val="0"/>
          <w:numId w:val="27"/>
        </w:numPr>
        <w:spacing w:after="120" w:line="360" w:lineRule="auto"/>
        <w:jc w:val="both"/>
        <w:rPr>
          <w:rFonts w:ascii="Verdana" w:hAnsi="Verdana" w:cs="Open Sans"/>
          <w:sz w:val="20"/>
          <w:szCs w:val="20"/>
        </w:rPr>
      </w:pPr>
      <w:r>
        <w:rPr>
          <w:rFonts w:ascii="Verdana" w:hAnsi="Verdana" w:cs="Open Sans"/>
          <w:sz w:val="20"/>
          <w:szCs w:val="20"/>
        </w:rPr>
        <w:t>Pozostałe zasady dot. środków ochrony prawnej zostały zawarte w Dziale IX ustawy.</w:t>
      </w:r>
    </w:p>
    <w:p w14:paraId="05993B46"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bookmarkStart w:id="18" w:name="_Toc74836487"/>
      <w:r>
        <w:rPr>
          <w:rFonts w:ascii="Verdana" w:eastAsia="Times New Roman" w:hAnsi="Verdana" w:cs="Open Sans"/>
          <w:sz w:val="20"/>
          <w:szCs w:val="20"/>
          <w:lang w:eastAsia="pl-PL"/>
        </w:rPr>
        <w:t>Przetwarzanie danych osobowych</w:t>
      </w:r>
      <w:bookmarkEnd w:id="18"/>
    </w:p>
    <w:p w14:paraId="6283A526" w14:textId="77777777" w:rsidR="00CD2E9B" w:rsidRDefault="00011D01">
      <w:pPr>
        <w:pStyle w:val="Akapitzlist"/>
        <w:numPr>
          <w:ilvl w:val="0"/>
          <w:numId w:val="11"/>
        </w:numPr>
        <w:spacing w:after="120" w:line="360" w:lineRule="auto"/>
        <w:jc w:val="both"/>
        <w:rPr>
          <w:rFonts w:ascii="Verdana" w:eastAsiaTheme="minorHAnsi" w:hAnsi="Verdana" w:cs="Open Sans"/>
          <w:sz w:val="20"/>
          <w:szCs w:val="20"/>
        </w:rPr>
      </w:pPr>
      <w:r>
        <w:rPr>
          <w:rFonts w:ascii="Verdana" w:hAnsi="Verdana" w:cs="Open Sans"/>
          <w:sz w:val="20"/>
          <w:szCs w:val="20"/>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6F638FE6" w14:textId="77777777" w:rsidR="00CD2E9B" w:rsidRDefault="00011D01">
      <w:pPr>
        <w:pStyle w:val="Akapitzlist"/>
        <w:numPr>
          <w:ilvl w:val="0"/>
          <w:numId w:val="11"/>
        </w:numPr>
        <w:spacing w:after="120" w:line="360" w:lineRule="auto"/>
        <w:jc w:val="both"/>
        <w:rPr>
          <w:rFonts w:ascii="Verdana" w:eastAsiaTheme="minorHAnsi" w:hAnsi="Verdana" w:cs="Open Sans"/>
          <w:sz w:val="20"/>
          <w:szCs w:val="20"/>
        </w:rPr>
      </w:pPr>
      <w:r>
        <w:rPr>
          <w:rFonts w:ascii="Verdana" w:hAnsi="Verdana" w:cs="Open Sans"/>
          <w:sz w:val="20"/>
          <w:szCs w:val="20"/>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realizacją obowiązków ustawowych określonych w obowiązujących przepisach prawa. </w:t>
      </w:r>
    </w:p>
    <w:p w14:paraId="59945660" w14:textId="77777777" w:rsidR="00CD2E9B" w:rsidRDefault="00011D01">
      <w:pPr>
        <w:pStyle w:val="Akapitzlist"/>
        <w:numPr>
          <w:ilvl w:val="0"/>
          <w:numId w:val="11"/>
        </w:numPr>
        <w:spacing w:after="120" w:line="360" w:lineRule="auto"/>
        <w:jc w:val="both"/>
        <w:rPr>
          <w:rFonts w:ascii="Verdana" w:eastAsiaTheme="minorHAnsi" w:hAnsi="Verdana" w:cs="Open Sans"/>
          <w:sz w:val="20"/>
          <w:szCs w:val="20"/>
        </w:rPr>
      </w:pPr>
      <w:r>
        <w:rPr>
          <w:rFonts w:ascii="Verdana" w:hAnsi="Verdana" w:cs="Open Sans"/>
          <w:sz w:val="20"/>
          <w:szCs w:val="20"/>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2AC28967" w14:textId="77777777" w:rsidR="00CD2E9B" w:rsidRDefault="00011D01">
      <w:pPr>
        <w:pStyle w:val="Nagwek1"/>
        <w:numPr>
          <w:ilvl w:val="0"/>
          <w:numId w:val="21"/>
        </w:numPr>
        <w:spacing w:before="0" w:after="120" w:line="360" w:lineRule="auto"/>
        <w:jc w:val="both"/>
        <w:rPr>
          <w:rFonts w:ascii="Verdana" w:eastAsia="Times New Roman" w:hAnsi="Verdana" w:cs="Open Sans"/>
          <w:sz w:val="20"/>
          <w:szCs w:val="20"/>
          <w:lang w:eastAsia="pl-PL"/>
        </w:rPr>
      </w:pPr>
      <w:r>
        <w:rPr>
          <w:rFonts w:ascii="Verdana" w:eastAsia="Times New Roman" w:hAnsi="Verdana" w:cs="Open Sans"/>
          <w:sz w:val="20"/>
          <w:szCs w:val="20"/>
          <w:lang w:eastAsia="pl-PL"/>
        </w:rPr>
        <w:t>Załączniki</w:t>
      </w:r>
    </w:p>
    <w:p w14:paraId="041DF6CF" w14:textId="2D6A5287" w:rsidR="00CD2E9B" w:rsidRPr="00490A2B" w:rsidRDefault="00011D01">
      <w:pPr>
        <w:pStyle w:val="Akapitzlist"/>
        <w:numPr>
          <w:ilvl w:val="0"/>
          <w:numId w:val="22"/>
        </w:numPr>
        <w:spacing w:after="120" w:line="360" w:lineRule="auto"/>
        <w:jc w:val="both"/>
        <w:rPr>
          <w:rFonts w:ascii="Verdana" w:eastAsiaTheme="minorHAnsi" w:hAnsi="Verdana" w:cs="Open Sans"/>
          <w:sz w:val="20"/>
          <w:szCs w:val="20"/>
        </w:rPr>
      </w:pPr>
      <w:r>
        <w:rPr>
          <w:rFonts w:ascii="Verdana" w:hAnsi="Verdana" w:cs="Open Sans"/>
          <w:sz w:val="20"/>
          <w:szCs w:val="20"/>
        </w:rPr>
        <w:t>Opis Przedmiotu Zamówienia (OPZ);</w:t>
      </w:r>
    </w:p>
    <w:p w14:paraId="0C921422" w14:textId="77777777" w:rsidR="00CD2E9B" w:rsidRDefault="00011D01">
      <w:pPr>
        <w:pStyle w:val="Akapitzlist"/>
        <w:numPr>
          <w:ilvl w:val="0"/>
          <w:numId w:val="22"/>
        </w:numPr>
        <w:spacing w:after="120" w:line="360" w:lineRule="auto"/>
        <w:jc w:val="both"/>
        <w:rPr>
          <w:rFonts w:ascii="Verdana" w:eastAsiaTheme="minorHAnsi" w:hAnsi="Verdana" w:cs="Open Sans"/>
          <w:sz w:val="20"/>
          <w:szCs w:val="20"/>
        </w:rPr>
      </w:pPr>
      <w:r>
        <w:rPr>
          <w:rFonts w:ascii="Verdana" w:hAnsi="Verdana" w:cs="Open Sans"/>
          <w:sz w:val="20"/>
          <w:szCs w:val="20"/>
        </w:rPr>
        <w:t>Umowa (projekt);</w:t>
      </w:r>
    </w:p>
    <w:p w14:paraId="5B1B00EA" w14:textId="77777777" w:rsidR="00CD2E9B" w:rsidRDefault="00011D01">
      <w:pPr>
        <w:pStyle w:val="Akapitzlist"/>
        <w:numPr>
          <w:ilvl w:val="0"/>
          <w:numId w:val="22"/>
        </w:numPr>
        <w:spacing w:after="120" w:line="360" w:lineRule="auto"/>
        <w:jc w:val="both"/>
        <w:rPr>
          <w:rFonts w:ascii="Verdana" w:eastAsiaTheme="minorHAnsi" w:hAnsi="Verdana" w:cs="Open Sans"/>
          <w:sz w:val="20"/>
          <w:szCs w:val="20"/>
        </w:rPr>
      </w:pPr>
      <w:r>
        <w:rPr>
          <w:rFonts w:ascii="Verdana" w:hAnsi="Verdana" w:cs="Open Sans"/>
          <w:sz w:val="20"/>
          <w:szCs w:val="20"/>
        </w:rPr>
        <w:t>Formularz ofertowy.</w:t>
      </w:r>
    </w:p>
    <w:p w14:paraId="35FF036D" w14:textId="77777777" w:rsidR="00CD2E9B" w:rsidRDefault="00CD2E9B">
      <w:pPr>
        <w:spacing w:after="120" w:line="360" w:lineRule="auto"/>
      </w:pPr>
    </w:p>
    <w:sectPr w:rsidR="00CD2E9B">
      <w:footerReference w:type="default" r:id="rId14"/>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0868" w14:textId="77777777" w:rsidR="00FC6D31" w:rsidRDefault="00FC6D31">
      <w:pPr>
        <w:spacing w:after="0" w:line="240" w:lineRule="auto"/>
      </w:pPr>
      <w:r>
        <w:separator/>
      </w:r>
    </w:p>
  </w:endnote>
  <w:endnote w:type="continuationSeparator" w:id="0">
    <w:p w14:paraId="170A98AE" w14:textId="77777777" w:rsidR="00FC6D31" w:rsidRDefault="00FC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un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643492"/>
      <w:docPartObj>
        <w:docPartGallery w:val="Page Numbers (Bottom of Page)"/>
        <w:docPartUnique/>
      </w:docPartObj>
    </w:sdtPr>
    <w:sdtEndPr/>
    <w:sdtContent>
      <w:p w14:paraId="2E3044D9" w14:textId="77777777" w:rsidR="00CD2E9B" w:rsidRDefault="00011D01">
        <w:pPr>
          <w:pStyle w:val="Stopka"/>
          <w:jc w:val="center"/>
        </w:pPr>
        <w:r>
          <w:fldChar w:fldCharType="begin"/>
        </w:r>
        <w:r>
          <w:instrText>PAGE</w:instrText>
        </w:r>
        <w:r>
          <w:fldChar w:fldCharType="separate"/>
        </w:r>
        <w:r>
          <w:t>1</w:t>
        </w:r>
        <w:r>
          <w:fldChar w:fldCharType="end"/>
        </w:r>
      </w:p>
    </w:sdtContent>
  </w:sdt>
  <w:p w14:paraId="0CCDF18E" w14:textId="77777777" w:rsidR="00CD2E9B" w:rsidRDefault="00CD2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8253" w14:textId="77777777" w:rsidR="00FC6D31" w:rsidRDefault="00FC6D31">
      <w:pPr>
        <w:spacing w:after="0" w:line="240" w:lineRule="auto"/>
      </w:pPr>
      <w:r>
        <w:separator/>
      </w:r>
    </w:p>
  </w:footnote>
  <w:footnote w:type="continuationSeparator" w:id="0">
    <w:p w14:paraId="62BF9C1F" w14:textId="77777777" w:rsidR="00FC6D31" w:rsidRDefault="00FC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0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B06DA9"/>
    <w:multiLevelType w:val="multilevel"/>
    <w:tmpl w:val="59FED53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B86A3E"/>
    <w:multiLevelType w:val="multilevel"/>
    <w:tmpl w:val="4A20144A"/>
    <w:lvl w:ilvl="0">
      <w:start w:val="1"/>
      <w:numFmt w:val="decimal"/>
      <w:lvlText w:val="%1."/>
      <w:lvlJc w:val="left"/>
      <w:pPr>
        <w:ind w:left="360" w:hanging="360"/>
      </w:pPr>
      <w:rPr>
        <w:rFonts w:ascii="Verdana" w:hAnsi="Verdana"/>
        <w:b/>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50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B32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FF1F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D022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49717D"/>
    <w:multiLevelType w:val="multilevel"/>
    <w:tmpl w:val="48AAEE46"/>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90957"/>
    <w:multiLevelType w:val="multilevel"/>
    <w:tmpl w:val="0D664B1A"/>
    <w:lvl w:ilvl="0">
      <w:start w:val="1"/>
      <w:numFmt w:val="decimal"/>
      <w:lvlText w:val="%1."/>
      <w:lvlJc w:val="left"/>
      <w:pPr>
        <w:ind w:left="360" w:hanging="360"/>
      </w:pPr>
      <w:rPr>
        <w:rFonts w:ascii="Verdana" w:eastAsia="Calibri" w:hAnsi="Verdana" w:cs="arialuni"/>
        <w:b w:val="0"/>
        <w:bCs/>
        <w:sz w:val="20"/>
        <w:szCs w:val="20"/>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441974"/>
    <w:multiLevelType w:val="multilevel"/>
    <w:tmpl w:val="3F609976"/>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EB4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450C7C"/>
    <w:multiLevelType w:val="multilevel"/>
    <w:tmpl w:val="4028D2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3F7738"/>
    <w:multiLevelType w:val="multilevel"/>
    <w:tmpl w:val="C30660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D551A29"/>
    <w:multiLevelType w:val="multilevel"/>
    <w:tmpl w:val="8E142832"/>
    <w:lvl w:ilvl="0">
      <w:start w:val="1"/>
      <w:numFmt w:val="decimal"/>
      <w:lvlText w:val="%1."/>
      <w:lvlJc w:val="left"/>
      <w:pPr>
        <w:ind w:left="360" w:hanging="360"/>
      </w:pPr>
      <w:rPr>
        <w:rFonts w:ascii="Verdana" w:eastAsia="Calibri" w:hAnsi="Verdana" w:cs="arialuni"/>
        <w:b w:val="0"/>
        <w:bCs/>
        <w:sz w:val="20"/>
        <w:szCs w:val="20"/>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F5D7067"/>
    <w:multiLevelType w:val="multilevel"/>
    <w:tmpl w:val="ED744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1DC3B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B90F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3631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E24B9"/>
    <w:multiLevelType w:val="multilevel"/>
    <w:tmpl w:val="FA621C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115702"/>
    <w:multiLevelType w:val="multilevel"/>
    <w:tmpl w:val="69A8B9D4"/>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6D08A4"/>
    <w:multiLevelType w:val="multilevel"/>
    <w:tmpl w:val="4D7E6FB2"/>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5F1BE5"/>
    <w:multiLevelType w:val="multilevel"/>
    <w:tmpl w:val="98D00904"/>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3E74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9E0F36"/>
    <w:multiLevelType w:val="multilevel"/>
    <w:tmpl w:val="975C1284"/>
    <w:lvl w:ilvl="0">
      <w:start w:val="1"/>
      <w:numFmt w:val="decimal"/>
      <w:lvlText w:val="2.%1."/>
      <w:lvlJc w:val="left"/>
      <w:pPr>
        <w:ind w:left="1080" w:hanging="360"/>
      </w:pPr>
      <w:rPr>
        <w:rFonts w:ascii="Verdana" w:hAnsi="Verdana"/>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826D2D"/>
    <w:multiLevelType w:val="multilevel"/>
    <w:tmpl w:val="56D6A4F2"/>
    <w:lvl w:ilvl="0">
      <w:start w:val="1"/>
      <w:numFmt w:val="decimal"/>
      <w:lvlText w:val="%1)"/>
      <w:lvlJc w:val="left"/>
      <w:pPr>
        <w:ind w:left="1080" w:hanging="360"/>
      </w:pPr>
      <w:rPr>
        <w:rFonts w:ascii="Verdana" w:hAnsi="Verdana" w:cs="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99709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FC43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EE4DAF"/>
    <w:multiLevelType w:val="multilevel"/>
    <w:tmpl w:val="E24860D2"/>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17"/>
  </w:num>
  <w:num w:numId="4">
    <w:abstractNumId w:val="3"/>
  </w:num>
  <w:num w:numId="5">
    <w:abstractNumId w:val="10"/>
  </w:num>
  <w:num w:numId="6">
    <w:abstractNumId w:val="5"/>
  </w:num>
  <w:num w:numId="7">
    <w:abstractNumId w:val="2"/>
  </w:num>
  <w:num w:numId="8">
    <w:abstractNumId w:val="18"/>
  </w:num>
  <w:num w:numId="9">
    <w:abstractNumId w:val="24"/>
  </w:num>
  <w:num w:numId="10">
    <w:abstractNumId w:val="12"/>
  </w:num>
  <w:num w:numId="11">
    <w:abstractNumId w:val="8"/>
  </w:num>
  <w:num w:numId="12">
    <w:abstractNumId w:val="23"/>
  </w:num>
  <w:num w:numId="13">
    <w:abstractNumId w:val="26"/>
  </w:num>
  <w:num w:numId="14">
    <w:abstractNumId w:val="22"/>
  </w:num>
  <w:num w:numId="15">
    <w:abstractNumId w:val="4"/>
  </w:num>
  <w:num w:numId="16">
    <w:abstractNumId w:val="0"/>
  </w:num>
  <w:num w:numId="17">
    <w:abstractNumId w:val="6"/>
  </w:num>
  <w:num w:numId="18">
    <w:abstractNumId w:val="1"/>
  </w:num>
  <w:num w:numId="19">
    <w:abstractNumId w:val="15"/>
  </w:num>
  <w:num w:numId="20">
    <w:abstractNumId w:val="25"/>
  </w:num>
  <w:num w:numId="21">
    <w:abstractNumId w:val="20"/>
  </w:num>
  <w:num w:numId="22">
    <w:abstractNumId w:val="13"/>
  </w:num>
  <w:num w:numId="23">
    <w:abstractNumId w:val="9"/>
  </w:num>
  <w:num w:numId="24">
    <w:abstractNumId w:val="27"/>
  </w:num>
  <w:num w:numId="25">
    <w:abstractNumId w:val="21"/>
  </w:num>
  <w:num w:numId="26">
    <w:abstractNumId w:val="7"/>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9B"/>
    <w:rsid w:val="00011D01"/>
    <w:rsid w:val="0002477C"/>
    <w:rsid w:val="000328C5"/>
    <w:rsid w:val="0006669E"/>
    <w:rsid w:val="000C25D3"/>
    <w:rsid w:val="00177FEA"/>
    <w:rsid w:val="001C3D46"/>
    <w:rsid w:val="001D7F4E"/>
    <w:rsid w:val="00300A8D"/>
    <w:rsid w:val="003932A2"/>
    <w:rsid w:val="00393E6B"/>
    <w:rsid w:val="003B3D53"/>
    <w:rsid w:val="00490A2B"/>
    <w:rsid w:val="004D6B1D"/>
    <w:rsid w:val="005216A5"/>
    <w:rsid w:val="00523979"/>
    <w:rsid w:val="005D4749"/>
    <w:rsid w:val="00646772"/>
    <w:rsid w:val="00755173"/>
    <w:rsid w:val="00853673"/>
    <w:rsid w:val="009B4CA7"/>
    <w:rsid w:val="00B417CE"/>
    <w:rsid w:val="00C06F61"/>
    <w:rsid w:val="00C15030"/>
    <w:rsid w:val="00C6609B"/>
    <w:rsid w:val="00CD2E9B"/>
    <w:rsid w:val="00DE0283"/>
    <w:rsid w:val="00EE322A"/>
    <w:rsid w:val="00F752CE"/>
    <w:rsid w:val="00FC6D31"/>
    <w:rsid w:val="00FD5A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E82C"/>
  <w15:docId w15:val="{ADA2F4E7-5954-4009-8E20-27200206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FB5"/>
    <w:pPr>
      <w:spacing w:after="160" w:line="259" w:lineRule="auto"/>
    </w:pPr>
    <w:rPr>
      <w:sz w:val="22"/>
    </w:rPr>
  </w:style>
  <w:style w:type="paragraph" w:styleId="Nagwek1">
    <w:name w:val="heading 1"/>
    <w:basedOn w:val="Normalny"/>
    <w:next w:val="Normalny"/>
    <w:link w:val="Nagwek1Znak"/>
    <w:uiPriority w:val="9"/>
    <w:qFormat/>
    <w:rsid w:val="00EB6F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670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B6FB5"/>
    <w:rPr>
      <w:rFonts w:asciiTheme="majorHAnsi" w:eastAsiaTheme="majorEastAsia" w:hAnsiTheme="majorHAnsi" w:cstheme="majorBidi"/>
      <w:color w:val="2F5496" w:themeColor="accent1" w:themeShade="BF"/>
      <w:sz w:val="32"/>
      <w:szCs w:val="32"/>
    </w:rPr>
  </w:style>
  <w:style w:type="character" w:customStyle="1" w:styleId="czeinternetowe">
    <w:name w:val="Łącze internetowe"/>
    <w:basedOn w:val="Domylnaczcionkaakapitu"/>
    <w:uiPriority w:val="99"/>
    <w:unhideWhenUsed/>
    <w:rsid w:val="00EB6FB5"/>
    <w:rPr>
      <w:color w:val="0563C1" w:themeColor="hyperlink"/>
      <w:u w:val="single"/>
    </w:rPr>
  </w:style>
  <w:style w:type="character" w:customStyle="1" w:styleId="AkapitzlistZnak">
    <w:name w:val="Akapit z listą Znak"/>
    <w:link w:val="Akapitzlist"/>
    <w:uiPriority w:val="34"/>
    <w:qFormat/>
    <w:locked/>
    <w:rsid w:val="00EB6FB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B6FB5"/>
  </w:style>
  <w:style w:type="character" w:customStyle="1" w:styleId="markedcontent">
    <w:name w:val="markedcontent"/>
    <w:basedOn w:val="Domylnaczcionkaakapitu"/>
    <w:qFormat/>
    <w:rsid w:val="00EB6FB5"/>
  </w:style>
  <w:style w:type="character" w:customStyle="1" w:styleId="Nagwek3Znak">
    <w:name w:val="Nagłówek 3 Znak"/>
    <w:basedOn w:val="Domylnaczcionkaakapitu"/>
    <w:link w:val="Nagwek3"/>
    <w:uiPriority w:val="9"/>
    <w:semiHidden/>
    <w:qFormat/>
    <w:rsid w:val="00E670F3"/>
    <w:rPr>
      <w:rFonts w:asciiTheme="majorHAnsi" w:eastAsiaTheme="majorEastAsia" w:hAnsiTheme="majorHAnsi" w:cstheme="majorBidi"/>
      <w:color w:val="1F3763" w:themeColor="accent1" w:themeShade="7F"/>
      <w:sz w:val="24"/>
      <w:szCs w:val="24"/>
    </w:rPr>
  </w:style>
  <w:style w:type="character" w:styleId="Odwoaniedokomentarza">
    <w:name w:val="annotation reference"/>
    <w:basedOn w:val="Domylnaczcionkaakapitu"/>
    <w:uiPriority w:val="99"/>
    <w:semiHidden/>
    <w:unhideWhenUsed/>
    <w:qFormat/>
    <w:rsid w:val="00A46766"/>
    <w:rPr>
      <w:sz w:val="16"/>
      <w:szCs w:val="16"/>
    </w:rPr>
  </w:style>
  <w:style w:type="character" w:customStyle="1" w:styleId="TekstkomentarzaZnak">
    <w:name w:val="Tekst komentarza Znak"/>
    <w:basedOn w:val="Domylnaczcionkaakapitu"/>
    <w:link w:val="Tekstkomentarza"/>
    <w:uiPriority w:val="99"/>
    <w:semiHidden/>
    <w:qFormat/>
    <w:rsid w:val="00A46766"/>
    <w:rPr>
      <w:sz w:val="20"/>
      <w:szCs w:val="20"/>
    </w:rPr>
  </w:style>
  <w:style w:type="character" w:customStyle="1" w:styleId="TekstkomentarzaZnak1">
    <w:name w:val="Tekst komentarza Znak1"/>
    <w:basedOn w:val="Domylnaczcionkaakapitu"/>
    <w:uiPriority w:val="99"/>
    <w:semiHidden/>
    <w:qFormat/>
    <w:rsid w:val="00A46766"/>
    <w:rPr>
      <w:sz w:val="20"/>
      <w:szCs w:val="20"/>
    </w:rPr>
  </w:style>
  <w:style w:type="character" w:customStyle="1" w:styleId="TekstpodstawowyZnak">
    <w:name w:val="Tekst podstawowy Znak"/>
    <w:basedOn w:val="Domylnaczcionkaakapitu"/>
    <w:link w:val="Tekstpodstawowy"/>
    <w:uiPriority w:val="99"/>
    <w:semiHidden/>
    <w:qFormat/>
    <w:rsid w:val="006A2F47"/>
  </w:style>
  <w:style w:type="character" w:customStyle="1" w:styleId="TematkomentarzaZnak">
    <w:name w:val="Temat komentarza Znak"/>
    <w:basedOn w:val="TekstkomentarzaZnak"/>
    <w:link w:val="Tematkomentarza"/>
    <w:uiPriority w:val="99"/>
    <w:semiHidden/>
    <w:qFormat/>
    <w:rsid w:val="00F46C41"/>
    <w:rPr>
      <w:b/>
      <w:bCs/>
      <w:sz w:val="20"/>
      <w:szCs w:val="20"/>
    </w:rPr>
  </w:style>
  <w:style w:type="character" w:customStyle="1" w:styleId="ListLabel1">
    <w:name w:val="ListLabel 1"/>
    <w:qFormat/>
    <w:rPr>
      <w:rFonts w:ascii="Verdana" w:hAnsi="Verdana"/>
      <w:b/>
      <w:bCs w:val="0"/>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Arial"/>
      <w:sz w:val="20"/>
      <w:szCs w:val="20"/>
    </w:rPr>
  </w:style>
  <w:style w:type="character" w:customStyle="1" w:styleId="ListLabel6">
    <w:name w:val="ListLabel 6"/>
    <w:qFormat/>
    <w:rPr>
      <w:rFonts w:eastAsia="Calibri" w:cs="arialuni"/>
      <w:b w:val="0"/>
      <w:bCs/>
      <w:sz w:val="20"/>
      <w:szCs w:val="20"/>
    </w:rPr>
  </w:style>
  <w:style w:type="character" w:customStyle="1" w:styleId="ListLabel7">
    <w:name w:val="ListLabel 7"/>
    <w:qFormat/>
    <w:rPr>
      <w:rFonts w:ascii="Verdana" w:eastAsia="Calibri" w:hAnsi="Verdana" w:cs="arialuni"/>
      <w:b w:val="0"/>
      <w:bCs/>
      <w:sz w:val="20"/>
      <w:szCs w:val="20"/>
    </w:rPr>
  </w:style>
  <w:style w:type="character" w:customStyle="1" w:styleId="ListLabel8">
    <w:name w:val="ListLabel 8"/>
    <w:qFormat/>
    <w:rPr>
      <w:rFonts w:ascii="Verdana" w:hAnsi="Verdana"/>
      <w:i w:val="0"/>
      <w:sz w:val="20"/>
    </w:rPr>
  </w:style>
  <w:style w:type="character" w:customStyle="1" w:styleId="ListLabel9">
    <w:name w:val="ListLabel 9"/>
    <w:qFormat/>
    <w:rPr>
      <w:rFonts w:eastAsia="Times New Roman" w:cs="Calibri"/>
    </w:rPr>
  </w:style>
  <w:style w:type="character" w:customStyle="1" w:styleId="ListLabel10">
    <w:name w:val="ListLabel 10"/>
    <w:qFormat/>
    <w:rPr>
      <w:rFonts w:eastAsia="Calibri" w:cs="Times New Roman"/>
      <w:b w:val="0"/>
      <w:color w:val="auto"/>
      <w:sz w:val="20"/>
      <w:szCs w:val="20"/>
    </w:rPr>
  </w:style>
  <w:style w:type="character" w:customStyle="1" w:styleId="ListLabel11">
    <w:name w:val="ListLabel 11"/>
    <w:qFormat/>
    <w:rPr>
      <w:rFonts w:eastAsia="Times New Roman" w:cs="Calibri"/>
      <w:b w:val="0"/>
      <w:i w:val="0"/>
      <w:iCs w:val="0"/>
      <w:color w:val="auto"/>
      <w:sz w:val="20"/>
      <w:szCs w:val="20"/>
    </w:rPr>
  </w:style>
  <w:style w:type="character" w:customStyle="1" w:styleId="ListLabel12">
    <w:name w:val="ListLabel 12"/>
    <w:qFormat/>
    <w:rPr>
      <w:rFonts w:eastAsia="Times New Roman" w:cs="Arial"/>
      <w:b w:val="0"/>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Calibri" w:cs="Times New Roman"/>
      <w:b w:val="0"/>
      <w:color w:val="auto"/>
      <w:sz w:val="20"/>
      <w:szCs w:val="20"/>
    </w:rPr>
  </w:style>
  <w:style w:type="character" w:customStyle="1" w:styleId="ListLabel23">
    <w:name w:val="ListLabel 23"/>
    <w:qFormat/>
    <w:rPr>
      <w:rFonts w:eastAsia="Times New Roman" w:cs="Calibri"/>
      <w:b w:val="0"/>
      <w:i w:val="0"/>
      <w:iCs w:val="0"/>
      <w:color w:val="auto"/>
      <w:sz w:val="20"/>
      <w:szCs w:val="20"/>
    </w:rPr>
  </w:style>
  <w:style w:type="character" w:customStyle="1" w:styleId="ListLabel24">
    <w:name w:val="ListLabel 24"/>
    <w:qFormat/>
    <w:rPr>
      <w:rFonts w:eastAsia="Times New Roman" w:cs="Arial"/>
      <w:b w:val="0"/>
      <w:sz w:val="22"/>
      <w:szCs w:val="22"/>
    </w:rPr>
  </w:style>
  <w:style w:type="character" w:customStyle="1" w:styleId="ListLabel25">
    <w:name w:val="ListLabel 25"/>
    <w:qFormat/>
    <w:rPr>
      <w:rFonts w:cs="Calibri"/>
      <w:b/>
      <w:bCs/>
      <w:i w:val="0"/>
      <w:iCs w:val="0"/>
      <w:sz w:val="22"/>
      <w:szCs w:val="22"/>
    </w:rPr>
  </w:style>
  <w:style w:type="character" w:customStyle="1" w:styleId="ListLabel26">
    <w:name w:val="ListLabel 26"/>
    <w:qFormat/>
    <w:rPr>
      <w:rFonts w:cs="Calibri"/>
      <w:b w:val="0"/>
      <w:bCs w:val="0"/>
      <w:i w:val="0"/>
      <w:iCs w:val="0"/>
      <w:sz w:val="22"/>
      <w:szCs w:val="22"/>
    </w:rPr>
  </w:style>
  <w:style w:type="character" w:customStyle="1" w:styleId="ListLabel27">
    <w:name w:val="ListLabel 27"/>
    <w:qFormat/>
    <w:rPr>
      <w:rFonts w:cs="Calibri"/>
      <w:b w:val="0"/>
      <w:bCs w:val="0"/>
      <w:i w:val="0"/>
      <w:iCs w:val="0"/>
      <w:sz w:val="22"/>
      <w:szCs w:val="22"/>
    </w:rPr>
  </w:style>
  <w:style w:type="character" w:customStyle="1" w:styleId="ListLabel28">
    <w:name w:val="ListLabel 28"/>
    <w:qFormat/>
    <w:rPr>
      <w:rFonts w:cs="Calibri"/>
      <w:b w:val="0"/>
      <w:bCs w:val="0"/>
      <w:i w:val="0"/>
      <w:iCs w:val="0"/>
      <w:sz w:val="22"/>
      <w:szCs w:val="22"/>
    </w:rPr>
  </w:style>
  <w:style w:type="character" w:customStyle="1" w:styleId="ListLabel29">
    <w:name w:val="ListLabel 29"/>
    <w:qFormat/>
    <w:rPr>
      <w:rFonts w:cs="Calibri"/>
      <w:b w:val="0"/>
      <w:bCs w:val="0"/>
      <w:i w:val="0"/>
      <w:iCs w:val="0"/>
      <w:color w:val="auto"/>
      <w:sz w:val="22"/>
      <w:szCs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Verdana" w:eastAsia="Calibri" w:hAnsi="Verdana" w:cs="arialuni"/>
      <w:b w:val="0"/>
      <w:bCs/>
      <w:sz w:val="20"/>
      <w:szCs w:val="20"/>
    </w:rPr>
  </w:style>
  <w:style w:type="character" w:customStyle="1" w:styleId="ListLabel35">
    <w:name w:val="ListLabel 35"/>
    <w:qFormat/>
    <w:rPr>
      <w:rFonts w:ascii="Verdana" w:hAnsi="Verdana"/>
      <w:b w:val="0"/>
      <w:bCs w:val="0"/>
      <w:sz w:val="20"/>
    </w:rPr>
  </w:style>
  <w:style w:type="character" w:customStyle="1" w:styleId="ListLabel36">
    <w:name w:val="ListLabel 36"/>
    <w:qFormat/>
    <w:rPr>
      <w:rFonts w:ascii="Verdana" w:hAnsi="Verdana"/>
      <w:b w:val="0"/>
      <w:bCs w:val="0"/>
      <w:sz w:val="20"/>
    </w:rPr>
  </w:style>
  <w:style w:type="character" w:customStyle="1" w:styleId="ListLabel37">
    <w:name w:val="ListLabel 37"/>
    <w:qFormat/>
    <w:rPr>
      <w:rFonts w:ascii="Verdana" w:hAnsi="Verdana"/>
      <w:b w:val="0"/>
      <w:bCs w:val="0"/>
      <w:sz w:val="20"/>
    </w:rPr>
  </w:style>
  <w:style w:type="character" w:customStyle="1" w:styleId="ListLabel38">
    <w:name w:val="ListLabel 38"/>
    <w:qFormat/>
    <w:rPr>
      <w:rFonts w:ascii="Verdana" w:hAnsi="Verdana"/>
      <w:b w:val="0"/>
      <w:bCs w:val="0"/>
      <w:sz w:val="20"/>
    </w:rPr>
  </w:style>
  <w:style w:type="character" w:customStyle="1" w:styleId="ListLabel39">
    <w:name w:val="ListLabel 39"/>
    <w:qFormat/>
    <w:rPr>
      <w:rFonts w:ascii="Verdana" w:hAnsi="Verdana"/>
      <w:b w:val="0"/>
      <w:bCs w:val="0"/>
      <w:sz w:val="20"/>
    </w:rPr>
  </w:style>
  <w:style w:type="character" w:customStyle="1" w:styleId="ListLabel40">
    <w:name w:val="ListLabel 40"/>
    <w:qFormat/>
    <w:rPr>
      <w:rFonts w:ascii="Verdana" w:eastAsia="Times New Roman" w:hAnsi="Verdana" w:cs="Open Sans"/>
      <w:sz w:val="20"/>
      <w:szCs w:val="20"/>
      <w:lang w:eastAsia="pl-PL"/>
    </w:rPr>
  </w:style>
  <w:style w:type="character" w:customStyle="1" w:styleId="ListLabel41">
    <w:name w:val="ListLabel 41"/>
    <w:qFormat/>
    <w:rPr>
      <w:rFonts w:ascii="Verdana" w:hAnsi="Verdana" w:cs="Open Sans"/>
      <w:sz w:val="20"/>
      <w:szCs w:val="20"/>
    </w:rPr>
  </w:style>
  <w:style w:type="character" w:customStyle="1" w:styleId="ListLabel42">
    <w:name w:val="ListLabel 42"/>
    <w:qFormat/>
    <w:rPr>
      <w:rFonts w:ascii="Verdana" w:eastAsiaTheme="majorEastAsia" w:hAnsi="Verdana" w:cs="Open Sans"/>
      <w:sz w:val="20"/>
      <w:szCs w:val="20"/>
    </w:rPr>
  </w:style>
  <w:style w:type="character" w:customStyle="1" w:styleId="ListLabel43">
    <w:name w:val="ListLabel 43"/>
    <w:qFormat/>
    <w:rPr>
      <w:rFonts w:ascii="Verdana" w:hAnsi="Verdana"/>
      <w:b/>
      <w:bCs w:val="0"/>
      <w:sz w:val="20"/>
    </w:rPr>
  </w:style>
  <w:style w:type="character" w:customStyle="1" w:styleId="ListLabel44">
    <w:name w:val="ListLabel 44"/>
    <w:qFormat/>
    <w:rPr>
      <w:rFonts w:ascii="Verdana" w:hAnsi="Verdana" w:cs="Arial"/>
      <w:sz w:val="20"/>
      <w:szCs w:val="20"/>
    </w:rPr>
  </w:style>
  <w:style w:type="character" w:customStyle="1" w:styleId="ListLabel45">
    <w:name w:val="ListLabel 45"/>
    <w:qFormat/>
    <w:rPr>
      <w:rFonts w:ascii="Verdana" w:eastAsia="Calibri" w:hAnsi="Verdana" w:cs="arialuni"/>
      <w:b w:val="0"/>
      <w:bCs/>
      <w:sz w:val="20"/>
      <w:szCs w:val="20"/>
    </w:rPr>
  </w:style>
  <w:style w:type="character" w:customStyle="1" w:styleId="ListLabel46">
    <w:name w:val="ListLabel 46"/>
    <w:qFormat/>
    <w:rPr>
      <w:rFonts w:ascii="Verdana" w:hAnsi="Verdana"/>
      <w:i w:val="0"/>
      <w:sz w:val="20"/>
    </w:rPr>
  </w:style>
  <w:style w:type="character" w:customStyle="1" w:styleId="ListLabel47">
    <w:name w:val="ListLabel 47"/>
    <w:qFormat/>
    <w:rPr>
      <w:rFonts w:ascii="Verdana" w:eastAsia="Calibri" w:hAnsi="Verdana" w:cs="arialuni"/>
      <w:b w:val="0"/>
      <w:bCs/>
      <w:sz w:val="20"/>
      <w:szCs w:val="20"/>
    </w:rPr>
  </w:style>
  <w:style w:type="character" w:customStyle="1" w:styleId="ListLabel48">
    <w:name w:val="ListLabel 48"/>
    <w:qFormat/>
    <w:rPr>
      <w:rFonts w:ascii="Verdana" w:hAnsi="Verdana"/>
      <w:b w:val="0"/>
      <w:bCs w:val="0"/>
      <w:sz w:val="20"/>
    </w:rPr>
  </w:style>
  <w:style w:type="character" w:customStyle="1" w:styleId="ListLabel49">
    <w:name w:val="ListLabel 49"/>
    <w:qFormat/>
    <w:rPr>
      <w:rFonts w:ascii="Verdana" w:hAnsi="Verdana"/>
      <w:b w:val="0"/>
      <w:bCs w:val="0"/>
      <w:sz w:val="20"/>
    </w:rPr>
  </w:style>
  <w:style w:type="character" w:customStyle="1" w:styleId="ListLabel50">
    <w:name w:val="ListLabel 50"/>
    <w:qFormat/>
    <w:rPr>
      <w:rFonts w:ascii="Verdana" w:hAnsi="Verdana"/>
      <w:b w:val="0"/>
      <w:bCs w:val="0"/>
      <w:sz w:val="20"/>
    </w:rPr>
  </w:style>
  <w:style w:type="character" w:customStyle="1" w:styleId="ListLabel51">
    <w:name w:val="ListLabel 51"/>
    <w:qFormat/>
    <w:rPr>
      <w:rFonts w:ascii="Verdana" w:hAnsi="Verdana"/>
      <w:b w:val="0"/>
      <w:bCs w:val="0"/>
      <w:sz w:val="20"/>
    </w:rPr>
  </w:style>
  <w:style w:type="character" w:customStyle="1" w:styleId="ListLabel52">
    <w:name w:val="ListLabel 52"/>
    <w:qFormat/>
    <w:rPr>
      <w:rFonts w:ascii="Verdana" w:hAnsi="Verdana"/>
      <w:b w:val="0"/>
      <w:bCs w:val="0"/>
      <w:sz w:val="20"/>
    </w:rPr>
  </w:style>
  <w:style w:type="character" w:customStyle="1" w:styleId="ListLabel53">
    <w:name w:val="ListLabel 53"/>
    <w:qFormat/>
    <w:rPr>
      <w:rFonts w:ascii="Verdana" w:eastAsia="Times New Roman" w:hAnsi="Verdana" w:cs="Open Sans"/>
      <w:sz w:val="20"/>
      <w:szCs w:val="20"/>
      <w:lang w:eastAsia="pl-PL"/>
    </w:rPr>
  </w:style>
  <w:style w:type="character" w:customStyle="1" w:styleId="ListLabel54">
    <w:name w:val="ListLabel 54"/>
    <w:qFormat/>
    <w:rPr>
      <w:rFonts w:ascii="Verdana" w:hAnsi="Verdana" w:cs="Open Sans"/>
      <w:sz w:val="20"/>
      <w:szCs w:val="20"/>
    </w:rPr>
  </w:style>
  <w:style w:type="character" w:customStyle="1" w:styleId="ListLabel55">
    <w:name w:val="ListLabel 55"/>
    <w:qFormat/>
    <w:rPr>
      <w:rFonts w:ascii="Verdana" w:eastAsiaTheme="majorEastAsia" w:hAnsi="Verdana" w:cs="Open San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semiHidden/>
    <w:unhideWhenUsed/>
    <w:rsid w:val="006A2F47"/>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rsid w:val="00EB6FB5"/>
    <w:pPr>
      <w:spacing w:after="0" w:line="240" w:lineRule="auto"/>
      <w:ind w:left="720"/>
      <w:contextualSpacing/>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B6FB5"/>
    <w:pPr>
      <w:tabs>
        <w:tab w:val="center" w:pos="4536"/>
        <w:tab w:val="right" w:pos="9072"/>
      </w:tabs>
      <w:spacing w:after="0" w:line="240" w:lineRule="auto"/>
    </w:pPr>
  </w:style>
  <w:style w:type="paragraph" w:styleId="Nagwekspisutreci">
    <w:name w:val="TOC Heading"/>
    <w:basedOn w:val="Nagwek1"/>
    <w:next w:val="Normalny"/>
    <w:uiPriority w:val="39"/>
    <w:semiHidden/>
    <w:unhideWhenUsed/>
    <w:qFormat/>
    <w:rsid w:val="00EB6FB5"/>
    <w:pPr>
      <w:spacing w:before="480" w:line="276" w:lineRule="auto"/>
    </w:pPr>
    <w:rPr>
      <w:b/>
      <w:bCs/>
      <w:sz w:val="28"/>
      <w:szCs w:val="28"/>
      <w:lang w:eastAsia="pl-PL"/>
    </w:rPr>
  </w:style>
  <w:style w:type="paragraph" w:styleId="Spistreci1">
    <w:name w:val="toc 1"/>
    <w:basedOn w:val="Normalny"/>
    <w:next w:val="Normalny"/>
    <w:autoRedefine/>
    <w:uiPriority w:val="39"/>
    <w:unhideWhenUsed/>
    <w:rsid w:val="00EB6FB5"/>
    <w:pPr>
      <w:spacing w:after="100"/>
    </w:pPr>
  </w:style>
  <w:style w:type="paragraph" w:customStyle="1" w:styleId="Default">
    <w:name w:val="Default"/>
    <w:qFormat/>
    <w:rsid w:val="007A728E"/>
    <w:rPr>
      <w:rFonts w:ascii="Liberation Sans" w:eastAsia="Calibri"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A46766"/>
    <w:pPr>
      <w:suppressAutoHyphens/>
      <w:spacing w:line="240" w:lineRule="auto"/>
    </w:pPr>
    <w:rPr>
      <w:sz w:val="20"/>
      <w:szCs w:val="20"/>
    </w:rPr>
  </w:style>
  <w:style w:type="paragraph" w:customStyle="1" w:styleId="Punkt">
    <w:name w:val="Punkt"/>
    <w:basedOn w:val="Tekstpodstawowy"/>
    <w:qFormat/>
    <w:rsid w:val="006A2F47"/>
    <w:pPr>
      <w:tabs>
        <w:tab w:val="left" w:pos="851"/>
      </w:tabs>
      <w:spacing w:after="160" w:line="240" w:lineRule="auto"/>
      <w:ind w:left="851" w:hanging="360"/>
      <w:jc w:val="both"/>
    </w:pPr>
    <w:rPr>
      <w:rFonts w:ascii="Times New Roman" w:eastAsia="Times New Roman" w:hAnsi="Times New Roman" w:cs="Times New Roman"/>
      <w:sz w:val="24"/>
      <w:szCs w:val="24"/>
      <w:lang w:eastAsia="pl-PL"/>
    </w:rPr>
  </w:style>
  <w:style w:type="paragraph" w:customStyle="1" w:styleId="Podpunkt">
    <w:name w:val="Podpunkt"/>
    <w:basedOn w:val="Punkt"/>
    <w:qFormat/>
    <w:rsid w:val="006A2F47"/>
    <w:pPr>
      <w:tabs>
        <w:tab w:val="clear" w:pos="851"/>
        <w:tab w:val="left" w:pos="360"/>
      </w:tabs>
      <w:ind w:left="2880"/>
    </w:pPr>
  </w:style>
  <w:style w:type="paragraph" w:styleId="Tematkomentarza">
    <w:name w:val="annotation subject"/>
    <w:basedOn w:val="Tekstkomentarza"/>
    <w:next w:val="Tekstkomentarza"/>
    <w:link w:val="TematkomentarzaZnak"/>
    <w:uiPriority w:val="99"/>
    <w:semiHidden/>
    <w:unhideWhenUsed/>
    <w:qFormat/>
    <w:rsid w:val="00F46C41"/>
    <w:pPr>
      <w:suppressAutoHyphens w:val="0"/>
    </w:pPr>
    <w:rPr>
      <w:b/>
      <w:bCs/>
    </w:rPr>
  </w:style>
  <w:style w:type="paragraph" w:styleId="Poprawka">
    <w:name w:val="Revision"/>
    <w:uiPriority w:val="99"/>
    <w:semiHidden/>
    <w:qFormat/>
    <w:rsid w:val="009642BC"/>
    <w:rPr>
      <w:sz w:val="22"/>
    </w:rPr>
  </w:style>
  <w:style w:type="table" w:styleId="Tabela-Siatka">
    <w:name w:val="Table Grid"/>
    <w:basedOn w:val="Standardowy"/>
    <w:uiPriority w:val="59"/>
    <w:rsid w:val="00E6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koszalin" TargetMode="External"/><Relationship Id="rId13" Type="http://schemas.openxmlformats.org/officeDocument/2006/relationships/hyperlink" Target="https://platformazakupowa.pl/pn/powiat_koszalin" TargetMode="External"/><Relationship Id="rId3" Type="http://schemas.openxmlformats.org/officeDocument/2006/relationships/settings" Target="settings.xml"/><Relationship Id="rId7" Type="http://schemas.openxmlformats.org/officeDocument/2006/relationships/hyperlink" Target="mailto:grupasienna@grupasienna.pl" TargetMode="External"/><Relationship Id="rId12" Type="http://schemas.openxmlformats.org/officeDocument/2006/relationships/hyperlink" Target="https://platformazakupowa.pl/pn/powiat_koszal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k@platformazakupow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upasienna@grupasienna.pl" TargetMode="External"/><Relationship Id="rId4" Type="http://schemas.openxmlformats.org/officeDocument/2006/relationships/webSettings" Target="webSettings.xml"/><Relationship Id="rId9" Type="http://schemas.openxmlformats.org/officeDocument/2006/relationships/hyperlink" Target="https://platformazakupowa.pl/pn/powiat_koszal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7002</Words>
  <Characters>42016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GDS</dc:creator>
  <dc:description/>
  <cp:lastModifiedBy>GDS</cp:lastModifiedBy>
  <cp:revision>3</cp:revision>
  <dcterms:created xsi:type="dcterms:W3CDTF">2021-10-07T10:13:00Z</dcterms:created>
  <dcterms:modified xsi:type="dcterms:W3CDTF">2021-10-07T10:39:00Z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