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59293C43" w14:textId="5A4AEC90" w:rsidR="007E0006" w:rsidRDefault="00441001" w:rsidP="009C61ED">
      <w:pPr>
        <w:spacing w:after="0" w:line="240" w:lineRule="auto"/>
        <w:jc w:val="center"/>
        <w:rPr>
          <w:rFonts w:eastAsia="Calibri" w:cs="Tahoma"/>
          <w:color w:val="auto"/>
          <w:szCs w:val="20"/>
        </w:rPr>
      </w:pPr>
      <w:r>
        <w:rPr>
          <w:rFonts w:eastAsia="Calibri" w:cs="Tahoma"/>
          <w:color w:val="auto"/>
          <w:szCs w:val="20"/>
        </w:rPr>
        <w:t>„</w:t>
      </w:r>
      <w:r w:rsidR="003345AA" w:rsidRPr="003345AA">
        <w:rPr>
          <w:rFonts w:eastAsia="Calibri" w:cs="Tahoma"/>
          <w:color w:val="auto"/>
          <w:szCs w:val="20"/>
        </w:rPr>
        <w:t>Dostawa</w:t>
      </w:r>
      <w:r w:rsidR="007E0006">
        <w:rPr>
          <w:rFonts w:eastAsia="Calibri" w:cs="Tahoma"/>
          <w:color w:val="auto"/>
          <w:szCs w:val="20"/>
        </w:rPr>
        <w:t xml:space="preserve"> aparatury laboratoryjnej dla Łukasiewicz – PORT</w:t>
      </w:r>
    </w:p>
    <w:p w14:paraId="7F394805" w14:textId="1102B059" w:rsidR="008C7F72" w:rsidRPr="00A661DD" w:rsidRDefault="008C7F72" w:rsidP="009C61ED">
      <w:pPr>
        <w:spacing w:after="0" w:line="240" w:lineRule="auto"/>
        <w:jc w:val="center"/>
        <w:rPr>
          <w:rFonts w:ascii="Tahoma" w:hAnsi="Tahoma" w:cs="Tahoma"/>
        </w:rPr>
      </w:pPr>
      <w:r w:rsidRPr="004B3D18">
        <w:rPr>
          <w:rFonts w:eastAsia="Calibri" w:cs="Tahoma"/>
          <w:color w:val="auto"/>
          <w:szCs w:val="20"/>
        </w:rPr>
        <w:t>Cz</w:t>
      </w:r>
      <w:r w:rsidR="00671F05">
        <w:rPr>
          <w:rFonts w:eastAsia="Calibri" w:cs="Tahoma"/>
          <w:color w:val="auto"/>
          <w:szCs w:val="20"/>
        </w:rPr>
        <w:t>ę</w:t>
      </w:r>
      <w:r w:rsidRPr="004B3D18">
        <w:rPr>
          <w:rFonts w:eastAsia="Calibri" w:cs="Tahoma"/>
          <w:color w:val="auto"/>
          <w:szCs w:val="20"/>
        </w:rPr>
        <w:t xml:space="preserve">ść </w:t>
      </w:r>
      <w:r w:rsidR="00671F05">
        <w:rPr>
          <w:rFonts w:eastAsia="Calibri" w:cs="Tahoma"/>
          <w:color w:val="auto"/>
          <w:szCs w:val="20"/>
        </w:rPr>
        <w:t>2</w:t>
      </w:r>
      <w:r w:rsidRPr="004B3D18">
        <w:rPr>
          <w:rFonts w:eastAsia="Calibri" w:cs="Tahoma"/>
          <w:color w:val="auto"/>
          <w:szCs w:val="20"/>
        </w:rPr>
        <w:t xml:space="preserve">: </w:t>
      </w:r>
      <w:r w:rsidR="008A5A3F">
        <w:rPr>
          <w:rFonts w:eastAsia="Calibri" w:cs="Tahoma"/>
          <w:color w:val="auto"/>
          <w:szCs w:val="20"/>
        </w:rPr>
        <w:t xml:space="preserve">Analizator do oznaczenia zawartości węgla i siarki w materiałach </w:t>
      </w:r>
      <w:r w:rsidR="007E0006">
        <w:rPr>
          <w:rFonts w:eastAsia="Calibri" w:cs="Tahoma"/>
          <w:color w:val="auto"/>
          <w:szCs w:val="20"/>
        </w:rPr>
        <w:br/>
      </w:r>
      <w:r w:rsidR="008A5A3F">
        <w:rPr>
          <w:rFonts w:eastAsia="Calibri" w:cs="Tahoma"/>
          <w:color w:val="auto"/>
          <w:szCs w:val="20"/>
        </w:rPr>
        <w:t xml:space="preserve">o matrycy </w:t>
      </w:r>
      <w:r w:rsidR="00671F05">
        <w:rPr>
          <w:rFonts w:eastAsia="Calibri" w:cs="Tahoma"/>
          <w:color w:val="auto"/>
          <w:szCs w:val="20"/>
        </w:rPr>
        <w:t>nie</w:t>
      </w:r>
      <w:r w:rsidR="008A5A3F">
        <w:rPr>
          <w:rFonts w:eastAsia="Calibri" w:cs="Tahoma"/>
          <w:color w:val="auto"/>
          <w:szCs w:val="20"/>
        </w:rPr>
        <w:t>organicznej</w:t>
      </w:r>
      <w:r w:rsidR="007E0006">
        <w:rPr>
          <w:rFonts w:eastAsia="Calibri" w:cs="Tahoma"/>
          <w:color w:val="auto"/>
          <w:szCs w:val="20"/>
        </w:rPr>
        <w:t>”</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w:t>
      </w:r>
      <w:proofErr w:type="spellStart"/>
      <w:r w:rsidRPr="004E13CD">
        <w:rPr>
          <w:rFonts w:eastAsia="Calibri" w:cs="Tahoma"/>
          <w:color w:val="auto"/>
          <w:szCs w:val="20"/>
        </w:rPr>
        <w:t>Stabłowickiej</w:t>
      </w:r>
      <w:proofErr w:type="spellEnd"/>
      <w:r w:rsidRPr="004E13CD">
        <w:rPr>
          <w:rFonts w:eastAsia="Calibri" w:cs="Tahoma"/>
          <w:color w:val="auto"/>
          <w:szCs w:val="20"/>
        </w:rPr>
        <w:t xml:space="preserve">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E5770C" w:rsidRDefault="00BC0080" w:rsidP="00B5768B">
      <w:pPr>
        <w:keepLines/>
        <w:suppressLineNumbers/>
        <w:suppressAutoHyphens/>
        <w:spacing w:before="60" w:after="60" w:line="276" w:lineRule="auto"/>
        <w:rPr>
          <w:rFonts w:eastAsia="Calibri" w:cs="Tahoma"/>
          <w:color w:val="auto"/>
          <w:szCs w:val="20"/>
        </w:rPr>
      </w:pPr>
      <w:r w:rsidRPr="00E5770C">
        <w:rPr>
          <w:rFonts w:eastAsia="Calibri" w:cs="Tahoma"/>
          <w:color w:val="auto"/>
          <w:szCs w:val="20"/>
        </w:rPr>
        <w:t>[</w:t>
      </w:r>
      <w:r w:rsidR="002A25FA" w:rsidRPr="00E5770C">
        <w:rPr>
          <w:rFonts w:eastAsia="Calibri" w:cs="Tahoma"/>
          <w:color w:val="auto"/>
          <w:szCs w:val="20"/>
        </w:rPr>
        <w:t>……………………</w:t>
      </w:r>
      <w:r w:rsidR="00F00AD6" w:rsidRPr="00E5770C">
        <w:rPr>
          <w:rFonts w:eastAsia="Calibri" w:cs="Tahoma"/>
          <w:color w:val="auto"/>
          <w:szCs w:val="20"/>
        </w:rPr>
        <w:t>……………………………………….</w:t>
      </w:r>
      <w:r w:rsidRPr="00E5770C">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270005"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lastRenderedPageBreak/>
        <w:tab/>
      </w:r>
    </w:p>
    <w:p w14:paraId="229E207C" w14:textId="7B7E6F20"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0D7BB1" w:rsidRPr="009C61ED">
        <w:rPr>
          <w:rFonts w:eastAsia="Calibri" w:cs="Tahoma"/>
          <w:b/>
          <w:sz w:val="20"/>
          <w:szCs w:val="20"/>
        </w:rPr>
        <w:t xml:space="preserve">dostawy, instalacji oraz przeszkolenia z obsługi </w:t>
      </w:r>
      <w:r w:rsidR="008C540B" w:rsidRPr="009C61ED">
        <w:rPr>
          <w:rFonts w:eastAsia="Calibri" w:cs="Tahoma"/>
          <w:b/>
          <w:sz w:val="20"/>
          <w:szCs w:val="20"/>
        </w:rPr>
        <w:t xml:space="preserve">analizatora do oznaczenia zawartości węgla i siarki w materiałach o matrycy </w:t>
      </w:r>
      <w:r w:rsidR="00671F05" w:rsidRPr="009C61ED">
        <w:rPr>
          <w:rFonts w:eastAsia="Calibri" w:cs="Tahoma"/>
          <w:b/>
          <w:sz w:val="20"/>
          <w:szCs w:val="20"/>
        </w:rPr>
        <w:t>nie</w:t>
      </w:r>
      <w:r w:rsidR="008C540B" w:rsidRPr="009C61ED">
        <w:rPr>
          <w:rFonts w:eastAsia="Calibri" w:cs="Tahoma"/>
          <w:b/>
          <w:sz w:val="20"/>
          <w:szCs w:val="20"/>
        </w:rPr>
        <w:t>organicznej</w:t>
      </w:r>
      <w:r w:rsidR="00F12A94" w:rsidRPr="009C61ED">
        <w:rPr>
          <w:rFonts w:eastAsia="Calibri" w:cs="Tahoma"/>
          <w:b/>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E5770C">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1049816F"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7E15DE">
        <w:rPr>
          <w:rFonts w:eastAsia="Calibri" w:cs="Tahoma"/>
          <w:color w:val="auto"/>
          <w:szCs w:val="20"/>
        </w:rPr>
        <w:t xml:space="preserve">przesłania </w:t>
      </w:r>
      <w:r w:rsidRPr="004E13CD">
        <w:rPr>
          <w:rFonts w:eastAsia="Calibri" w:cs="Tahoma"/>
          <w:color w:val="auto"/>
          <w:szCs w:val="20"/>
        </w:rPr>
        <w:t xml:space="preserve">przez </w:t>
      </w:r>
      <w:r w:rsidR="007E15DE">
        <w:rPr>
          <w:rFonts w:eastAsia="Calibri" w:cs="Tahoma"/>
          <w:color w:val="auto"/>
          <w:szCs w:val="20"/>
        </w:rPr>
        <w:t xml:space="preserve">Zamawiającego </w:t>
      </w:r>
      <w:r w:rsidRPr="004E13CD">
        <w:rPr>
          <w:rFonts w:eastAsia="Calibri" w:cs="Tahoma"/>
          <w:color w:val="auto"/>
          <w:szCs w:val="20"/>
        </w:rPr>
        <w:t>Wykonawc</w:t>
      </w:r>
      <w:r w:rsidR="007E15DE">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4E13CD">
        <w:rPr>
          <w:rFonts w:eastAsia="Calibri" w:cs="Tahoma"/>
          <w:color w:val="auto"/>
          <w:szCs w:val="20"/>
        </w:rPr>
        <w:t>Stabłowicka</w:t>
      </w:r>
      <w:proofErr w:type="spellEnd"/>
      <w:r w:rsidRPr="004E13CD">
        <w:rPr>
          <w:rFonts w:eastAsia="Calibri" w:cs="Tahoma"/>
          <w:color w:val="auto"/>
          <w:szCs w:val="20"/>
        </w:rPr>
        <w:t xml:space="preserve">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76CAA99C"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4265CD">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3E2CB1C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t>
      </w:r>
      <w:r w:rsidR="00E5770C">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w:t>
      </w:r>
      <w:proofErr w:type="spellStart"/>
      <w:r w:rsidRPr="004E13CD">
        <w:rPr>
          <w:rFonts w:eastAsia="Calibri" w:cs="Tahoma"/>
          <w:color w:val="auto"/>
          <w:szCs w:val="20"/>
        </w:rPr>
        <w:t>organizacyjno</w:t>
      </w:r>
      <w:proofErr w:type="spellEnd"/>
      <w:r w:rsidRPr="004E13CD">
        <w:rPr>
          <w:rFonts w:eastAsia="Calibri" w:cs="Tahoma"/>
          <w:color w:val="auto"/>
          <w:szCs w:val="20"/>
        </w:rPr>
        <w:t xml:space="preserve">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30E42075"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 xml:space="preserve">14 </w:t>
      </w:r>
      <w:r w:rsidRPr="004E13CD">
        <w:rPr>
          <w:rFonts w:eastAsia="Calibri" w:cs="Tahoma"/>
          <w:color w:val="auto"/>
          <w:szCs w:val="20"/>
        </w:rPr>
        <w:t xml:space="preserve">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4265CD">
        <w:rPr>
          <w:rFonts w:eastAsia="Calibri" w:cs="Tahoma"/>
          <w:i/>
          <w:iCs/>
          <w:color w:val="auto"/>
          <w:szCs w:val="20"/>
        </w:rPr>
        <w:t>jest/</w:t>
      </w:r>
      <w:r w:rsidR="00E66334" w:rsidRPr="004265CD">
        <w:rPr>
          <w:rFonts w:eastAsia="Calibri" w:cs="Tahoma"/>
          <w:i/>
          <w:iCs/>
          <w:color w:val="auto"/>
          <w:szCs w:val="20"/>
        </w:rPr>
        <w:t xml:space="preserve">nie </w:t>
      </w:r>
      <w:r w:rsidRPr="004265CD">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7081B918"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8A5A3F" w:rsidRPr="008A5A3F">
        <w:rPr>
          <w:rFonts w:ascii="Verdana" w:eastAsia="Calibri" w:hAnsi="Verdana" w:cs="Tahoma"/>
          <w:i/>
          <w:iCs/>
          <w:color w:val="auto"/>
          <w:szCs w:val="20"/>
        </w:rPr>
        <w:t>a</w:t>
      </w:r>
      <w:r w:rsidR="008A5A3F">
        <w:rPr>
          <w:rFonts w:ascii="Verdana" w:hAnsi="Verdana" w:cs="Tahoma"/>
          <w:i/>
          <w:iCs/>
        </w:rPr>
        <w:t xml:space="preserve">nalizatora do oznaczania zawartości węgla i siarki w materiałach o matrycy </w:t>
      </w:r>
      <w:r w:rsidR="00671F05">
        <w:rPr>
          <w:rFonts w:ascii="Verdana" w:hAnsi="Verdana" w:cs="Tahoma"/>
          <w:i/>
          <w:iCs/>
        </w:rPr>
        <w:t>nie</w:t>
      </w:r>
      <w:r w:rsidR="008A5A3F">
        <w:rPr>
          <w:rFonts w:ascii="Verdana" w:hAnsi="Verdana" w:cs="Tahoma"/>
          <w:i/>
          <w:iCs/>
        </w:rPr>
        <w:t>organicznej</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Strony zgodnie postanawiają, że Dostawa Sprzętu będzie odbywać się na zasadach DDP (</w:t>
      </w:r>
      <w:proofErr w:type="spellStart"/>
      <w:r w:rsidR="00AA563D" w:rsidRPr="004E13CD">
        <w:rPr>
          <w:rFonts w:eastAsia="Calibri" w:cs="Tahoma"/>
          <w:color w:val="auto"/>
          <w:szCs w:val="20"/>
        </w:rPr>
        <w:t>Delivered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Duty</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Paid</w:t>
      </w:r>
      <w:proofErr w:type="spellEnd"/>
      <w:r w:rsidR="00AA563D" w:rsidRPr="004E13CD">
        <w:rPr>
          <w:rFonts w:eastAsia="Calibri" w:cs="Tahoma"/>
          <w:color w:val="auto"/>
          <w:szCs w:val="20"/>
        </w:rPr>
        <w:t xml:space="preserve">, </w:t>
      </w:r>
      <w:proofErr w:type="spellStart"/>
      <w:r w:rsidR="00AA563D" w:rsidRPr="004E13CD">
        <w:rPr>
          <w:rFonts w:eastAsia="Calibri" w:cs="Tahoma"/>
          <w:color w:val="auto"/>
          <w:szCs w:val="20"/>
        </w:rPr>
        <w:t>Incoterms</w:t>
      </w:r>
      <w:proofErr w:type="spellEnd"/>
      <w:r w:rsidR="00AA563D" w:rsidRPr="004E13CD">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proofErr w:type="spellStart"/>
      <w:r w:rsidRPr="004E13CD">
        <w:rPr>
          <w:rFonts w:eastAsia="Calibri" w:cs="Tahoma"/>
          <w:color w:val="auto"/>
          <w:szCs w:val="20"/>
        </w:rPr>
        <w:t>mikroprzedsiębiorcy</w:t>
      </w:r>
      <w:proofErr w:type="spellEnd"/>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3AD9216B"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7E15DE">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w:t>
      </w:r>
      <w:proofErr w:type="spellStart"/>
      <w:r w:rsidRPr="004E13CD">
        <w:rPr>
          <w:rFonts w:eastAsia="Calibri" w:cs="Tahoma"/>
          <w:color w:val="auto"/>
          <w:szCs w:val="20"/>
        </w:rPr>
        <w:t>xlsx</w:t>
      </w:r>
      <w:proofErr w:type="spellEnd"/>
      <w:r w:rsidRPr="004E13CD">
        <w:rPr>
          <w:rFonts w:eastAsia="Calibri" w:cs="Tahoma"/>
          <w:color w:val="auto"/>
          <w:szCs w:val="20"/>
        </w:rPr>
        <w:t xml:space="preserve">., </w:t>
      </w:r>
      <w:proofErr w:type="spellStart"/>
      <w:r w:rsidRPr="004E13CD">
        <w:rPr>
          <w:rFonts w:eastAsia="Calibri" w:cs="Tahoma"/>
          <w:color w:val="auto"/>
          <w:szCs w:val="20"/>
        </w:rPr>
        <w:t>doc</w:t>
      </w:r>
      <w:proofErr w:type="spellEnd"/>
      <w:r w:rsidRPr="004E13CD">
        <w:rPr>
          <w:rFonts w:eastAsia="Calibri" w:cs="Tahoma"/>
          <w:color w:val="auto"/>
          <w:szCs w:val="20"/>
        </w:rPr>
        <w:t xml:space="preserve">, </w:t>
      </w:r>
      <w:proofErr w:type="spellStart"/>
      <w:r w:rsidRPr="004E13CD">
        <w:rPr>
          <w:rFonts w:eastAsia="Calibri" w:cs="Tahoma"/>
          <w:color w:val="auto"/>
          <w:szCs w:val="20"/>
        </w:rPr>
        <w:t>docx</w:t>
      </w:r>
      <w:proofErr w:type="spellEnd"/>
      <w:r w:rsidRPr="004E13CD">
        <w:rPr>
          <w:rFonts w:eastAsia="Calibri" w:cs="Tahoma"/>
          <w:color w:val="auto"/>
          <w:szCs w:val="20"/>
        </w:rPr>
        <w:t xml:space="preserve">), wyszczególniając Sprzęt i jego poszczególne elementy (pozycje wyszczególnione w protokole powinny zawierać </w:t>
      </w:r>
      <w:r w:rsidRPr="004E13CD">
        <w:rPr>
          <w:rFonts w:eastAsia="Calibri" w:cs="Tahoma"/>
          <w:color w:val="auto"/>
          <w:szCs w:val="20"/>
        </w:rPr>
        <w:lastRenderedPageBreak/>
        <w:t>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4629FF" w:rsidRPr="009A5055">
        <w:rPr>
          <w:rFonts w:eastAsia="Calibri" w:cs="Tahoma"/>
          <w:color w:val="auto"/>
          <w:szCs w:val="20"/>
        </w:rPr>
        <w:t xml:space="preserve"> </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2D9D1CFD"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9C61ED">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9C61ED">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9C61ED">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9C61ED">
        <w:rPr>
          <w:rFonts w:eastAsia="Calibri" w:cs="Tahoma"/>
          <w:color w:val="auto"/>
          <w:szCs w:val="20"/>
        </w:rPr>
        <w:t>roman</w:t>
      </w:r>
      <w:r w:rsidR="009A5055" w:rsidRPr="009A5055">
        <w:rPr>
          <w:rFonts w:cs="Tahoma"/>
          <w:color w:val="auto"/>
          <w:szCs w:val="20"/>
        </w:rPr>
        <w:t>.</w:t>
      </w:r>
      <w:r w:rsidR="009C61ED">
        <w:rPr>
          <w:rFonts w:cs="Tahoma"/>
          <w:color w:val="auto"/>
          <w:szCs w:val="20"/>
        </w:rPr>
        <w:t>jedrzejewski</w:t>
      </w:r>
      <w:r w:rsidR="009A5055" w:rsidRPr="009A5055">
        <w:rPr>
          <w:rFonts w:cs="Tahoma"/>
          <w:color w:val="auto"/>
          <w:szCs w:val="20"/>
        </w:rPr>
        <w:t>@port.lukasiewicz.gov.pl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3B0F3FCC" w:rsidR="008A2EFE" w:rsidRDefault="008A2EFE" w:rsidP="00B5768B">
      <w:pPr>
        <w:pStyle w:val="Akapitzlist"/>
        <w:keepLines/>
        <w:suppressLineNumbers/>
        <w:suppressAutoHyphens/>
        <w:spacing w:before="60" w:after="60"/>
        <w:ind w:left="426"/>
        <w:contextualSpacing w:val="0"/>
        <w:jc w:val="both"/>
        <w:rPr>
          <w:rFonts w:eastAsia="Calibri" w:cs="Roboto Lt"/>
          <w:sz w:val="20"/>
          <w:szCs w:val="20"/>
        </w:rPr>
      </w:pPr>
    </w:p>
    <w:p w14:paraId="530F5637" w14:textId="0E6B6568"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491E1010" w14:textId="215B020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70EF9F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w:t>
      </w:r>
      <w:r w:rsidR="00433307">
        <w:rPr>
          <w:rFonts w:eastAsia="Calibri" w:cs="Tahoma"/>
          <w:color w:val="auto"/>
          <w:szCs w:val="20"/>
        </w:rPr>
        <w:t xml:space="preserve"> </w:t>
      </w:r>
      <w:r w:rsidRPr="004E13CD">
        <w:rPr>
          <w:rFonts w:eastAsia="Calibri" w:cs="Tahoma"/>
          <w:color w:val="auto"/>
          <w:szCs w:val="20"/>
        </w:rPr>
        <w:t xml:space="preserve">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7B5D4BCD"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7ED83EEE" w14:textId="1C518FD7" w:rsidR="007E15DE" w:rsidRPr="007E15DE" w:rsidRDefault="007E15DE" w:rsidP="007E15DE">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7E15DE">
        <w:rPr>
          <w:rFonts w:ascii="Verdana" w:hAnsi="Verdana" w:cs="SegoeUINormalny"/>
          <w:szCs w:val="20"/>
        </w:rPr>
        <w:t xml:space="preserve">Na zasadach określonych w ofercie Wykonawcy oraz w OPZ, Wykonawca zapewni Zamawiającemu także serwis po zakończeniu okresu gwarancji. Taki serwis pogwarancyjny zapewniony będzie przez okres </w:t>
      </w:r>
      <w:r>
        <w:rPr>
          <w:rFonts w:ascii="Verdana" w:hAnsi="Verdana" w:cs="SegoeUINormalny"/>
          <w:szCs w:val="20"/>
        </w:rPr>
        <w:t>5</w:t>
      </w:r>
      <w:r w:rsidRPr="007E15DE">
        <w:rPr>
          <w:rFonts w:ascii="Verdana" w:hAnsi="Verdana" w:cs="SegoeUINormalny"/>
          <w:szCs w:val="20"/>
        </w:rPr>
        <w:t xml:space="preserve"> lat od zakończenia okresu gwarancji.  </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 xml:space="preserve">ex </w:t>
      </w:r>
      <w:proofErr w:type="spellStart"/>
      <w:r w:rsidRPr="004E13CD">
        <w:rPr>
          <w:rFonts w:eastAsia="Calibri" w:cs="Tahoma"/>
          <w:bCs/>
          <w:i/>
          <w:iCs/>
          <w:color w:val="auto"/>
          <w:szCs w:val="20"/>
        </w:rPr>
        <w:t>tunc</w:t>
      </w:r>
      <w:proofErr w:type="spellEnd"/>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4C431003"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433307">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5443BCC4"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433307">
        <w:rPr>
          <w:rFonts w:eastAsia="Times New Roman" w:cs="Tahoma"/>
          <w:color w:val="auto"/>
          <w:szCs w:val="20"/>
        </w:rPr>
        <w:t>2</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12009224" w:rsidR="000460B3"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433307">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36031DB8" w14:textId="182E61C3" w:rsidR="00CD7678" w:rsidRPr="00433307" w:rsidRDefault="0034407E" w:rsidP="00433307">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710B30BF"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w:t>
      </w:r>
      <w:r w:rsidR="008750BD">
        <w:rPr>
          <w:rFonts w:eastAsia="Calibri" w:cs="Tahoma"/>
          <w:color w:val="auto"/>
          <w:szCs w:val="20"/>
        </w:rPr>
        <w:t> </w:t>
      </w:r>
      <w:r w:rsidRPr="004E13CD">
        <w:rPr>
          <w:rFonts w:eastAsia="Calibri" w:cs="Tahoma"/>
          <w:color w:val="auto"/>
          <w:szCs w:val="20"/>
        </w:rPr>
        <w:t>realizacją Umowy.</w:t>
      </w:r>
    </w:p>
    <w:p w14:paraId="0F4C972E" w14:textId="71143368"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 zakresie utrwalania i zwielokrotniania - trwałe lub czasowe zwielokrotnienie Oprogramowania w zakresie, w jakim jest to niezbędne do korzystania z Oprogramowania, w tym w szczególności do wykonywania kopii zapasowych, </w:t>
      </w:r>
      <w:proofErr w:type="spellStart"/>
      <w:r w:rsidRPr="00966CF0">
        <w:rPr>
          <w:rFonts w:ascii="Verdana" w:eastAsia="Times New Roman" w:hAnsi="Verdana" w:cs="Tahoma"/>
          <w:color w:val="auto"/>
          <w:spacing w:val="0"/>
          <w:szCs w:val="20"/>
          <w:lang w:eastAsia="pl-PL"/>
        </w:rPr>
        <w:t>backup’ów</w:t>
      </w:r>
      <w:proofErr w:type="spellEnd"/>
      <w:r w:rsidRPr="00966CF0">
        <w:rPr>
          <w:rFonts w:ascii="Verdana" w:eastAsia="Times New Roman" w:hAnsi="Verdana" w:cs="Tahoma"/>
          <w:color w:val="auto"/>
          <w:spacing w:val="0"/>
          <w:szCs w:val="20"/>
          <w:lang w:eastAsia="pl-PL"/>
        </w:rPr>
        <w:t>,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155E0CF4"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 xml:space="preserve">Wykonawca zobowiązuje się do niewypowiadania licencji na </w:t>
      </w:r>
      <w:r w:rsidRPr="00741BBB">
        <w:rPr>
          <w:rFonts w:eastAsia="Times New Roman" w:cs="Tahoma"/>
          <w:szCs w:val="20"/>
        </w:rPr>
        <w:lastRenderedPageBreak/>
        <w:t>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proofErr w:type="spellStart"/>
      <w:r w:rsidRPr="00741BBB">
        <w:rPr>
          <w:rFonts w:ascii="Verdana" w:hAnsi="Verdana" w:cs="Arial"/>
          <w:szCs w:val="20"/>
        </w:rPr>
        <w:t>niewypowiadalności</w:t>
      </w:r>
      <w:proofErr w:type="spellEnd"/>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lastRenderedPageBreak/>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270005"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 xml:space="preserve">uzupełnić jeśli Zamawiający wyrazi zgodę na zmianę terminu wskazanego w § 7 ust. 8 </w:t>
      </w:r>
      <w:proofErr w:type="spellStart"/>
      <w:r w:rsidR="000F5C57" w:rsidRPr="004E13CD">
        <w:rPr>
          <w:rFonts w:asciiTheme="majorHAnsi" w:hAnsiTheme="majorHAnsi"/>
          <w:szCs w:val="20"/>
        </w:rPr>
        <w:t>zd</w:t>
      </w:r>
      <w:proofErr w:type="spellEnd"/>
      <w:r w:rsidR="000F5C57" w:rsidRPr="004E13CD">
        <w:rPr>
          <w:rFonts w:asciiTheme="majorHAnsi" w:hAnsiTheme="majorHAnsi"/>
          <w:szCs w:val="20"/>
        </w:rPr>
        <w:t>.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270005"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1AD80FD4"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7E0006">
        <w:rPr>
          <w:rFonts w:eastAsia="Calibri" w:cs="Tahoma"/>
          <w:b/>
          <w:bCs/>
          <w:color w:val="auto"/>
          <w:szCs w:val="20"/>
        </w:rPr>
        <w:t>24</w:t>
      </w:r>
      <w:r w:rsidR="007E0006"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4721FB3"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33307">
        <w:rPr>
          <w:rFonts w:eastAsia="Calibri" w:cs="Tahoma"/>
          <w:color w:val="auto"/>
          <w:szCs w:val="20"/>
        </w:rPr>
        <w:t>[</w:t>
      </w:r>
      <w:r w:rsidR="004A20EF" w:rsidRPr="004E13CD">
        <w:t>………………………..</w:t>
      </w:r>
      <w:r w:rsidR="00433307">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E849"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DED0"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930C"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270005"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270005"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270005"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270005"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 xml:space="preserve">Sieć Badawcza Łukasiewicz - PORT Polski Ośrodek Rozwoju Technologii z siedzibą we Wrocławiu, ul. </w:t>
      </w:r>
      <w:proofErr w:type="spellStart"/>
      <w:r w:rsidRPr="004E13CD">
        <w:rPr>
          <w:rFonts w:eastAsia="Verdana" w:cs="Times New Roman"/>
          <w:color w:val="000000"/>
          <w:sz w:val="20"/>
          <w:szCs w:val="20"/>
        </w:rPr>
        <w:t>Stabłowicka</w:t>
      </w:r>
      <w:proofErr w:type="spellEnd"/>
      <w:r w:rsidRPr="004E13CD">
        <w:rPr>
          <w:rFonts w:eastAsia="Verdana" w:cs="Times New Roman"/>
          <w:color w:val="000000"/>
          <w:sz w:val="20"/>
          <w:szCs w:val="20"/>
        </w:rPr>
        <w:t xml:space="preserve">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700A0E">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proofErr w:type="spellStart"/>
            <w:r w:rsidRPr="004E13CD">
              <w:rPr>
                <w:rFonts w:eastAsia="Verdana" w:cs="Times New Roman"/>
                <w:color w:val="000000"/>
                <w:sz w:val="16"/>
                <w:szCs w:val="16"/>
              </w:rPr>
              <w:t>j.w</w:t>
            </w:r>
            <w:proofErr w:type="spellEnd"/>
            <w:r w:rsidRPr="004E13CD">
              <w:rPr>
                <w:rFonts w:eastAsia="Verdana" w:cs="Times New Roman"/>
                <w:color w:val="000000"/>
                <w:sz w:val="16"/>
                <w:szCs w:val="16"/>
              </w:rPr>
              <w:t>.</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proofErr w:type="spellStart"/>
            <w:r>
              <w:rPr>
                <w:rFonts w:eastAsia="Verdana" w:cs="Times New Roman"/>
                <w:color w:val="000000"/>
                <w:sz w:val="16"/>
                <w:szCs w:val="16"/>
              </w:rPr>
              <w:t>j.w</w:t>
            </w:r>
            <w:proofErr w:type="spellEnd"/>
            <w:r>
              <w:rPr>
                <w:rFonts w:eastAsia="Verdana" w:cs="Times New Roman"/>
                <w:color w:val="000000"/>
                <w:sz w:val="16"/>
                <w:szCs w:val="16"/>
              </w:rPr>
              <w:t>.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 xml:space="preserve">w przypadku powiązania Państwa relacji z Administratorem dla celów dotowanych projektów naukowych lub komercjalizacji – instytucji dotującej, pośredniczącej, fundujące etc., w szczególności </w:t>
      </w:r>
      <w:proofErr w:type="spellStart"/>
      <w:r w:rsidRPr="003562E5">
        <w:rPr>
          <w:rFonts w:eastAsia="Verdana" w:cs="Times New Roman"/>
          <w:color w:val="000000"/>
          <w:sz w:val="20"/>
          <w:szCs w:val="20"/>
        </w:rPr>
        <w:t>NCBiR</w:t>
      </w:r>
      <w:proofErr w:type="spellEnd"/>
      <w:r w:rsidRPr="003562E5">
        <w:rPr>
          <w:rFonts w:eastAsia="Verdana" w:cs="Times New Roman"/>
          <w:color w:val="000000"/>
          <w:sz w:val="20"/>
          <w:szCs w:val="20"/>
        </w:rPr>
        <w:t xml:space="preserve"> lub NCN;</w:t>
      </w:r>
    </w:p>
    <w:p w14:paraId="7DF116C3" w14:textId="77777777"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3562E5">
      <w:pPr>
        <w:pStyle w:val="Akapitzlist"/>
        <w:numPr>
          <w:ilvl w:val="0"/>
          <w:numId w:val="33"/>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3562E5">
      <w:pPr>
        <w:pStyle w:val="Akapitzlist"/>
        <w:numPr>
          <w:ilvl w:val="0"/>
          <w:numId w:val="32"/>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B5768B">
      <w:pPr>
        <w:pStyle w:val="Akapitzlist"/>
        <w:keepLines/>
        <w:numPr>
          <w:ilvl w:val="0"/>
          <w:numId w:val="32"/>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B5768B">
      <w:pPr>
        <w:pStyle w:val="Akapitzlist"/>
        <w:keepLines/>
        <w:numPr>
          <w:ilvl w:val="0"/>
          <w:numId w:val="34"/>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C9DA" w14:textId="77777777" w:rsidR="00270005" w:rsidRDefault="00270005" w:rsidP="006747BD">
      <w:pPr>
        <w:spacing w:after="0" w:line="240" w:lineRule="auto"/>
      </w:pPr>
      <w:r>
        <w:separator/>
      </w:r>
    </w:p>
  </w:endnote>
  <w:endnote w:type="continuationSeparator" w:id="0">
    <w:p w14:paraId="2C1A3B90" w14:textId="77777777" w:rsidR="00270005" w:rsidRDefault="0027000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89E6" w14:textId="77777777" w:rsidR="00270005" w:rsidRDefault="00270005" w:rsidP="006747BD">
      <w:pPr>
        <w:spacing w:after="0" w:line="240" w:lineRule="auto"/>
      </w:pPr>
      <w:r>
        <w:separator/>
      </w:r>
    </w:p>
  </w:footnote>
  <w:footnote w:type="continuationSeparator" w:id="0">
    <w:p w14:paraId="4A1F94A5" w14:textId="77777777" w:rsidR="00270005" w:rsidRDefault="00270005"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37"/>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start w:val="1"/>
        <w:numFmt w:val="decimal"/>
        <w:lvlText w:val="%1."/>
        <w:legacy w:legacy="1" w:legacySpace="0" w:legacyIndent="283"/>
        <w:lvlJc w:val="left"/>
        <w:pPr>
          <w:ind w:left="283" w:hanging="283"/>
        </w:pPr>
        <w:rPr>
          <w:rFonts w:cs="Times New Roman"/>
        </w:rPr>
      </w:lvl>
    </w:lvlOverride>
  </w:num>
  <w:num w:numId="17">
    <w:abstractNumId w:val="36"/>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35"/>
  </w:num>
  <w:num w:numId="33">
    <w:abstractNumId w:val="39"/>
  </w:num>
  <w:num w:numId="34">
    <w:abstractNumId w:val="5"/>
  </w:num>
  <w:num w:numId="35">
    <w:abstractNumId w:val="30"/>
  </w:num>
  <w:num w:numId="36">
    <w:abstractNumId w:val="1"/>
  </w:num>
  <w:num w:numId="37">
    <w:abstractNumId w:val="6"/>
  </w:num>
  <w:num w:numId="38">
    <w:abstractNumId w:val="20"/>
  </w:num>
  <w:num w:numId="39">
    <w:abstractNumId w:val="33"/>
  </w:num>
  <w:num w:numId="40">
    <w:abstractNumId w:val="16"/>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25"/>
  </w:num>
  <w:num w:numId="47">
    <w:abstractNumId w:val="27"/>
  </w:num>
  <w:num w:numId="48">
    <w:abstractNumId w:val="31"/>
  </w:num>
  <w:num w:numId="49">
    <w:abstractNumId w:val="32"/>
  </w:num>
  <w:num w:numId="5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2C16"/>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2167"/>
    <w:rsid w:val="00176EDE"/>
    <w:rsid w:val="00191694"/>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0005"/>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1403D"/>
    <w:rsid w:val="004265CD"/>
    <w:rsid w:val="00432AA6"/>
    <w:rsid w:val="00433307"/>
    <w:rsid w:val="00441001"/>
    <w:rsid w:val="00442979"/>
    <w:rsid w:val="004525C8"/>
    <w:rsid w:val="00455C7A"/>
    <w:rsid w:val="004629FF"/>
    <w:rsid w:val="00463274"/>
    <w:rsid w:val="004655C4"/>
    <w:rsid w:val="00466AFF"/>
    <w:rsid w:val="00471C69"/>
    <w:rsid w:val="004744EA"/>
    <w:rsid w:val="00476D06"/>
    <w:rsid w:val="004805DB"/>
    <w:rsid w:val="0048505D"/>
    <w:rsid w:val="00486C53"/>
    <w:rsid w:val="0049071B"/>
    <w:rsid w:val="00491CDA"/>
    <w:rsid w:val="004A20EF"/>
    <w:rsid w:val="004B3D18"/>
    <w:rsid w:val="004B68DE"/>
    <w:rsid w:val="004B68FA"/>
    <w:rsid w:val="004B6C1B"/>
    <w:rsid w:val="004C0233"/>
    <w:rsid w:val="004C04F3"/>
    <w:rsid w:val="004C253B"/>
    <w:rsid w:val="004C44C6"/>
    <w:rsid w:val="004C6E8D"/>
    <w:rsid w:val="004C7A28"/>
    <w:rsid w:val="004D6441"/>
    <w:rsid w:val="004E13CD"/>
    <w:rsid w:val="004E5747"/>
    <w:rsid w:val="004F118C"/>
    <w:rsid w:val="004F5805"/>
    <w:rsid w:val="00506E5A"/>
    <w:rsid w:val="0051164E"/>
    <w:rsid w:val="00516EDC"/>
    <w:rsid w:val="00525383"/>
    <w:rsid w:val="00526CDD"/>
    <w:rsid w:val="00527149"/>
    <w:rsid w:val="00533F3C"/>
    <w:rsid w:val="00543B57"/>
    <w:rsid w:val="005511E8"/>
    <w:rsid w:val="00556854"/>
    <w:rsid w:val="0056270A"/>
    <w:rsid w:val="005713EF"/>
    <w:rsid w:val="005722D8"/>
    <w:rsid w:val="00580393"/>
    <w:rsid w:val="00583986"/>
    <w:rsid w:val="00583B6F"/>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60B0F"/>
    <w:rsid w:val="00661381"/>
    <w:rsid w:val="006649D0"/>
    <w:rsid w:val="0066641D"/>
    <w:rsid w:val="00666BFB"/>
    <w:rsid w:val="00671F05"/>
    <w:rsid w:val="00672C1F"/>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44169"/>
    <w:rsid w:val="007559B0"/>
    <w:rsid w:val="007662E6"/>
    <w:rsid w:val="0076740A"/>
    <w:rsid w:val="00780FCE"/>
    <w:rsid w:val="00783C0E"/>
    <w:rsid w:val="00786AE5"/>
    <w:rsid w:val="007A0FA7"/>
    <w:rsid w:val="007A1FDD"/>
    <w:rsid w:val="007A264B"/>
    <w:rsid w:val="007B3DF1"/>
    <w:rsid w:val="007C3104"/>
    <w:rsid w:val="007C318C"/>
    <w:rsid w:val="007D0D80"/>
    <w:rsid w:val="007D2EE3"/>
    <w:rsid w:val="007D5F38"/>
    <w:rsid w:val="007D6C44"/>
    <w:rsid w:val="007D796D"/>
    <w:rsid w:val="007E0006"/>
    <w:rsid w:val="007E15DE"/>
    <w:rsid w:val="007E3C34"/>
    <w:rsid w:val="007E3D4B"/>
    <w:rsid w:val="007F4A0F"/>
    <w:rsid w:val="007F4CFD"/>
    <w:rsid w:val="007F6BEB"/>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50BD"/>
    <w:rsid w:val="00876DE4"/>
    <w:rsid w:val="008778F9"/>
    <w:rsid w:val="00886F21"/>
    <w:rsid w:val="00890BEC"/>
    <w:rsid w:val="0089400D"/>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5751"/>
    <w:rsid w:val="008F027B"/>
    <w:rsid w:val="008F209D"/>
    <w:rsid w:val="008F655A"/>
    <w:rsid w:val="00900661"/>
    <w:rsid w:val="00903F34"/>
    <w:rsid w:val="0090590D"/>
    <w:rsid w:val="0091033A"/>
    <w:rsid w:val="00913689"/>
    <w:rsid w:val="0091407C"/>
    <w:rsid w:val="00914F41"/>
    <w:rsid w:val="00921311"/>
    <w:rsid w:val="009324C5"/>
    <w:rsid w:val="009373CB"/>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C1431"/>
    <w:rsid w:val="009C1DB9"/>
    <w:rsid w:val="009C35D5"/>
    <w:rsid w:val="009C4B1C"/>
    <w:rsid w:val="009C4BA8"/>
    <w:rsid w:val="009C61ED"/>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EB6"/>
    <w:rsid w:val="00A4666C"/>
    <w:rsid w:val="00A46DAE"/>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6098"/>
    <w:rsid w:val="00B5768B"/>
    <w:rsid w:val="00B61F8A"/>
    <w:rsid w:val="00B7151C"/>
    <w:rsid w:val="00B7238D"/>
    <w:rsid w:val="00B7473C"/>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7675C"/>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5770C"/>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0DB4"/>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50CF"/>
    <w:rsid w:val="00F85155"/>
    <w:rsid w:val="00FA0C8B"/>
    <w:rsid w:val="00FA28F4"/>
    <w:rsid w:val="00FA7C9E"/>
    <w:rsid w:val="00FB2E7A"/>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SegoeUINormalny">
    <w:panose1 w:val="00000000000000000000"/>
    <w:charset w:val="EE"/>
    <w:family w:val="auto"/>
    <w:notTrueType/>
    <w:pitch w:val="default"/>
    <w:sig w:usb0="00000005" w:usb1="00000000" w:usb2="00000000" w:usb3="00000000" w:csb0="00000002"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75D8D"/>
    <w:rsid w:val="001D5D51"/>
    <w:rsid w:val="001E06E2"/>
    <w:rsid w:val="001E725C"/>
    <w:rsid w:val="00212B4C"/>
    <w:rsid w:val="002A3B0F"/>
    <w:rsid w:val="003B6D7C"/>
    <w:rsid w:val="003D6089"/>
    <w:rsid w:val="00442B10"/>
    <w:rsid w:val="004450AB"/>
    <w:rsid w:val="004456BC"/>
    <w:rsid w:val="00461F5A"/>
    <w:rsid w:val="005232CA"/>
    <w:rsid w:val="00553BAE"/>
    <w:rsid w:val="00575705"/>
    <w:rsid w:val="0059470B"/>
    <w:rsid w:val="006604AB"/>
    <w:rsid w:val="00673ED0"/>
    <w:rsid w:val="00726318"/>
    <w:rsid w:val="0072655D"/>
    <w:rsid w:val="00765C3B"/>
    <w:rsid w:val="007A37E3"/>
    <w:rsid w:val="007E1978"/>
    <w:rsid w:val="0084217A"/>
    <w:rsid w:val="008560D5"/>
    <w:rsid w:val="0086459A"/>
    <w:rsid w:val="00876441"/>
    <w:rsid w:val="00A5628E"/>
    <w:rsid w:val="00AE2EF2"/>
    <w:rsid w:val="00B4224B"/>
    <w:rsid w:val="00B64A6C"/>
    <w:rsid w:val="00B91F47"/>
    <w:rsid w:val="00BB23FD"/>
    <w:rsid w:val="00BE2B78"/>
    <w:rsid w:val="00C1513B"/>
    <w:rsid w:val="00C77509"/>
    <w:rsid w:val="00C96A68"/>
    <w:rsid w:val="00CC2C61"/>
    <w:rsid w:val="00CF0336"/>
    <w:rsid w:val="00CF52EF"/>
    <w:rsid w:val="00D376DB"/>
    <w:rsid w:val="00DF1DDC"/>
    <w:rsid w:val="00EB09C1"/>
    <w:rsid w:val="00F9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10874</Words>
  <Characters>65248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2021-08-20T07:31:00Z</dcterms:created>
  <dcterms:modified xsi:type="dcterms:W3CDTF">2021-08-23T09:36:00Z</dcterms:modified>
  <cp:contentStatus/>
</cp:coreProperties>
</file>