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B772" w14:textId="77777777" w:rsidR="00221F43" w:rsidRDefault="00221F43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Zał. nr 2 do SWZ</w:t>
      </w:r>
    </w:p>
    <w:p w14:paraId="5604D172" w14:textId="37B2DA4E" w:rsidR="00E131AA" w:rsidRPr="00E131AA" w:rsidRDefault="00E131AA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C00000"/>
          <w:spacing w:val="4"/>
          <w:kern w:val="0"/>
          <w:sz w:val="20"/>
          <w14:ligatures w14:val="none"/>
        </w:rPr>
      </w:pPr>
      <w:r w:rsidRPr="00E131AA">
        <w:rPr>
          <w:rFonts w:ascii="Verdana" w:eastAsia="Verdana" w:hAnsi="Verdana" w:cs="Times New Roman"/>
          <w:color w:val="C00000"/>
          <w:spacing w:val="4"/>
          <w:kern w:val="0"/>
          <w:sz w:val="20"/>
          <w14:ligatures w14:val="none"/>
        </w:rPr>
        <w:t>(wersja zaktualizowana dnia 16.05.2024)</w:t>
      </w:r>
    </w:p>
    <w:p w14:paraId="3FDECC7F" w14:textId="06180D6F" w:rsidR="000D1366" w:rsidRPr="002F70AA" w:rsidRDefault="00EC44A4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SPZP.271.19.2024</w:t>
      </w:r>
    </w:p>
    <w:p w14:paraId="73A55D37" w14:textId="77777777" w:rsidR="00221F43" w:rsidRPr="002F70AA" w:rsidRDefault="00221F43" w:rsidP="00221F43">
      <w:pPr>
        <w:spacing w:after="280" w:line="280" w:lineRule="exact"/>
        <w:jc w:val="center"/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OPIS PRZEDMIOTU ZAMÓWIENIA</w:t>
      </w:r>
    </w:p>
    <w:p w14:paraId="5375F8B0" w14:textId="77777777" w:rsidR="00333C60" w:rsidRPr="002F70AA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I.</w:t>
      </w:r>
      <w:r w:rsidRPr="002F70AA">
        <w:rPr>
          <w:rFonts w:ascii="Verdana" w:hAnsi="Verdana" w:cs="Arial"/>
          <w:sz w:val="20"/>
        </w:rPr>
        <w:tab/>
        <w:t>Przedmiot zamówienia</w:t>
      </w:r>
    </w:p>
    <w:p w14:paraId="5EA52C9A" w14:textId="77777777" w:rsidR="00A47ADF" w:rsidRPr="00A47ADF" w:rsidRDefault="00A47ADF" w:rsidP="00A47ADF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bookmarkStart w:id="0" w:name="_Hlk160801793"/>
      <w:r w:rsidRPr="00A47ADF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Dostawa skanerów do digitalizacji szkiełek histopatologicznych wraz z systemem zarządzania preparatami cyfrowymi</w:t>
      </w:r>
      <w:r w:rsidRPr="00A47ADF" w:rsidDel="00A47ADF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 </w:t>
      </w:r>
    </w:p>
    <w:bookmarkEnd w:id="0"/>
    <w:p w14:paraId="73936FE4" w14:textId="30453A74" w:rsidR="00221F43" w:rsidRPr="002F70AA" w:rsidRDefault="00221F43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Kluczowe parametry </w:t>
      </w:r>
      <w:r w:rsidR="00BB6123"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urządzeń </w:t>
      </w: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są opisane poniżej.</w:t>
      </w:r>
    </w:p>
    <w:p w14:paraId="4C7871F3" w14:textId="77777777" w:rsidR="00333C60" w:rsidRPr="002F70AA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II. Minimalne parametry techniczne:</w:t>
      </w:r>
    </w:p>
    <w:p w14:paraId="3844FD11" w14:textId="1F90A2A5" w:rsidR="00BB6123" w:rsidRPr="002F70AA" w:rsidRDefault="00BB6123" w:rsidP="00BB6123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Skaner preparatów mikroskopowych nr 1 (</w:t>
      </w:r>
      <w:proofErr w:type="spellStart"/>
      <w:r w:rsidRPr="002F70AA">
        <w:rPr>
          <w:rFonts w:ascii="Verdana" w:hAnsi="Verdana" w:cs="Arial"/>
          <w:sz w:val="20"/>
        </w:rPr>
        <w:t>Research</w:t>
      </w:r>
      <w:proofErr w:type="spellEnd"/>
      <w:r w:rsidRPr="002F70AA">
        <w:rPr>
          <w:rFonts w:ascii="Verdana" w:hAnsi="Verdana" w:cs="Arial"/>
          <w:sz w:val="20"/>
        </w:rPr>
        <w:t xml:space="preserve"> </w:t>
      </w:r>
      <w:proofErr w:type="spellStart"/>
      <w:r w:rsidRPr="002F70AA">
        <w:rPr>
          <w:rFonts w:ascii="Verdana" w:hAnsi="Verdana" w:cs="Arial"/>
          <w:sz w:val="20"/>
        </w:rPr>
        <w:t>Use</w:t>
      </w:r>
      <w:proofErr w:type="spellEnd"/>
      <w:r w:rsidRPr="002F70AA">
        <w:rPr>
          <w:rFonts w:ascii="Verdana" w:hAnsi="Verdana" w:cs="Arial"/>
          <w:sz w:val="20"/>
        </w:rPr>
        <w:t xml:space="preserve"> </w:t>
      </w:r>
      <w:proofErr w:type="spellStart"/>
      <w:r w:rsidRPr="002F70AA">
        <w:rPr>
          <w:rFonts w:ascii="Verdana" w:hAnsi="Verdana" w:cs="Arial"/>
          <w:sz w:val="20"/>
        </w:rPr>
        <w:t>Only</w:t>
      </w:r>
      <w:proofErr w:type="spellEnd"/>
      <w:r w:rsidRPr="002F70AA">
        <w:rPr>
          <w:rFonts w:ascii="Verdana" w:hAnsi="Verdana" w:cs="Arial"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44"/>
        <w:gridCol w:w="2106"/>
      </w:tblGrid>
      <w:tr w:rsidR="00BB6123" w:rsidRPr="002F70AA" w14:paraId="7D26E016" w14:textId="77777777" w:rsidTr="00134401">
        <w:tc>
          <w:tcPr>
            <w:tcW w:w="503" w:type="dxa"/>
          </w:tcPr>
          <w:p w14:paraId="35C973B6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8EEC1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09C093A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6D1AC8DD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3798BB79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95CEE17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BB6123" w:rsidRPr="002F70AA" w14:paraId="63C95E7A" w14:textId="77777777" w:rsidTr="00134401">
        <w:tc>
          <w:tcPr>
            <w:tcW w:w="503" w:type="dxa"/>
          </w:tcPr>
          <w:p w14:paraId="576FB662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BA52" w14:textId="77777777" w:rsidR="00BB6123" w:rsidRPr="002F70AA" w:rsidRDefault="00BB6123" w:rsidP="001E2B00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SKANER PREPARATÓW MIKROSKOPOWYCH </w:t>
            </w:r>
          </w:p>
          <w:p w14:paraId="775CCB21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Oferuję urządzenie (</w:t>
            </w:r>
            <w:r w:rsidRPr="002F70AA">
              <w:rPr>
                <w:rFonts w:ascii="Verdana" w:eastAsia="Calibri" w:hAnsi="Verdana" w:cs="Calibri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)</w:t>
            </w:r>
          </w:p>
          <w:p w14:paraId="3DE9AE32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48CC7BB8" w14:textId="001541E7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</w:t>
            </w:r>
          </w:p>
          <w:p w14:paraId="67B32D97" w14:textId="4A8DED58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79825345" w14:textId="55967732" w:rsidR="00BB6123" w:rsidRDefault="00BB6123" w:rsidP="001E2B00">
            <w:pPr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</w:t>
            </w:r>
          </w:p>
          <w:p w14:paraId="5FE8DB56" w14:textId="12C95DEF" w:rsidR="00E2329E" w:rsidRPr="002F70AA" w:rsidRDefault="00E2329E" w:rsidP="001E2B0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3335826" w14:textId="77777777" w:rsidR="00BB6123" w:rsidRPr="002F70AA" w:rsidRDefault="00BB6123" w:rsidP="00BB612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1BFE0D1" w14:textId="77777777" w:rsidTr="00134401">
        <w:tc>
          <w:tcPr>
            <w:tcW w:w="503" w:type="dxa"/>
          </w:tcPr>
          <w:p w14:paraId="3F3A62C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BA7A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Urządzenie fabrycznie nowe, nieużywane, 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</w:rPr>
              <w:t>nierekondycjonowane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</w:rPr>
              <w:t>. Urządzenie seryjne bez dodatkowych modyfikacji.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48BC98D" w14:textId="6DC6B7C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1BFAE4" w14:textId="77777777" w:rsidTr="00134401">
        <w:tc>
          <w:tcPr>
            <w:tcW w:w="503" w:type="dxa"/>
          </w:tcPr>
          <w:p w14:paraId="49208D6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DED0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  <w:lang w:val="en-GB"/>
              </w:rPr>
              <w:t>Zasilanie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230V/50Hz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CDB175C" w14:textId="7B85E2D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6B1EBD1" w14:textId="77777777" w:rsidTr="00134401">
        <w:tc>
          <w:tcPr>
            <w:tcW w:w="503" w:type="dxa"/>
          </w:tcPr>
          <w:p w14:paraId="3874D34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AD59C" w14:textId="4F162493" w:rsidR="000B2073" w:rsidRPr="00E131AA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E131AA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Skaner preparatów mikroskopowych z podajnikiem wewnętrznym na jeden preparat. Skanowanie preparatów mikroskopowych o wymiarach 26mm x 76mm</w:t>
            </w:r>
            <w:r w:rsidR="00A824AD" w:rsidRPr="00E131AA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, do 2 preparatów mikroskopowych 25mm x 75 mm lub 1 preparatu o wymiarach 50x75 mm</w:t>
            </w:r>
            <w:r w:rsidRPr="00E131AA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i zakresie grubości 0,9 – 1,2mm+-0,1mm</w:t>
            </w:r>
            <w:r w:rsidR="00E131AA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.</w:t>
            </w:r>
            <w:r w:rsidR="00963DE7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</w:t>
            </w:r>
            <w:r w:rsidR="00E131AA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>S</w:t>
            </w:r>
            <w:r w:rsidR="00A0203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>kaner preparatów mikroskopowych z podajnikiem wewnętrznym na jeden preparat</w:t>
            </w:r>
            <w:r w:rsidR="003A3C9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 xml:space="preserve"> o </w:t>
            </w:r>
            <w:r w:rsidR="003A3C9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lastRenderedPageBreak/>
              <w:t>wymiarach 25x75mm +-1,0mm</w:t>
            </w:r>
            <w:r w:rsidR="00A0203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 xml:space="preserve"> </w:t>
            </w:r>
            <w:r w:rsidR="00A02037" w:rsidRPr="00E131AA">
              <w:rPr>
                <w:rFonts w:ascii="Verdana" w:hAnsi="Verdana"/>
                <w:b/>
                <w:bCs/>
                <w:color w:val="C00000"/>
                <w:sz w:val="18"/>
                <w:szCs w:val="18"/>
                <w:lang w:eastAsia="pl-PL"/>
              </w:rPr>
              <w:t>lub</w:t>
            </w:r>
            <w:r w:rsidR="00A0203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 xml:space="preserve"> skaner, na którym możliwe jest skanowanie</w:t>
            </w:r>
            <w:r w:rsidR="00963DE7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>:</w:t>
            </w:r>
            <w:r w:rsidR="00A0203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 xml:space="preserve"> do 2 preparatów mikroskopowych 25x75 mm</w:t>
            </w:r>
            <w:r w:rsidR="003A3C9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 xml:space="preserve">+-1,0mm </w:t>
            </w:r>
            <w:r w:rsidR="00A0203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 xml:space="preserve"> lub 1 preparatu o wymiarach 50x75 mm</w:t>
            </w:r>
            <w:r w:rsidR="003A3C9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>+-1,0mm</w:t>
            </w:r>
            <w:r w:rsidR="00A02037" w:rsidRPr="00E131AA">
              <w:rPr>
                <w:rFonts w:ascii="Verdana" w:hAnsi="Verdana"/>
                <w:color w:val="C00000"/>
                <w:sz w:val="18"/>
                <w:szCs w:val="18"/>
                <w:lang w:eastAsia="pl-PL"/>
              </w:rPr>
              <w:t xml:space="preserve"> i zakresie grubości 0,9-1,2 +-0,1mm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A41BB0F" w14:textId="5A5BB1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108328E6" w14:textId="77777777" w:rsidTr="00134401">
        <w:tc>
          <w:tcPr>
            <w:tcW w:w="503" w:type="dxa"/>
          </w:tcPr>
          <w:p w14:paraId="42B081B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C828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w czytnik kodów 2D do odczytu etykiet z preparatów mikroskopowych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5D827FF" w14:textId="0AA488C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D54FCB" w14:textId="77777777" w:rsidTr="00134401">
        <w:tc>
          <w:tcPr>
            <w:tcW w:w="503" w:type="dxa"/>
          </w:tcPr>
          <w:p w14:paraId="12C4A91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6BCC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Skanowanie preparatów w technice jasnego pola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AD502B3" w14:textId="651F3B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42D7E4A" w14:textId="77777777" w:rsidTr="00134401">
        <w:tc>
          <w:tcPr>
            <w:tcW w:w="503" w:type="dxa"/>
          </w:tcPr>
          <w:p w14:paraId="4A62CC2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D0DB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 skanowania odpowiadający powiększeniu optycznemu obiektywów 20x i 40x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3DF2F7C" w14:textId="373FC05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0754C4F" w14:textId="77777777" w:rsidTr="00134401">
        <w:tc>
          <w:tcPr>
            <w:tcW w:w="503" w:type="dxa"/>
          </w:tcPr>
          <w:p w14:paraId="4052B95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7.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D445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oglądania zeskanowanych preparatów w powiększeniu do 80x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C54134C" w14:textId="23C231D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E5A0612" w14:textId="77777777" w:rsidTr="00134401">
        <w:tc>
          <w:tcPr>
            <w:tcW w:w="503" w:type="dxa"/>
          </w:tcPr>
          <w:p w14:paraId="5EFD5CB9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AFFF2" w14:textId="77777777" w:rsidR="000B2073" w:rsidRPr="00134401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Skanowanie w trybie: </w:t>
            </w:r>
          </w:p>
          <w:p w14:paraId="4499BF7B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manualnym (w którym operator skanera przed rozpoczęciem procesu skanowania ustawia ręcznie wszystkie parametry skanowania), </w:t>
            </w:r>
          </w:p>
          <w:p w14:paraId="59539FFC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półautomatycznym (w którym skaner wczytuje podglądy wszystkich załadowanych preparatów pozwalając operatorowi skanera na modyfikację wybranych parametrów skanowania przed rozpoczęciem procesu skanowania) oraz </w:t>
            </w:r>
          </w:p>
          <w:p w14:paraId="782D5944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automatycznym (w którym operator skanera wkłada preparaty do skanera po wybraniu automatycznego trybu skanowania, skaner rozpocznie skanowanie wszystkich preparatów w oparciu o zdefiniowane wcześniej ustawienia/profil skanowania)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EC673EB" w14:textId="6BFF6224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B407AA1" w14:textId="77777777" w:rsidTr="00134401">
        <w:tc>
          <w:tcPr>
            <w:tcW w:w="503" w:type="dxa"/>
          </w:tcPr>
          <w:p w14:paraId="7EA79237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1323A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definiowania różnych profili skanowania, np. osobno dla preparatów histologicznych i cytologicznych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C10CACA" w14:textId="3F64F92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851B4C3" w14:textId="77777777" w:rsidTr="00134401">
        <w:tc>
          <w:tcPr>
            <w:tcW w:w="503" w:type="dxa"/>
          </w:tcPr>
          <w:p w14:paraId="13AD44C3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3B13F" w14:textId="5189A30C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osobnych miejsc zapisu skanowanych preparatów</w:t>
            </w:r>
            <w:r w:rsidR="00221DAE"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.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dla profilu skanowania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F23B7DF" w14:textId="1FB6898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86230F" w14:textId="77777777" w:rsidTr="00134401">
        <w:tc>
          <w:tcPr>
            <w:tcW w:w="503" w:type="dxa"/>
          </w:tcPr>
          <w:p w14:paraId="61907301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8E937" w14:textId="2970450A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Metoda ustawiania ostrości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</w:rPr>
              <w:t>prefocus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 map. Mapa płaszczyzny ostrości preparatu tworzona przed skanowaniem na podstawie wskazanych automatycznie lub ręcznie punktów ostrości.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E37ECD9" w14:textId="38C6193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7FC3C8B" w14:textId="77777777" w:rsidTr="00134401">
        <w:trPr>
          <w:trHeight w:val="925"/>
        </w:trPr>
        <w:tc>
          <w:tcPr>
            <w:tcW w:w="503" w:type="dxa"/>
          </w:tcPr>
          <w:p w14:paraId="1EFBFBC0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5AD9F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automatycznego podziału mapy płaszczyzny ostrości preparatu na mniejsze lub płaszczyzny w zależności od zdefiniowanej wielkości  skanowanego preparatu.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312816E" w14:textId="22C3314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0B2073" w14:paraId="2377A108" w14:textId="77777777" w:rsidTr="00134401">
        <w:tc>
          <w:tcPr>
            <w:tcW w:w="503" w:type="dxa"/>
          </w:tcPr>
          <w:p w14:paraId="62AB6355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E8E9D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 xml:space="preserve">Sensor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>skanujący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>: CMOS (Complementary Metal Oxide Semiconductor)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D821BF7" w14:textId="3546046D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9F56111" w14:textId="77777777" w:rsidTr="00134401">
        <w:tc>
          <w:tcPr>
            <w:tcW w:w="503" w:type="dxa"/>
          </w:tcPr>
          <w:p w14:paraId="3F6982A1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52258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Oświetlenie skanowanego preparatu w trakcie skanowania LED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EC36B3A" w14:textId="5A2493B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AC93F61" w14:textId="77777777" w:rsidTr="00134401">
        <w:tc>
          <w:tcPr>
            <w:tcW w:w="503" w:type="dxa"/>
          </w:tcPr>
          <w:p w14:paraId="6599B093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EAB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Możliwość oznaczania więcej niż jednego niezależnego obszaru skanowania w ramach jednego preparatu i </w:t>
            </w:r>
            <w:r w:rsidRPr="00134401">
              <w:rPr>
                <w:rFonts w:ascii="Verdana" w:hAnsi="Verdana" w:cstheme="minorHAnsi"/>
                <w:sz w:val="18"/>
                <w:szCs w:val="18"/>
              </w:rPr>
              <w:lastRenderedPageBreak/>
              <w:t>ustawiania niezależnych punktów ostrości dla tych płaszczyzn.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4945D3A" w14:textId="48432C8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50EE0BD1" w14:textId="77777777" w:rsidTr="00134401">
        <w:tc>
          <w:tcPr>
            <w:tcW w:w="503" w:type="dxa"/>
          </w:tcPr>
          <w:p w14:paraId="559146C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41DC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Czas skanowania preparatu przy powierzchni skanowanej 15mm x15 mm, przy maksymalnej rozdzielczości oferowanej kamery i powiększeniu 20x – nie więcej niż 160 sek.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3070F98" w14:textId="540FB2C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5082D5B" w14:textId="77777777" w:rsidTr="00134401">
        <w:tc>
          <w:tcPr>
            <w:tcW w:w="503" w:type="dxa"/>
          </w:tcPr>
          <w:p w14:paraId="5748235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0DFAF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Czas skanowania preparatu przy powierzchni skanowanej 15x15 mm, przy maksymalnej rozdzielczości oferowanej kamery i powiększeniu 40x – nie więcej niż 290 sek.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C11E197" w14:textId="30050DC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7012BF9" w14:textId="77777777" w:rsidTr="00134401">
        <w:tc>
          <w:tcPr>
            <w:tcW w:w="503" w:type="dxa"/>
          </w:tcPr>
          <w:p w14:paraId="75C0CB2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F9CB9" w14:textId="513704A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Rozdzielczość skanowania - przy trybie skanowania 20x wartość liczbowa: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0,46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="00221DAE">
              <w:rPr>
                <w:rFonts w:ascii="Verdana" w:hAnsi="Verdana" w:cstheme="minorHAnsi"/>
                <w:sz w:val="18"/>
                <w:szCs w:val="18"/>
              </w:rPr>
              <w:t xml:space="preserve">do 0,50 </w:t>
            </w:r>
            <w:r w:rsidRPr="00134401">
              <w:rPr>
                <w:rFonts w:ascii="Verdana" w:hAnsi="Verdana" w:cstheme="minorHAnsi"/>
                <w:sz w:val="18"/>
                <w:szCs w:val="18"/>
              </w:rPr>
              <w:t>µm/piksel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36C262C" w14:textId="4CEF790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1A4851C" w14:textId="77777777" w:rsidTr="00134401">
        <w:tc>
          <w:tcPr>
            <w:tcW w:w="503" w:type="dxa"/>
          </w:tcPr>
          <w:p w14:paraId="5300A3F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BAAF" w14:textId="470D79A3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Rozdzielczość skanowania - przy trybie skanowania 40x – wartość liczbowa: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0,23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="00221DA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do 0</w:t>
            </w:r>
            <w:r w:rsidR="00CC034E">
              <w:rPr>
                <w:rFonts w:ascii="Verdana" w:hAnsi="Verdana" w:cstheme="minorHAnsi"/>
                <w:color w:val="FF0000"/>
                <w:sz w:val="18"/>
                <w:szCs w:val="18"/>
              </w:rPr>
              <w:t>,</w:t>
            </w:r>
            <w:r w:rsidR="00221DA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29 </w:t>
            </w:r>
            <w:r w:rsidRPr="00134401">
              <w:rPr>
                <w:rFonts w:ascii="Verdana" w:hAnsi="Verdana" w:cstheme="minorHAnsi"/>
                <w:sz w:val="18"/>
                <w:szCs w:val="18"/>
              </w:rPr>
              <w:t>µm/piksel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CC9B7FF" w14:textId="1A027E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4A0C0F0" w14:textId="77777777" w:rsidTr="00134401">
        <w:tc>
          <w:tcPr>
            <w:tcW w:w="503" w:type="dxa"/>
          </w:tcPr>
          <w:p w14:paraId="3F9343F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F8F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i działający w oparciu o jeden obiektyw suchy (nie immersyjny) 20x o aperturze numerycznej, wartość liczbowa: 0,75 PLAN APO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092A3C0" w14:textId="6CC90FF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C71F6A" w14:textId="77777777" w:rsidTr="00134401">
        <w:tc>
          <w:tcPr>
            <w:tcW w:w="503" w:type="dxa"/>
          </w:tcPr>
          <w:p w14:paraId="161675E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B5FA07" w14:textId="61567B71" w:rsidR="000B2073" w:rsidRPr="00F37EFC" w:rsidRDefault="000B2073" w:rsidP="000B2073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Obiektyw zamontowany na stałe bez zmieniacza obiektywów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.</w:t>
            </w:r>
            <w:r w:rsidR="00221DA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Możliwość wymiany obiektywów</w:t>
            </w:r>
            <w:r w:rsidR="00221DAE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w skanerze lub obiektywy zamontowane na stałe</w:t>
            </w:r>
            <w:r w:rsidR="00221DA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E45D9F3" w14:textId="78774F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5818D30" w14:textId="77777777" w:rsidTr="00134401">
        <w:tc>
          <w:tcPr>
            <w:tcW w:w="503" w:type="dxa"/>
          </w:tcPr>
          <w:p w14:paraId="2A0CDAB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F2A3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Czujnik wykrywający obecność preparatu.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E747A39" w14:textId="143F2A4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5F272E" w14:textId="77777777" w:rsidTr="00134401">
        <w:tc>
          <w:tcPr>
            <w:tcW w:w="503" w:type="dxa"/>
          </w:tcPr>
          <w:p w14:paraId="761231E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E92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Zwarta konstrukcja urządzenia z obudową zakrywającą wszystkie elementy urządzenia w celu zapewnienia stałych i powtarzalnych warunków oświetlenia.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12A3C7B" w14:textId="56449AD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16774FA" w14:textId="77777777" w:rsidTr="00134401">
        <w:tc>
          <w:tcPr>
            <w:tcW w:w="503" w:type="dxa"/>
          </w:tcPr>
          <w:p w14:paraId="496EEA2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996DC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Zamykana pokrywa gniazda załadunku skanowanego preparatu z funkcją automatycznej blokady na czas skanowania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3BD54B5" w14:textId="20F3F4E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E19405B" w14:textId="77777777" w:rsidTr="00134401">
        <w:tc>
          <w:tcPr>
            <w:tcW w:w="503" w:type="dxa"/>
          </w:tcPr>
          <w:p w14:paraId="18FF70C4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5CFCB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Bezpośredni mechanizm załadunku preparatu nie wymagający stosowania dodatkowych ramek czy uchwytów montażowych do skanowanego preparatu.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0516841" w14:textId="4A08205B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7053147" w14:textId="77777777" w:rsidTr="00134401">
        <w:tc>
          <w:tcPr>
            <w:tcW w:w="503" w:type="dxa"/>
          </w:tcPr>
          <w:p w14:paraId="39C6CC7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F88B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Funkcja Z-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</w:rPr>
              <w:t>stack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 na całym obszarze skanowania.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54C9BE2" w14:textId="34CE31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0D543F0" w14:textId="77777777" w:rsidTr="00134401">
        <w:tc>
          <w:tcPr>
            <w:tcW w:w="503" w:type="dxa"/>
          </w:tcPr>
          <w:p w14:paraId="3D40342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DA152" w14:textId="68E74CCF" w:rsidR="000B2073" w:rsidRPr="00F37EFC" w:rsidRDefault="000B2073" w:rsidP="000B2073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Możliwość wybierania liczby warstw z gotowych zestawów lub indywidualnego definiowania dowolnej liczby warstw (co najmniej 40).</w:t>
            </w:r>
            <w:r w:rsidR="00CA369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Skanowanie preparatów na wielu poziomach ogniskowania na całym obszarze skanowania, z definiowaniem dowolnej liczby warstw.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2C2A8E0" w14:textId="654831E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356496F" w14:textId="77777777" w:rsidTr="00134401">
        <w:tc>
          <w:tcPr>
            <w:tcW w:w="503" w:type="dxa"/>
          </w:tcPr>
          <w:p w14:paraId="29E32291" w14:textId="490461F5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D857" w14:textId="77777777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Integralne oprogramowanie do obsługi skanera zapewniające kontrolę pracy urządzenia w trybie manualnym, automatycznym i półautomatycznym. Podstawowe funkcje oprogramowania:</w:t>
            </w:r>
          </w:p>
          <w:p w14:paraId="06C535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możliwość automatycznego i manualnego ustawiania ostrości preparatu</w:t>
            </w:r>
          </w:p>
          <w:p w14:paraId="56B1D6E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możliwość wyświetlania zeskanowanych preparatów z możliwością płynnej zmiany powiększenia i obrotu skanu, lustrzanego odbicia, horyzontalnego widoku (z lotu ptaka)</w:t>
            </w:r>
          </w:p>
          <w:p w14:paraId="7F8D4828" w14:textId="25AA3D6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- wyświetlanie co najmniej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6</w:t>
            </w:r>
            <w:r w:rsidR="00CA369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2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>preparatów jednocześnie z możliwością synchronizacji ich widoku w trybie porównawczym</w:t>
            </w:r>
          </w:p>
          <w:p w14:paraId="6A161F3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funkcja nanoszenia na zeskanowane preparaty komentarzy, oznaczeń, pomiarów</w:t>
            </w:r>
          </w:p>
          <w:p w14:paraId="6DB958F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funkcja zapamiętywania adnotacji jako szablonów np. ze zdefiniowanym obszarem 1mm2</w:t>
            </w:r>
          </w:p>
          <w:p w14:paraId="7A97454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funkcja śledzenia przeglądanego obszaru preparatu z użyciem widocznej na ekranie mapy preparatu</w:t>
            </w:r>
          </w:p>
          <w:p w14:paraId="1849F30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mapa preparatu różnicująca graficznie obejrzany fragment preparatu od nieobejrzanego.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7FD814D" w14:textId="1DAFF79D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0A13A7F3" w14:textId="77777777" w:rsidTr="00134401">
        <w:tc>
          <w:tcPr>
            <w:tcW w:w="503" w:type="dxa"/>
          </w:tcPr>
          <w:p w14:paraId="204BCE5D" w14:textId="7B5FC079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8919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eksportowania fragmentów skanów do plików JPG, TIFF (kompresja bezstratna).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03706FA" w14:textId="4475F67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9CE264" w14:textId="77777777" w:rsidTr="00134401">
        <w:tc>
          <w:tcPr>
            <w:tcW w:w="503" w:type="dxa"/>
          </w:tcPr>
          <w:p w14:paraId="2F1EC3F6" w14:textId="41FAFCEF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30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06E10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Możliwość skanowania preparatów do bazy przypadków LIMS (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Laboratory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Information Management System) lub do osobnego archiwum konferencyjnego/szkoleniowego w zależności od wybranego profilu skanowania.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A9B3069" w14:textId="7C7C90D6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B456334" w14:textId="77777777" w:rsidTr="00134401">
        <w:tc>
          <w:tcPr>
            <w:tcW w:w="503" w:type="dxa"/>
          </w:tcPr>
          <w:p w14:paraId="63A603A6" w14:textId="5BFF682F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6D1BE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Możliwość rozbudowy o pakiet do zaawansowanej analizy obrazów histopatologicznych z uwzględnieniem specjalistycznych algorytmów do analiz markerów membranowych, cytoplazmatycznych i jądrowych, w tym również posiadających certyfikat IVD (In Vitro </w:t>
            </w:r>
            <w:proofErr w:type="spellStart"/>
            <w:r w:rsidRPr="00E2329E">
              <w:rPr>
                <w:rFonts w:ascii="Verdana" w:hAnsi="Verdana" w:cstheme="minorHAnsi"/>
                <w:sz w:val="18"/>
                <w:szCs w:val="18"/>
              </w:rPr>
              <w:t>Diagnostic</w:t>
            </w:r>
            <w:proofErr w:type="spellEnd"/>
            <w:r w:rsidRPr="00E2329E">
              <w:rPr>
                <w:rFonts w:ascii="Verdana" w:hAnsi="Verdana" w:cstheme="minorHAnsi"/>
                <w:sz w:val="18"/>
                <w:szCs w:val="18"/>
              </w:rPr>
              <w:t>).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C094915" w14:textId="51CD53A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E414098" w14:textId="77777777" w:rsidTr="00134401">
        <w:tc>
          <w:tcPr>
            <w:tcW w:w="503" w:type="dxa"/>
          </w:tcPr>
          <w:p w14:paraId="1FFB7AB0" w14:textId="77C4D1AC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9E7FA4" w14:textId="77777777" w:rsidR="000B2073" w:rsidRPr="00134401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Stacja robocza z monitorem stanowiąca integralną część skanera wraz z oprogramowaniem umożliwiającym pełną kontrolę skanera. W konfiguracji zalecanej przez producenta skanera. </w:t>
            </w:r>
          </w:p>
          <w:p w14:paraId="149377EB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dysk twardy min. 2TB  </w:t>
            </w:r>
          </w:p>
          <w:p w14:paraId="786C34D4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RAM 32GB</w:t>
            </w:r>
          </w:p>
          <w:p w14:paraId="6A33ADA3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>- Monitor LED 24”, FULLHD</w:t>
            </w:r>
          </w:p>
          <w:p w14:paraId="5B993389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- Monitor z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>matrycą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IPS</w:t>
            </w:r>
          </w:p>
          <w:p w14:paraId="1F5AE923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Klawiatura, mysz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DAE996F" w14:textId="4D0E4B49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19E0089" w14:textId="77777777" w:rsidTr="00134401">
        <w:tc>
          <w:tcPr>
            <w:tcW w:w="503" w:type="dxa"/>
          </w:tcPr>
          <w:p w14:paraId="1857D812" w14:textId="13DDFB35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8DDA3" w14:textId="4DCBE503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Wymiary skanera nie więcej niż: szer. 40,00 cm;  gł. 45 cm;  wys.</w:t>
            </w:r>
            <w:r w:rsidRPr="00F37EFC">
              <w:rPr>
                <w:rFonts w:ascii="Verdana" w:hAnsi="Verdana" w:cstheme="minorHAnsi"/>
                <w:strike/>
                <w:sz w:val="18"/>
                <w:szCs w:val="18"/>
              </w:rPr>
              <w:t xml:space="preserve"> 40cm </w:t>
            </w:r>
            <w:r w:rsidR="00CA369E" w:rsidRPr="00F37EFC">
              <w:rPr>
                <w:rFonts w:ascii="Verdana" w:hAnsi="Verdana" w:cstheme="minorHAnsi"/>
                <w:strike/>
                <w:sz w:val="18"/>
                <w:szCs w:val="18"/>
              </w:rPr>
              <w:t>50cm</w:t>
            </w:r>
          </w:p>
          <w:p w14:paraId="582BB1C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Waga nie więcej niż: 20kg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4FC0A3" w14:textId="386B1CC4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078CFFD9" w14:textId="77777777" w:rsidR="009665BE" w:rsidRPr="002F70AA" w:rsidRDefault="009665BE" w:rsidP="00BB6123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4CD5B089" w14:textId="3A94A668" w:rsidR="00BB6123" w:rsidRPr="002F70AA" w:rsidRDefault="00BB6123" w:rsidP="00BB6123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  <w:lang w:val="en-GB"/>
        </w:rPr>
      </w:pPr>
      <w:proofErr w:type="spellStart"/>
      <w:r w:rsidRPr="002F70AA">
        <w:rPr>
          <w:rFonts w:ascii="Verdana" w:hAnsi="Verdana" w:cs="Arial"/>
          <w:sz w:val="20"/>
          <w:lang w:val="en-GB"/>
        </w:rPr>
        <w:t>Skaner</w:t>
      </w:r>
      <w:proofErr w:type="spellEnd"/>
      <w:r w:rsidRPr="002F70AA">
        <w:rPr>
          <w:rFonts w:ascii="Verdana" w:hAnsi="Verdana" w:cs="Arial"/>
          <w:sz w:val="20"/>
          <w:lang w:val="en-GB"/>
        </w:rPr>
        <w:t xml:space="preserve"> </w:t>
      </w:r>
      <w:proofErr w:type="spellStart"/>
      <w:r w:rsidRPr="002F70AA">
        <w:rPr>
          <w:rFonts w:ascii="Verdana" w:hAnsi="Verdana" w:cs="Arial"/>
          <w:sz w:val="20"/>
          <w:lang w:val="en-GB"/>
        </w:rPr>
        <w:t>preparatów</w:t>
      </w:r>
      <w:proofErr w:type="spellEnd"/>
      <w:r w:rsidRPr="002F70AA">
        <w:rPr>
          <w:rFonts w:ascii="Verdana" w:hAnsi="Verdana" w:cs="Arial"/>
          <w:sz w:val="20"/>
          <w:lang w:val="en-GB"/>
        </w:rPr>
        <w:t xml:space="preserve"> nr 2 RUO (Research Use Only)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5704"/>
        <w:gridCol w:w="1941"/>
      </w:tblGrid>
      <w:tr w:rsidR="009665BE" w:rsidRPr="002F70AA" w14:paraId="6562ACA1" w14:textId="77777777" w:rsidTr="000B2073">
        <w:tc>
          <w:tcPr>
            <w:tcW w:w="508" w:type="dxa"/>
          </w:tcPr>
          <w:p w14:paraId="4019066B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704" w:type="dxa"/>
          </w:tcPr>
          <w:p w14:paraId="1B18149C" w14:textId="77777777" w:rsidR="009665BE" w:rsidRPr="002F70AA" w:rsidRDefault="009665BE" w:rsidP="001E2B00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>Przedmiot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1941" w:type="dxa"/>
          </w:tcPr>
          <w:p w14:paraId="05DB6111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4C278C16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243609B3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481EEC79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lastRenderedPageBreak/>
              <w:t>Kolumnę wypełnia Wykonawca</w:t>
            </w:r>
          </w:p>
        </w:tc>
      </w:tr>
      <w:tr w:rsidR="009665BE" w:rsidRPr="002F70AA" w14:paraId="4AD48398" w14:textId="77777777" w:rsidTr="000B2073">
        <w:tc>
          <w:tcPr>
            <w:tcW w:w="508" w:type="dxa"/>
          </w:tcPr>
          <w:p w14:paraId="1585920E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04" w:type="dxa"/>
          </w:tcPr>
          <w:p w14:paraId="4040D656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</w:pPr>
          </w:p>
          <w:p w14:paraId="126B8460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  <w:t>SKANER PREPARATÓW nr 2RUO (Research Use Only)</w:t>
            </w:r>
          </w:p>
          <w:p w14:paraId="41C21644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Oferuję urządzenie (</w:t>
            </w:r>
            <w:r w:rsidRPr="002F70AA">
              <w:rPr>
                <w:rFonts w:ascii="Verdana" w:eastAsia="Calibri" w:hAnsi="Verdana" w:cs="Calibri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)</w:t>
            </w:r>
          </w:p>
          <w:p w14:paraId="4DDCFBCE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31B4E428" w14:textId="77777777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…………………………………………………………………………………</w:t>
            </w:r>
          </w:p>
          <w:p w14:paraId="03A18F9A" w14:textId="639FBEDA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680EBBD8" w14:textId="4613840B" w:rsidR="00E2329E" w:rsidRPr="00134401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</w:t>
            </w:r>
          </w:p>
        </w:tc>
        <w:tc>
          <w:tcPr>
            <w:tcW w:w="1941" w:type="dxa"/>
          </w:tcPr>
          <w:p w14:paraId="18493074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9613FBA" w14:textId="77777777" w:rsidTr="000B2073">
        <w:tc>
          <w:tcPr>
            <w:tcW w:w="508" w:type="dxa"/>
          </w:tcPr>
          <w:p w14:paraId="55C9339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22CBF0E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Urządzenie przeznaczone do skanowania preparatów mikroskopowych: histopatologicznych i cytologicznych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4E4D237" w14:textId="2119EC9C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291F741" w14:textId="77777777" w:rsidTr="000B2073">
        <w:tc>
          <w:tcPr>
            <w:tcW w:w="508" w:type="dxa"/>
          </w:tcPr>
          <w:p w14:paraId="02D6A1C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704" w:type="dxa"/>
          </w:tcPr>
          <w:p w14:paraId="7F0A308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 skanowania - skanowanie manualne, automatyczne lub półautomatyczne w technice jasnego pola oraz możliwością rozbudowy o fluorescencję.</w:t>
            </w:r>
          </w:p>
        </w:tc>
        <w:tc>
          <w:tcPr>
            <w:tcW w:w="1941" w:type="dxa"/>
          </w:tcPr>
          <w:p w14:paraId="44F3A872" w14:textId="7A96DF8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49A51C3" w14:textId="77777777" w:rsidTr="000B2073">
        <w:tc>
          <w:tcPr>
            <w:tcW w:w="508" w:type="dxa"/>
          </w:tcPr>
          <w:p w14:paraId="44C74A4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704" w:type="dxa"/>
          </w:tcPr>
          <w:p w14:paraId="2C79AB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skanowania w jednym załadunku przynajmniej 60 standardowej wielkości preparatów lub 30 preparatów podwójnej wielkości.</w:t>
            </w:r>
          </w:p>
        </w:tc>
        <w:tc>
          <w:tcPr>
            <w:tcW w:w="1941" w:type="dxa"/>
          </w:tcPr>
          <w:p w14:paraId="52C4D7DE" w14:textId="090958F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90F1C4D" w14:textId="77777777" w:rsidTr="000B2073">
        <w:tc>
          <w:tcPr>
            <w:tcW w:w="508" w:type="dxa"/>
          </w:tcPr>
          <w:p w14:paraId="0F3F982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704" w:type="dxa"/>
          </w:tcPr>
          <w:p w14:paraId="15BDFD9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skanowania z powiększeniem odpowiadającym obiektywowi 20X i 40X</w:t>
            </w:r>
          </w:p>
        </w:tc>
        <w:tc>
          <w:tcPr>
            <w:tcW w:w="1941" w:type="dxa"/>
          </w:tcPr>
          <w:p w14:paraId="34B684BD" w14:textId="46A6D45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8923A89" w14:textId="77777777" w:rsidTr="000B2073">
        <w:tc>
          <w:tcPr>
            <w:tcW w:w="508" w:type="dxa"/>
          </w:tcPr>
          <w:p w14:paraId="33BDA76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0DCC678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Obiektyw skanujący klasy Plan Apochromat o parametrach nie gorszych niż 20x (NA 0.75)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AB52BE" w14:textId="092E15C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F744073" w14:textId="77777777" w:rsidTr="000B2073">
        <w:tc>
          <w:tcPr>
            <w:tcW w:w="508" w:type="dxa"/>
          </w:tcPr>
          <w:p w14:paraId="2CDC68D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1EAE0BF8" w14:textId="5B30E8B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Osobne kasety na preparaty standardowe i o podwójnym rozmiarze</w:t>
            </w:r>
            <w:r w:rsidR="00F37EF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CA369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lub kaseta </w:t>
            </w:r>
            <w:r w:rsidR="00256ED9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mająca możliwość załadowania obu rozmiarów szkiełek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60DEE1B" w14:textId="4806684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0E18847" w14:textId="77777777" w:rsidTr="000B2073">
        <w:tc>
          <w:tcPr>
            <w:tcW w:w="508" w:type="dxa"/>
          </w:tcPr>
          <w:p w14:paraId="19D94FED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40DBE9E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oglądania zeskanowanych preparatów w powiększeniu do 80x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4FA8FC3D" w14:textId="38DA743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E889F36" w14:textId="77777777" w:rsidTr="000B2073">
        <w:tc>
          <w:tcPr>
            <w:tcW w:w="508" w:type="dxa"/>
          </w:tcPr>
          <w:p w14:paraId="0735D6A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704" w:type="dxa"/>
          </w:tcPr>
          <w:p w14:paraId="377863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Tryby ustawiania ostrości: automatyczny i manualny</w:t>
            </w:r>
          </w:p>
        </w:tc>
        <w:tc>
          <w:tcPr>
            <w:tcW w:w="1941" w:type="dxa"/>
          </w:tcPr>
          <w:p w14:paraId="2089B8F0" w14:textId="2FA8F2F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903C35E" w14:textId="77777777" w:rsidTr="000B2073">
        <w:tc>
          <w:tcPr>
            <w:tcW w:w="508" w:type="dxa"/>
          </w:tcPr>
          <w:p w14:paraId="3A50B42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704" w:type="dxa"/>
          </w:tcPr>
          <w:p w14:paraId="451C3EB1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Obsługiwany wymiar i grubość preparatów:</w:t>
            </w:r>
          </w:p>
          <w:p w14:paraId="679DF62C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Preparaty standard:</w:t>
            </w:r>
          </w:p>
          <w:p w14:paraId="31F9E913" w14:textId="4CB6A52E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a/wymiar: </w:t>
            </w:r>
            <w:r w:rsidR="00256ED9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75 do 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76 mm x </w:t>
            </w:r>
            <w:r w:rsidR="00256ED9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25 do 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>26 mm</w:t>
            </w:r>
          </w:p>
          <w:p w14:paraId="5B6F57BD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b/grubość: 0.9 – 1.2. mm</w:t>
            </w:r>
          </w:p>
          <w:p w14:paraId="5985E5B2" w14:textId="77777777" w:rsidR="000B2073" w:rsidRPr="00134401" w:rsidRDefault="000B2073" w:rsidP="000B2073">
            <w:r w:rsidRPr="00134401">
              <w:t>Preparaty podwójne:</w:t>
            </w:r>
          </w:p>
          <w:p w14:paraId="00C9B70F" w14:textId="28E26113" w:rsidR="000B2073" w:rsidRPr="00134401" w:rsidRDefault="000B2073" w:rsidP="000B2073">
            <w:r w:rsidRPr="00134401">
              <w:t xml:space="preserve">a/wymiar: </w:t>
            </w:r>
            <w:r w:rsidR="00256ED9" w:rsidRPr="00F37EFC">
              <w:rPr>
                <w:color w:val="FF0000"/>
              </w:rPr>
              <w:t xml:space="preserve">75 do </w:t>
            </w:r>
            <w:r w:rsidRPr="00134401">
              <w:t xml:space="preserve">76 mm x </w:t>
            </w:r>
            <w:r w:rsidR="00256ED9" w:rsidRPr="00F37EFC">
              <w:rPr>
                <w:color w:val="FF0000"/>
              </w:rPr>
              <w:t xml:space="preserve">50 do </w:t>
            </w:r>
            <w:r w:rsidRPr="00134401">
              <w:t>52 mm</w:t>
            </w:r>
          </w:p>
          <w:p w14:paraId="5580624F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t>b/grubość: 0.9 – 1.2. mm</w:t>
            </w:r>
          </w:p>
        </w:tc>
        <w:tc>
          <w:tcPr>
            <w:tcW w:w="1941" w:type="dxa"/>
          </w:tcPr>
          <w:p w14:paraId="394862D1" w14:textId="7F7EB6A9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75FB3E8" w14:textId="77777777" w:rsidTr="000B2073">
        <w:tc>
          <w:tcPr>
            <w:tcW w:w="508" w:type="dxa"/>
          </w:tcPr>
          <w:p w14:paraId="106AC60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704" w:type="dxa"/>
          </w:tcPr>
          <w:p w14:paraId="6B3B4B43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Automatyczne rozpoznawanie typu załadowanych magazynków (z pojedynczymi lub podwójnymi preparatami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1941" w:type="dxa"/>
          </w:tcPr>
          <w:p w14:paraId="5CC331F0" w14:textId="3B328108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9CECB28" w14:textId="77777777" w:rsidTr="000B2073">
        <w:tc>
          <w:tcPr>
            <w:tcW w:w="508" w:type="dxa"/>
          </w:tcPr>
          <w:p w14:paraId="3D859E7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704" w:type="dxa"/>
          </w:tcPr>
          <w:p w14:paraId="4A1C937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Możliwość skanowania w trybie mieszanym (tzw. pojedynczej i podwójnej wielkości preparatów w jednym cyklu) </w:t>
            </w:r>
          </w:p>
        </w:tc>
        <w:tc>
          <w:tcPr>
            <w:tcW w:w="1941" w:type="dxa"/>
          </w:tcPr>
          <w:p w14:paraId="455144F2" w14:textId="1B8CF1B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1EB0BAB" w14:textId="77777777" w:rsidTr="000B2073">
        <w:tc>
          <w:tcPr>
            <w:tcW w:w="508" w:type="dxa"/>
          </w:tcPr>
          <w:p w14:paraId="6D54B62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5DD540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Możliwość wybierania liczby warstw z gotowych zestawów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(min. 30 warstw)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oraz  indywidualnego definiowania dowolnej liczby warstw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(więcej niż 30 warstw)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6ED8A99" w14:textId="0920C8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DA7D71E" w14:textId="77777777" w:rsidTr="000B2073">
        <w:tc>
          <w:tcPr>
            <w:tcW w:w="508" w:type="dxa"/>
          </w:tcPr>
          <w:p w14:paraId="012B4ACF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4E196B3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Dioda sygnalizująca załadunek  dla każdego z magazynków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D5F5761" w14:textId="49B2EF40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37F5126" w14:textId="77777777" w:rsidTr="000B2073">
        <w:tc>
          <w:tcPr>
            <w:tcW w:w="508" w:type="dxa"/>
          </w:tcPr>
          <w:p w14:paraId="4AF45A3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B34B76F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odczytu kodów 1D  i 2D na skanowanych preparatach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06DE88D" w14:textId="709139D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753A822" w14:textId="77777777" w:rsidTr="000B2073">
        <w:tc>
          <w:tcPr>
            <w:tcW w:w="508" w:type="dxa"/>
          </w:tcPr>
          <w:p w14:paraId="6658F62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DE8C7E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wykonywania skanów warstwowych (z-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</w:rPr>
              <w:t>stack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</w:rPr>
              <w:t>) z całego obszaru skanowanej próbki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648F108" w14:textId="0E6429C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6751359" w14:textId="77777777" w:rsidTr="000B2073">
        <w:tc>
          <w:tcPr>
            <w:tcW w:w="508" w:type="dxa"/>
          </w:tcPr>
          <w:p w14:paraId="7F65ED3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4AB1D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importowania listy z nazwami skanowanych preparatów z pliku.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0959B56" w14:textId="33A252F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5D139A3" w14:textId="77777777" w:rsidTr="000B2073">
        <w:tc>
          <w:tcPr>
            <w:tcW w:w="508" w:type="dxa"/>
          </w:tcPr>
          <w:p w14:paraId="147426C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6FFA9C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w kamerę do techniki skanowania w polu jasnym i przystosowany do instalacji opcjonalnej drugiej kamery do techniki fluorescencji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92043AD" w14:textId="75567C2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76F0C76" w14:textId="77777777" w:rsidTr="000B2073">
        <w:tc>
          <w:tcPr>
            <w:tcW w:w="508" w:type="dxa"/>
          </w:tcPr>
          <w:p w14:paraId="069CEA6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CD81547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Możliwość rozbudowy o kamerę do fluorescencji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o min. parametrach kamery:</w:t>
            </w:r>
          </w:p>
          <w:p w14:paraId="18B52BAC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>przetwornik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>sCMOS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>(Complementary Metal Oxide Semiconductor))</w:t>
            </w:r>
          </w:p>
          <w:p w14:paraId="79592804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-  szczytowa wydajność kwantowa nie mniej niż 82%</w:t>
            </w:r>
          </w:p>
          <w:p w14:paraId="6C612D0B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- efektywna wielkość przetwornika min. 13x13mm </w:t>
            </w:r>
          </w:p>
          <w:p w14:paraId="6709E81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- wielkość piksela nie mniejsza niż 6.5x6.5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21AC11C" w14:textId="06D6FAC1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92A4D7" w14:textId="77777777" w:rsidTr="000B2073">
        <w:tc>
          <w:tcPr>
            <w:tcW w:w="508" w:type="dxa"/>
          </w:tcPr>
          <w:p w14:paraId="5A3DFB0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6D475E4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Rozdzielczość skanowania nie gorsza niż:</w:t>
            </w:r>
          </w:p>
          <w:p w14:paraId="6FBB7BB3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0,46 µm/pikseli w trybie ob. 20x</w:t>
            </w:r>
          </w:p>
          <w:p w14:paraId="04D25670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0,23 µm/pikseli w trybie ob. 40x</w:t>
            </w:r>
          </w:p>
          <w:p w14:paraId="4C2F7702" w14:textId="45C1524B" w:rsidR="001462FF" w:rsidRPr="00F37EFC" w:rsidRDefault="001462FF" w:rsidP="001462FF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0,50 µm/pikseli w trybie ob. 20x</w:t>
            </w:r>
          </w:p>
          <w:p w14:paraId="068573FF" w14:textId="53F55ECB" w:rsidR="001462FF" w:rsidRPr="002F70AA" w:rsidRDefault="001462FF" w:rsidP="001462FF">
            <w:pPr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0,29 µm/pikseli w trybie ob. 40x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8BFBBC1" w14:textId="005E7F75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6246A3C" w14:textId="77777777" w:rsidTr="000B2073">
        <w:tc>
          <w:tcPr>
            <w:tcW w:w="508" w:type="dxa"/>
          </w:tcPr>
          <w:p w14:paraId="5ACAC21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F85D609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czas skanowania nie dłuższy niż:</w:t>
            </w:r>
          </w:p>
          <w:p w14:paraId="3C70E8A4" w14:textId="2775CD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60</w:t>
            </w:r>
            <w:r w:rsidR="001462FF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120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sek. ±5%  (15 mm x 15 mm w trybie 20x) </w:t>
            </w:r>
          </w:p>
          <w:p w14:paraId="76E734B2" w14:textId="77777777" w:rsidR="000B2073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150</w:t>
            </w:r>
            <w:r w:rsidR="001462FF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240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>sek. ±5%  (15 mm x 15 mm w trybie 40x)</w:t>
            </w:r>
          </w:p>
          <w:p w14:paraId="5299BF75" w14:textId="1259DBDB" w:rsidR="001462FF" w:rsidRPr="002F70AA" w:rsidRDefault="001462FF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Na czas skanowania składa się również czas wyświetlenia pełnego obrazu skanu na ekranie stacji roboczej.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F52CA36" w14:textId="444C531B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4FC9499" w14:textId="77777777" w:rsidTr="000B2073">
        <w:tc>
          <w:tcPr>
            <w:tcW w:w="508" w:type="dxa"/>
          </w:tcPr>
          <w:p w14:paraId="4E0C59E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AE3135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Źródło światła do trybu BF (jasne pole) - LED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46AEC6C" w14:textId="3F1CF9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95B8879" w14:textId="77777777" w:rsidTr="000B2073">
        <w:trPr>
          <w:trHeight w:val="560"/>
        </w:trPr>
        <w:tc>
          <w:tcPr>
            <w:tcW w:w="508" w:type="dxa"/>
          </w:tcPr>
          <w:p w14:paraId="38DD6F4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201B08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rozbudowy o zewnętrzne źródło światła do fluorescencji.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5DE39C8" w14:textId="5596EDA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51CF62E" w14:textId="77777777" w:rsidTr="000B2073">
        <w:tc>
          <w:tcPr>
            <w:tcW w:w="508" w:type="dxa"/>
          </w:tcPr>
          <w:p w14:paraId="378F4321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E0F132C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Miejsce w obudowie skanera przystosowane do wprowadzenia światłowodu do transmisja światła z opcjonalnej lampy fluorescencyjnej do skanera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35F2BB7" w14:textId="1A26FD9A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3CCCEBD" w14:textId="77777777" w:rsidTr="000B2073">
        <w:tc>
          <w:tcPr>
            <w:tcW w:w="508" w:type="dxa"/>
          </w:tcPr>
          <w:p w14:paraId="631D0F5C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CE335A7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Możliwość instalacji opcjonalnego koła filtrów do fluorescencji z możliwością instalacji min. 5 filtrów o średnicy Ø25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38E43D3" w14:textId="64DBB4B1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E7CFCE0" w14:textId="77777777" w:rsidTr="000B2073">
        <w:tc>
          <w:tcPr>
            <w:tcW w:w="508" w:type="dxa"/>
          </w:tcPr>
          <w:p w14:paraId="432427BD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D1559E5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Możliwość zmiany apertury numerycznej kondensora dla oświetlenia jasnego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polaF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.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br/>
              <w:t>Minimum 3 wsuwki umożliwiające uzyskanie różnej apertury kondensora.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7269709" w14:textId="5BAFC989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1898AF" w14:textId="77777777" w:rsidTr="000B2073">
        <w:tc>
          <w:tcPr>
            <w:tcW w:w="508" w:type="dxa"/>
          </w:tcPr>
          <w:p w14:paraId="5BFDF79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9102A02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Metoda ustawiania ostrości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</w:rPr>
              <w:t>prefocus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 map. Mapa płaszczyzny ostrości preparatu tworzona przed skanowaniem na podstawie wskazanych automatycznie lub ręcznie punktów ostrości.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C285383" w14:textId="01D3617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6DDCEAF" w14:textId="77777777" w:rsidTr="000B2073">
        <w:tc>
          <w:tcPr>
            <w:tcW w:w="508" w:type="dxa"/>
          </w:tcPr>
          <w:p w14:paraId="34A67872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1678574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Możliwość automatycznego podziału mapy płaszczyzny ostrości preparatu na mniejsze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sub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płaszczyzny w zależności od zdefiniowanej wielkości  skanowanego preparatu.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B779D64" w14:textId="254DE945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0E8B89F" w14:textId="77777777" w:rsidTr="000B2073">
        <w:tc>
          <w:tcPr>
            <w:tcW w:w="508" w:type="dxa"/>
          </w:tcPr>
          <w:p w14:paraId="264EE2B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B5D84B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oznaczania więcej niż jednego niezależnego obszaru skanowania w ramach jednego preparatu i ustawiania niezależnych punktów ostrości dla tych płaszczyzn.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DB842D6" w14:textId="38FABEE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425B5BC" w14:textId="77777777" w:rsidTr="000B2073">
        <w:tc>
          <w:tcPr>
            <w:tcW w:w="508" w:type="dxa"/>
          </w:tcPr>
          <w:p w14:paraId="2AFFA466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C52A19E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Funkcja automatycznego powtórzenia przez urządzenie skanu (tzw. auto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rescan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) w sytuacji gdy poziom ostrości zeskanowanego obrazu jest poniżej zadanego uprzednio przez użytkownika progu. Funkcja auto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rescan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musi odbywać się automatycznie przez urządzenie bez ingerencji użytkownika</w:t>
            </w:r>
          </w:p>
          <w:p w14:paraId="4B8ABEBA" w14:textId="7E5C7285" w:rsidR="000B2073" w:rsidRPr="00F37EFC" w:rsidRDefault="000B2073" w:rsidP="00F37EFC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Możliwość ustawienia więcej niż 1 próby ponownego skanowania dla funkcji </w:t>
            </w:r>
            <w:proofErr w:type="spellStart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rescan</w:t>
            </w:r>
            <w:proofErr w:type="spellEnd"/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4C3BC90" w14:textId="067A95AA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A5556C5" w14:textId="77777777" w:rsidTr="000B2073">
        <w:tc>
          <w:tcPr>
            <w:tcW w:w="508" w:type="dxa"/>
          </w:tcPr>
          <w:p w14:paraId="35B9A37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DC118F2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Sposób transportu szkiełek mikroskopowych odbywający się na zasadzie przenoszenia preparatu bez jego chwytania czy ściskania. Minimalizacja ryzyka zacięć lub uszkodzeń preparatu przy jego przenoszeniu z podajnika pod obiektyw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3E6DA66" w14:textId="7DEEA37C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1FBC8E2" w14:textId="77777777" w:rsidTr="000B2073">
        <w:tc>
          <w:tcPr>
            <w:tcW w:w="508" w:type="dxa"/>
          </w:tcPr>
          <w:p w14:paraId="26EE83A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3C9CF1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czułości działania filtra automatycznego wykrywania tkanki na szkiełku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B5DA124" w14:textId="4702B65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D05D164" w14:textId="77777777" w:rsidTr="000B2073">
        <w:tc>
          <w:tcPr>
            <w:tcW w:w="508" w:type="dxa"/>
          </w:tcPr>
          <w:p w14:paraId="235641A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F222678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minimalnego wykrywanego obszaru tkanki do skanowania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C2AB245" w14:textId="4E1B2AC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464863F" w14:textId="77777777" w:rsidTr="000B2073">
        <w:tc>
          <w:tcPr>
            <w:tcW w:w="508" w:type="dxa"/>
          </w:tcPr>
          <w:p w14:paraId="533EB86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8342CEB" w14:textId="109B4144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Funkcje automatycznej kalibracji skanera w oparciu o dostarczony preparat kalibracyjny</w:t>
            </w:r>
            <w:r w:rsidR="0068366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68366F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lub możliwość wykonania ręcznej kalibracji przez użytkownika.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4ABF861" w14:textId="034442E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BFF3002" w14:textId="77777777" w:rsidTr="000B2073">
        <w:tc>
          <w:tcPr>
            <w:tcW w:w="508" w:type="dxa"/>
          </w:tcPr>
          <w:p w14:paraId="1F7ECCAC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34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E7E9549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Automatyczna blokada drzwi skanera w czasie skanowania zabezpieczająca przed przypadkowym przerwaniem procesu skanowania.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931F134" w14:textId="6CC82788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D1ACBE1" w14:textId="77777777" w:rsidTr="000B2073">
        <w:tc>
          <w:tcPr>
            <w:tcW w:w="508" w:type="dxa"/>
          </w:tcPr>
          <w:p w14:paraId="17E1879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21B243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instalacji opcjonalnego obiektywu 40X zamiast standardowego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6491797" w14:textId="55A1776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A292DAE" w14:textId="77777777" w:rsidTr="000B2073">
        <w:tc>
          <w:tcPr>
            <w:tcW w:w="508" w:type="dxa"/>
          </w:tcPr>
          <w:p w14:paraId="680C504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B708FF5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Dedykowana do skanera stacja robocza wraz z monitorem rekomendowana przez producenta skanera i gwarantująca pełne wykorzystanie możliwości skanera oraz pełną kompatybilność systemu i płynną pracę, o parametrach i konfiguracji gwarantujących prawidłową pracę i wydajność urządzenia i systemu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84F6D83" w14:textId="2E6EAA0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191C1EF" w14:textId="77777777" w:rsidTr="000B2073">
        <w:tc>
          <w:tcPr>
            <w:tcW w:w="508" w:type="dxa"/>
          </w:tcPr>
          <w:p w14:paraId="28CA460D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2EE32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Załączone oprogramowanie producenta skanera do synchronizacji zeskanowanych preparatów z zewnętrznym zasobem sieciowym.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7102615" w14:textId="667D68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FE930E" w14:textId="77777777" w:rsidTr="000B2073">
        <w:tc>
          <w:tcPr>
            <w:tcW w:w="508" w:type="dxa"/>
          </w:tcPr>
          <w:p w14:paraId="4FC99A2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2CC4F0" w14:textId="6342BD02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Otwarty format zapisu cyfrowego (możliwość przetwarzania skanów z wykorzystaniem oprogramowania różnych producentów bez konieczności użycia oprogramowania </w:t>
            </w:r>
            <w:r w:rsidRPr="00134401">
              <w:rPr>
                <w:rFonts w:ascii="Verdana" w:hAnsi="Verdana" w:cstheme="minorHAnsi"/>
                <w:sz w:val="18"/>
                <w:szCs w:val="18"/>
              </w:rPr>
              <w:lastRenderedPageBreak/>
              <w:t>pośredniczącego, serwera producenta skanera bez potrzeby konwersji plików)</w:t>
            </w:r>
            <w:r w:rsidR="00525B5B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="00F37EFC">
              <w:rPr>
                <w:rFonts w:ascii="Verdana" w:hAnsi="Verdana" w:cstheme="minorHAnsi"/>
                <w:color w:val="FF0000"/>
                <w:sz w:val="18"/>
                <w:szCs w:val="18"/>
              </w:rPr>
              <w:t>Możliwość</w:t>
            </w:r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zapisywania plików w co najmniej jednym z podanych formatów: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png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jpeg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tif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bmp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svs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.dcm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vms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vmu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ndpi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scn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mrxs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tiff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svslide</w:t>
            </w:r>
            <w:proofErr w:type="spellEnd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.</w:t>
            </w:r>
            <w:proofErr w:type="spellStart"/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bif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48BCB2F" w14:textId="741D979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76344757" w14:textId="77777777" w:rsidTr="000B2073">
        <w:tc>
          <w:tcPr>
            <w:tcW w:w="508" w:type="dxa"/>
          </w:tcPr>
          <w:p w14:paraId="5E5C56C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779F034" w14:textId="77777777" w:rsidR="000B2073" w:rsidRPr="00134401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Oprogramowanie skanera umożliwiające:</w:t>
            </w:r>
          </w:p>
          <w:p w14:paraId="3C00C18C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a/ opcja filtracji kolejki skanowanych preparatów w celu szybkiego wyświetlania preparatów: zeskanowanych, niezeskanowane, wymagające sprawdzenia</w:t>
            </w:r>
          </w:p>
          <w:p w14:paraId="040DFCB8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b/ graficzna mapa obszarów ostrych i wymagających sprawdzenia możliwa do wyświetlenia w trakcie skanowania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7A4BEB1" w14:textId="2E4D4716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1F1D9F9" w14:textId="77777777" w:rsidTr="000B2073">
        <w:tc>
          <w:tcPr>
            <w:tcW w:w="508" w:type="dxa"/>
          </w:tcPr>
          <w:p w14:paraId="4EA1D9E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231522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Oprogramowanie umożliwiające:</w:t>
            </w:r>
          </w:p>
          <w:p w14:paraId="292976D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a/ pełną obsługę skanera i trybów jego pracy</w:t>
            </w:r>
          </w:p>
          <w:p w14:paraId="36C0D353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b/ możliwość edycji i tworzenia nowych profilów skanowania</w:t>
            </w:r>
          </w:p>
          <w:p w14:paraId="1E77D9FE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c/ możliwość definiowania osobnych profili skanowania dla miejsca zapisu</w:t>
            </w:r>
          </w:p>
          <w:p w14:paraId="76F299A5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d/ wyświetlania zeskanowanych preparatów z możliwością płynnej zmiany powiększenia i obrotu skanu</w:t>
            </w:r>
          </w:p>
          <w:p w14:paraId="53FD4DDE" w14:textId="0D9A2F3D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e/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wyświetlania min. 4 preparatów jednocześnie z możliwością synchronizacji ich widoku w trybie porównawczym</w:t>
            </w:r>
            <w:r w:rsidR="00D7367C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wyświetlania min. 2 preparatów jednocześnie</w:t>
            </w:r>
          </w:p>
          <w:p w14:paraId="37A13276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f/ funkcja nanoszenia na zeskanowane preparaty komentarzy, oznaczeń, pomiarów</w:t>
            </w:r>
          </w:p>
          <w:p w14:paraId="3E19B986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g/ możliwość eksportowania fragmentów skanów do plików JPG , TIFF</w:t>
            </w:r>
          </w:p>
          <w:p w14:paraId="7BEF2FA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h/ wyświetlanie mapy całego zeskanowanego preparatu z opcją śledzenia miejsc oglądanych.</w:t>
            </w:r>
          </w:p>
          <w:p w14:paraId="2204220A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i/mapa preparatu różnicująca graficzne obejrzany fragment preparatu od nieobejrzanego</w:t>
            </w:r>
          </w:p>
          <w:p w14:paraId="139AA39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j/ możliwość powrotu do ostatniego przerwanego procesu skanowania w celu jego kontynuacji</w:t>
            </w:r>
          </w:p>
          <w:p w14:paraId="2E82960C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k/ Możliwość generowania z poziomu przeglądarki zeskanowanych preparatów automatycznego raportu w formacie pdf zawierającego opis preparatu oraz zdjęcia i adnotacje naniesione na preparat.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2C31B0E" w14:textId="65ACD88D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C32BE96" w14:textId="77777777" w:rsidTr="000B2073">
        <w:tc>
          <w:tcPr>
            <w:tcW w:w="508" w:type="dxa"/>
          </w:tcPr>
          <w:p w14:paraId="6644294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FEF8FEF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Możliwość: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br/>
              <w:t xml:space="preserve">a) wysyłania przez urządzenie komunikatów/ powiadomień dotyczących statusu pracy skanera – zakończenie procesu skanowania, błąd skanowania. </w:t>
            </w:r>
          </w:p>
          <w:p w14:paraId="04719E31" w14:textId="06EE19F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b)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wysyłania komunikatów poprzez email min. na 3 różne adresy e-mailowe oraz do zewnętrznej lampy sygnalizacyjnej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.</w:t>
            </w:r>
            <w:r w:rsidR="00D7367C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wysyłania komunikatów poprzez email min. na 1 adres email.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5CE7387" w14:textId="2985A285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29E8CEEE" w14:textId="77777777" w:rsidTr="000B2073">
        <w:tc>
          <w:tcPr>
            <w:tcW w:w="508" w:type="dxa"/>
          </w:tcPr>
          <w:p w14:paraId="31C6515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02B501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Wymiary skanera nie większe niż [Wysokość x szerokość x głębokość]: 720mm x 700mm x 700mm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8AB97BC" w14:textId="06B89E4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D3CC29B" w14:textId="77777777" w:rsidTr="000B2073">
        <w:tc>
          <w:tcPr>
            <w:tcW w:w="508" w:type="dxa"/>
          </w:tcPr>
          <w:p w14:paraId="63574CD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2AA4E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Waga skanera nie większa niż: 80kg.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A05D803" w14:textId="739C30E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7E81A018" w14:textId="77777777" w:rsidR="00134401" w:rsidRPr="002F70AA" w:rsidRDefault="00134401" w:rsidP="00F37EFC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6F8D89C0" w14:textId="01716B24" w:rsidR="00BB6123" w:rsidRPr="002F70AA" w:rsidRDefault="009665BE" w:rsidP="009665BE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 xml:space="preserve">Platforma do </w:t>
      </w:r>
      <w:proofErr w:type="spellStart"/>
      <w:r w:rsidRPr="002F70AA">
        <w:rPr>
          <w:rFonts w:ascii="Verdana" w:hAnsi="Verdana" w:cs="Arial"/>
          <w:sz w:val="20"/>
        </w:rPr>
        <w:t>telepatologii</w:t>
      </w:r>
      <w:proofErr w:type="spellEnd"/>
      <w:r w:rsidRPr="002F70AA">
        <w:rPr>
          <w:rFonts w:ascii="Verdana" w:hAnsi="Verdana" w:cs="Arial"/>
          <w:sz w:val="20"/>
        </w:rPr>
        <w:t xml:space="preserve"> RUO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67"/>
        <w:gridCol w:w="2070"/>
      </w:tblGrid>
      <w:tr w:rsidR="009665BE" w:rsidRPr="002F70AA" w14:paraId="51DD8F1E" w14:textId="77777777" w:rsidTr="000B2073">
        <w:tc>
          <w:tcPr>
            <w:tcW w:w="516" w:type="dxa"/>
          </w:tcPr>
          <w:p w14:paraId="44A94D8C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67" w:type="dxa"/>
          </w:tcPr>
          <w:p w14:paraId="2E10CA2E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070" w:type="dxa"/>
          </w:tcPr>
          <w:p w14:paraId="552903C7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2182C48F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30BB5E91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1F27B87E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9665BE" w:rsidRPr="002F70AA" w14:paraId="4D7E34E6" w14:textId="77777777" w:rsidTr="000B2073">
        <w:tc>
          <w:tcPr>
            <w:tcW w:w="516" w:type="dxa"/>
          </w:tcPr>
          <w:p w14:paraId="3BC84778" w14:textId="77777777" w:rsidR="009665BE" w:rsidRPr="00134401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67" w:type="dxa"/>
          </w:tcPr>
          <w:p w14:paraId="0D6A8AB5" w14:textId="77777777" w:rsidR="009665BE" w:rsidRPr="00134401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PLATFORMA DO TELEPATOLOGII RUO (</w:t>
            </w:r>
            <w:proofErr w:type="spellStart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Research</w:t>
            </w:r>
            <w:proofErr w:type="spellEnd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Use</w:t>
            </w:r>
            <w:proofErr w:type="spellEnd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Only</w:t>
            </w:r>
            <w:proofErr w:type="spellEnd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)</w:t>
            </w:r>
          </w:p>
          <w:p w14:paraId="4B57F980" w14:textId="5D2BF774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……………………………………………………………………………</w:t>
            </w:r>
          </w:p>
          <w:p w14:paraId="090B82BD" w14:textId="1825893F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31DCB5F7" w14:textId="77777777" w:rsidR="009665BE" w:rsidRPr="00134401" w:rsidRDefault="009665BE" w:rsidP="001E2B00">
            <w:pPr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………………………………………………………………………</w:t>
            </w:r>
          </w:p>
          <w:p w14:paraId="19A33AF8" w14:textId="3DCC1973" w:rsidR="00E2329E" w:rsidRPr="00134401" w:rsidRDefault="00E2329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19F950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A7DB0BF" w14:textId="77777777" w:rsidTr="000B2073">
        <w:tc>
          <w:tcPr>
            <w:tcW w:w="516" w:type="dxa"/>
          </w:tcPr>
          <w:p w14:paraId="7DC0364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67" w:type="dxa"/>
          </w:tcPr>
          <w:p w14:paraId="51EFB3D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Platforma do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tele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-patologii kompatybilna z zaproponowanym skanerem oraz pochodząca od producenta zaproponowanego skanera.</w:t>
            </w:r>
          </w:p>
        </w:tc>
        <w:tc>
          <w:tcPr>
            <w:tcW w:w="2070" w:type="dxa"/>
          </w:tcPr>
          <w:p w14:paraId="73D20102" w14:textId="306B03A7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6CFFAFC" w14:textId="77777777" w:rsidTr="000B2073">
        <w:tc>
          <w:tcPr>
            <w:tcW w:w="516" w:type="dxa"/>
          </w:tcPr>
          <w:p w14:paraId="22F2758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67" w:type="dxa"/>
          </w:tcPr>
          <w:p w14:paraId="4A93128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Zakup dożywotniej licencji – nie dopuszcza się systemu subskrypcyjnego. Licencja bez ograniczeń czasowych.</w:t>
            </w:r>
          </w:p>
        </w:tc>
        <w:tc>
          <w:tcPr>
            <w:tcW w:w="2070" w:type="dxa"/>
          </w:tcPr>
          <w:p w14:paraId="073AD37C" w14:textId="1477F49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19CE671" w14:textId="77777777" w:rsidTr="000B2073">
        <w:tc>
          <w:tcPr>
            <w:tcW w:w="516" w:type="dxa"/>
          </w:tcPr>
          <w:p w14:paraId="23DC859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67" w:type="dxa"/>
          </w:tcPr>
          <w:p w14:paraId="5DFCD46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Webowy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interface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oprogramowania pozwalający na zdalne przeglądanie zeskanowanych preparatów poprzez przeglądarkę web oraz przez oprogramowanie producenta skanera do przeglądania preparatów</w:t>
            </w:r>
          </w:p>
        </w:tc>
        <w:tc>
          <w:tcPr>
            <w:tcW w:w="2070" w:type="dxa"/>
          </w:tcPr>
          <w:p w14:paraId="476E681C" w14:textId="58EEECF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3198EEC" w14:textId="77777777" w:rsidTr="000B2073">
        <w:tc>
          <w:tcPr>
            <w:tcW w:w="516" w:type="dxa"/>
          </w:tcPr>
          <w:p w14:paraId="2B4168F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567" w:type="dxa"/>
          </w:tcPr>
          <w:p w14:paraId="0763FB5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Dostęp do platformy poprzez przeglądarkę internetową bez konieczności instalacji dodatkowych programów lub plug-in</w:t>
            </w:r>
          </w:p>
        </w:tc>
        <w:tc>
          <w:tcPr>
            <w:tcW w:w="2070" w:type="dxa"/>
          </w:tcPr>
          <w:p w14:paraId="21ADC98B" w14:textId="6104BA35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FDE74BA" w14:textId="77777777" w:rsidTr="000B2073">
        <w:tc>
          <w:tcPr>
            <w:tcW w:w="516" w:type="dxa"/>
          </w:tcPr>
          <w:p w14:paraId="268CBAC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567" w:type="dxa"/>
          </w:tcPr>
          <w:p w14:paraId="7FE5D28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Platforma umożliwiająca zarządzanie użytkownikami i grupami użytkowników oraz udostępnianie zeskanowanych preparatów, zdjęć makroskopowych do zdalnej oceny</w:t>
            </w:r>
          </w:p>
        </w:tc>
        <w:tc>
          <w:tcPr>
            <w:tcW w:w="2070" w:type="dxa"/>
          </w:tcPr>
          <w:p w14:paraId="2ECAA9BD" w14:textId="0D68693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0508A81" w14:textId="77777777" w:rsidTr="000B2073">
        <w:tc>
          <w:tcPr>
            <w:tcW w:w="516" w:type="dxa"/>
          </w:tcPr>
          <w:p w14:paraId="0430DED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567" w:type="dxa"/>
          </w:tcPr>
          <w:p w14:paraId="61E1745C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Platforma umożliwiająca zarządzanie użytkownikami i grupami użytkowników oraz udostępnianie zeskanowanych preparatów</w:t>
            </w:r>
            <w:r w:rsidRPr="00F37EFC">
              <w:rPr>
                <w:rFonts w:ascii="Verdana" w:hAnsi="Verdana" w:cs="Arial"/>
                <w:strike/>
                <w:color w:val="FF0000"/>
                <w:sz w:val="18"/>
                <w:szCs w:val="18"/>
                <w:lang w:eastAsia="ar-SA"/>
              </w:rPr>
              <w:t>, zdjęć makroskopowych</w:t>
            </w:r>
            <w:r w:rsidRPr="00F37EFC">
              <w:rPr>
                <w:rFonts w:ascii="Verdana" w:hAnsi="Verdana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do zdalnej oceny</w:t>
            </w:r>
          </w:p>
        </w:tc>
        <w:tc>
          <w:tcPr>
            <w:tcW w:w="2070" w:type="dxa"/>
          </w:tcPr>
          <w:p w14:paraId="2139C53D" w14:textId="7999DE7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DF2736D" w14:textId="77777777" w:rsidTr="000B2073">
        <w:tc>
          <w:tcPr>
            <w:tcW w:w="516" w:type="dxa"/>
          </w:tcPr>
          <w:p w14:paraId="6CDE4C6E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5567" w:type="dxa"/>
          </w:tcPr>
          <w:p w14:paraId="27270270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="Arial"/>
                <w:strike/>
                <w:color w:val="FF0000"/>
                <w:sz w:val="18"/>
                <w:szCs w:val="18"/>
                <w:lang w:eastAsia="ar-SA"/>
              </w:rPr>
              <w:t xml:space="preserve">Otwarta platforma umożliwiająca integrację z systemami szpitalnymi i laboratoryjnymi ( klasy LIS).Wymagane dostarczenie na życzenie Zamawiającego API integracyjnego dla platformy. </w:t>
            </w:r>
          </w:p>
        </w:tc>
        <w:tc>
          <w:tcPr>
            <w:tcW w:w="2070" w:type="dxa"/>
          </w:tcPr>
          <w:p w14:paraId="1E953A83" w14:textId="1EF75F02" w:rsidR="000B2073" w:rsidRPr="00F37EFC" w:rsidRDefault="000B2073" w:rsidP="000B2073">
            <w:pPr>
              <w:rPr>
                <w:rFonts w:ascii="Verdana" w:hAnsi="Verdana" w:cs="Arial"/>
                <w:strike/>
                <w:color w:val="FF0000"/>
                <w:sz w:val="18"/>
                <w:szCs w:val="18"/>
                <w:lang w:eastAsia="ar-SA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2FD1A77" w14:textId="77777777" w:rsidTr="000B2073">
        <w:tc>
          <w:tcPr>
            <w:tcW w:w="516" w:type="dxa"/>
          </w:tcPr>
          <w:p w14:paraId="3943138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8.</w:t>
            </w:r>
          </w:p>
        </w:tc>
        <w:tc>
          <w:tcPr>
            <w:tcW w:w="5567" w:type="dxa"/>
          </w:tcPr>
          <w:p w14:paraId="5D50462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Zintegrowana webowa przeglądarka slajdów histopatologicznych</w:t>
            </w:r>
          </w:p>
        </w:tc>
        <w:tc>
          <w:tcPr>
            <w:tcW w:w="2070" w:type="dxa"/>
          </w:tcPr>
          <w:p w14:paraId="6BA13863" w14:textId="13048DFF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23D0AC2" w14:textId="77777777" w:rsidTr="000B2073">
        <w:tc>
          <w:tcPr>
            <w:tcW w:w="516" w:type="dxa"/>
          </w:tcPr>
          <w:p w14:paraId="62ECFB4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9.</w:t>
            </w:r>
          </w:p>
        </w:tc>
        <w:tc>
          <w:tcPr>
            <w:tcW w:w="5567" w:type="dxa"/>
          </w:tcPr>
          <w:p w14:paraId="3871C2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dostępu do systemu dla zdefiniowanej przez administratora liczby jednostek współpracujących</w:t>
            </w:r>
          </w:p>
        </w:tc>
        <w:tc>
          <w:tcPr>
            <w:tcW w:w="2070" w:type="dxa"/>
          </w:tcPr>
          <w:p w14:paraId="7F3B551C" w14:textId="30C820F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8BC00A3" w14:textId="77777777" w:rsidTr="000B2073">
        <w:tc>
          <w:tcPr>
            <w:tcW w:w="516" w:type="dxa"/>
          </w:tcPr>
          <w:p w14:paraId="1AD28A6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567" w:type="dxa"/>
          </w:tcPr>
          <w:p w14:paraId="1A1511D3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 xml:space="preserve">Możliwość szybkiego wyszukiwania slajdów w oparciu o dołączone do skanów informacje ( np. rodzaj barwienia, data, nazwa, własne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</w:rPr>
              <w:t>tagi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35599528" w14:textId="3CEE845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97778CA" w14:textId="77777777" w:rsidTr="000B2073">
        <w:tc>
          <w:tcPr>
            <w:tcW w:w="516" w:type="dxa"/>
          </w:tcPr>
          <w:p w14:paraId="6F7156A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6A159ADB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Dostęp do platformy w oparciu o nazwy użytkowników i hasła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E2B646" w14:textId="2556D8B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5B15973" w14:textId="77777777" w:rsidTr="000B2073">
        <w:tc>
          <w:tcPr>
            <w:tcW w:w="516" w:type="dxa"/>
          </w:tcPr>
          <w:p w14:paraId="2761C3A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6C9C01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Możliwość nanoszenia oznaczeń i pomiarów na zeskanowanych preparatach z możliwością blokowania ich edycji dla określonych użytkowników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802277B" w14:textId="0FC3B9C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CC9C4B0" w14:textId="77777777" w:rsidTr="000B2073">
        <w:tc>
          <w:tcPr>
            <w:tcW w:w="516" w:type="dxa"/>
          </w:tcPr>
          <w:p w14:paraId="3FC15A5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5567" w:type="dxa"/>
          </w:tcPr>
          <w:p w14:paraId="77B43D2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Całkowicie sieciowa i niezależna platforma oprogramowania umożliwiająca dostęp do zeskanowanych preparatów przez przeglądarkę internetową bez konieczności instalowania dodatkowych aplikacji lub plug-in</w:t>
            </w:r>
          </w:p>
        </w:tc>
        <w:tc>
          <w:tcPr>
            <w:tcW w:w="2070" w:type="dxa"/>
          </w:tcPr>
          <w:p w14:paraId="589A26A7" w14:textId="62BB832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6B1A0E" w14:textId="77777777" w:rsidTr="000B2073">
        <w:tc>
          <w:tcPr>
            <w:tcW w:w="516" w:type="dxa"/>
          </w:tcPr>
          <w:p w14:paraId="538B5C9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567" w:type="dxa"/>
          </w:tcPr>
          <w:p w14:paraId="246CFA9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Kompatybilność platformy z przeglądarkami: chrome, Edge,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Firefox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, safari, bez konieczności instalowania dodatkowych aplikacji lub plug-in</w:t>
            </w:r>
          </w:p>
        </w:tc>
        <w:tc>
          <w:tcPr>
            <w:tcW w:w="2070" w:type="dxa"/>
          </w:tcPr>
          <w:p w14:paraId="03D5F029" w14:textId="4EA24F6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8BAE857" w14:textId="77777777" w:rsidTr="000B2073">
        <w:tc>
          <w:tcPr>
            <w:tcW w:w="516" w:type="dxa"/>
          </w:tcPr>
          <w:p w14:paraId="44D357AA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15</w:t>
            </w:r>
          </w:p>
        </w:tc>
        <w:tc>
          <w:tcPr>
            <w:tcW w:w="5567" w:type="dxa"/>
          </w:tcPr>
          <w:p w14:paraId="7AD6E0A8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="Arial"/>
                <w:strike/>
                <w:color w:val="FF0000"/>
                <w:kern w:val="144"/>
                <w:sz w:val="18"/>
                <w:szCs w:val="18"/>
              </w:rPr>
              <w:t>Zabezpieczenie przed wgraniem niedozwolonych typów plików do platformy realizowane poprzez definiowanie dozwolonych typów plików</w:t>
            </w:r>
          </w:p>
        </w:tc>
        <w:tc>
          <w:tcPr>
            <w:tcW w:w="2070" w:type="dxa"/>
          </w:tcPr>
          <w:p w14:paraId="20758D50" w14:textId="43CDB22F" w:rsidR="000B2073" w:rsidRPr="00F37EFC" w:rsidRDefault="000B2073" w:rsidP="000B2073">
            <w:pPr>
              <w:rPr>
                <w:rFonts w:ascii="Verdana" w:hAnsi="Verdana" w:cs="Arial"/>
                <w:strike/>
                <w:color w:val="FF0000"/>
                <w:kern w:val="144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160875" w14:textId="77777777" w:rsidTr="000B2073">
        <w:tc>
          <w:tcPr>
            <w:tcW w:w="516" w:type="dxa"/>
          </w:tcPr>
          <w:p w14:paraId="157026E0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16</w:t>
            </w:r>
          </w:p>
        </w:tc>
        <w:tc>
          <w:tcPr>
            <w:tcW w:w="5567" w:type="dxa"/>
          </w:tcPr>
          <w:p w14:paraId="0A902DFA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Możliwość uruchomienia przeglądarki obrazów w trybie pełnoekranowym</w:t>
            </w:r>
          </w:p>
        </w:tc>
        <w:tc>
          <w:tcPr>
            <w:tcW w:w="2070" w:type="dxa"/>
          </w:tcPr>
          <w:p w14:paraId="5840980D" w14:textId="453987A5" w:rsidR="000B2073" w:rsidRPr="00F37EFC" w:rsidRDefault="000B2073" w:rsidP="000B2073">
            <w:pPr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1CFB773" w14:textId="77777777" w:rsidTr="000B2073">
        <w:tc>
          <w:tcPr>
            <w:tcW w:w="516" w:type="dxa"/>
          </w:tcPr>
          <w:p w14:paraId="054F534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567" w:type="dxa"/>
          </w:tcPr>
          <w:p w14:paraId="4F39F44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Możliwość przełączenia się między standardowymi zdefiniowanymi wartościami powiększeń (np. 2,5x; 5x 10x; 20x; 40x)</w:t>
            </w:r>
          </w:p>
        </w:tc>
        <w:tc>
          <w:tcPr>
            <w:tcW w:w="2070" w:type="dxa"/>
          </w:tcPr>
          <w:p w14:paraId="7D5C1CF4" w14:textId="4B15A539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CF820AD" w14:textId="77777777" w:rsidTr="000B2073">
        <w:tc>
          <w:tcPr>
            <w:tcW w:w="516" w:type="dxa"/>
          </w:tcPr>
          <w:p w14:paraId="28BD858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5567" w:type="dxa"/>
          </w:tcPr>
          <w:p w14:paraId="09B8623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Obsługa obrazów wielowarstwowych typu z-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stack</w:t>
            </w:r>
            <w:proofErr w:type="spellEnd"/>
          </w:p>
        </w:tc>
        <w:tc>
          <w:tcPr>
            <w:tcW w:w="2070" w:type="dxa"/>
          </w:tcPr>
          <w:p w14:paraId="019C871D" w14:textId="18706535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DAFF0CD" w14:textId="77777777" w:rsidTr="000B2073">
        <w:tc>
          <w:tcPr>
            <w:tcW w:w="516" w:type="dxa"/>
          </w:tcPr>
          <w:p w14:paraId="060A6F1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59543CB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dostępu dla użytkowników do poszczególnych slajdów lub folderów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AAFCC6" w14:textId="2AE7728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E6E92B" w14:textId="77777777" w:rsidTr="000B2073">
        <w:tc>
          <w:tcPr>
            <w:tcW w:w="516" w:type="dxa"/>
          </w:tcPr>
          <w:p w14:paraId="51B5BD2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4425F1A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prawa do wyświetlania etykiety slajdu dla określonych grup użytkowników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B4A33A" w14:textId="0C2086F3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328EC5E" w14:textId="77777777" w:rsidTr="000B2073">
        <w:tc>
          <w:tcPr>
            <w:tcW w:w="516" w:type="dxa"/>
          </w:tcPr>
          <w:p w14:paraId="1F8C15A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5C26707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katalogowania slajdów w foldery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B58129" w14:textId="56E5C1B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A131B1A" w14:textId="77777777" w:rsidTr="000B2073">
        <w:tc>
          <w:tcPr>
            <w:tcW w:w="516" w:type="dxa"/>
          </w:tcPr>
          <w:p w14:paraId="6400B04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0976B33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blokowania slajdów tylko do przeglądania dla określonych grup użytkowników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C5F34A" w14:textId="47454E1D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D0EDCC6" w14:textId="77777777" w:rsidTr="000B2073">
        <w:tc>
          <w:tcPr>
            <w:tcW w:w="516" w:type="dxa"/>
          </w:tcPr>
          <w:p w14:paraId="3A03774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3203DFE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automatycznej publikacji slajdów zapisanych w określonym folderze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B12CC1" w14:textId="48D2970F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6D70101" w14:textId="77777777" w:rsidTr="000B2073">
        <w:tc>
          <w:tcPr>
            <w:tcW w:w="516" w:type="dxa"/>
          </w:tcPr>
          <w:p w14:paraId="3E38910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1B200E5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Możliwość prowadzenia konsultacji jednego przypadku przez kilku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Użytkownikow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równocześnie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D1CDF5" w14:textId="51FA0333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3B60601" w14:textId="77777777" w:rsidTr="000B2073">
        <w:tc>
          <w:tcPr>
            <w:tcW w:w="516" w:type="dxa"/>
          </w:tcPr>
          <w:p w14:paraId="014E446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32A2F05F" w14:textId="77777777" w:rsidR="000B2073" w:rsidRPr="002F70AA" w:rsidRDefault="000B2073" w:rsidP="000B2073">
            <w:pPr>
              <w:pStyle w:val="Bezodstpw1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konta „gość” z ograniczonymi prawami dostępu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EC34E5" w14:textId="7F5992D1" w:rsidR="000B2073" w:rsidRPr="002F70AA" w:rsidRDefault="000B2073" w:rsidP="000B2073">
            <w:pPr>
              <w:pStyle w:val="Bezodstpw1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4EDC32" w14:textId="77777777" w:rsidTr="000B2073">
        <w:tc>
          <w:tcPr>
            <w:tcW w:w="516" w:type="dxa"/>
          </w:tcPr>
          <w:p w14:paraId="4911172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2FB26A55" w14:textId="2C4520E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Dostęp do logu zdarzeń na platformie z możliwością filtracji po czasie i typie zdarzenia.</w:t>
            </w:r>
            <w:r w:rsidR="008F35D2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</w:t>
            </w:r>
            <w:r w:rsidR="008F35D2" w:rsidRPr="00F37EFC">
              <w:rPr>
                <w:rFonts w:ascii="Verdana" w:hAnsi="Verdana" w:cs="Arial"/>
                <w:color w:val="FF0000"/>
                <w:sz w:val="18"/>
                <w:szCs w:val="18"/>
                <w:lang w:eastAsia="ar-SA"/>
              </w:rPr>
              <w:t>Logi mają być dostępne dla użytkownika systemu na poziomie administratora bez konieczności realizacji przeglądania logu zdarzeń przez serwis. Zamawiający chce m.in monitorować czas patologów zaangażowanych w przeglądanie preparatów, a także mieć możliwość identyfikacji osoby odpowiedzialnej za naniesienie wszelkich zmian.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A6065C" w14:textId="2A624D38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E79EF45" w14:textId="77777777" w:rsidTr="000B2073">
        <w:tc>
          <w:tcPr>
            <w:tcW w:w="516" w:type="dxa"/>
          </w:tcPr>
          <w:p w14:paraId="3262762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065AB58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eksportu logu zdarzeń z platformy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F26783" w14:textId="1839296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47DB571A" w14:textId="77777777" w:rsidR="009665BE" w:rsidRDefault="009665BE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47CBC" w14:textId="77777777" w:rsidR="000755A2" w:rsidRPr="002F70AA" w:rsidRDefault="000755A2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019A4" w14:textId="4CE9BF75" w:rsidR="00221F43" w:rsidRPr="002F70AA" w:rsidRDefault="00521E41" w:rsidP="00521E41">
      <w:pPr>
        <w:pStyle w:val="Podtytu"/>
        <w:spacing w:after="120"/>
        <w:jc w:val="left"/>
        <w:rPr>
          <w:rFonts w:ascii="Verdana" w:eastAsia="Verdana" w:hAnsi="Verdana"/>
          <w:color w:val="000000"/>
          <w:spacing w:val="4"/>
          <w:sz w:val="20"/>
        </w:rPr>
      </w:pPr>
      <w:r w:rsidRPr="002F70AA">
        <w:rPr>
          <w:rFonts w:ascii="Verdana" w:hAnsi="Verdana" w:cs="Arial"/>
          <w:sz w:val="20"/>
        </w:rPr>
        <w:t>III. Minimalne parametry gwarancji i serwisu:</w:t>
      </w:r>
    </w:p>
    <w:tbl>
      <w:tblPr>
        <w:tblStyle w:val="Tabelasiatki1jasna1"/>
        <w:tblW w:w="8217" w:type="dxa"/>
        <w:tblLayout w:type="fixed"/>
        <w:tblLook w:val="06A0" w:firstRow="1" w:lastRow="0" w:firstColumn="1" w:lastColumn="0" w:noHBand="1" w:noVBand="1"/>
      </w:tblPr>
      <w:tblGrid>
        <w:gridCol w:w="5807"/>
        <w:gridCol w:w="2410"/>
      </w:tblGrid>
      <w:tr w:rsidR="00521E41" w:rsidRPr="002F70AA" w14:paraId="0A14C829" w14:textId="77777777" w:rsidTr="000B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84A8E54" w14:textId="3786C681" w:rsidR="00521E41" w:rsidRPr="002F70AA" w:rsidRDefault="00521E41" w:rsidP="00293791">
            <w:pPr>
              <w:spacing w:after="280" w:line="280" w:lineRule="exact"/>
              <w:jc w:val="center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Parametry</w:t>
            </w:r>
          </w:p>
        </w:tc>
        <w:tc>
          <w:tcPr>
            <w:tcW w:w="2410" w:type="dxa"/>
          </w:tcPr>
          <w:p w14:paraId="6F4312A4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7B2F0D85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57268F8A" w14:textId="77777777" w:rsidR="00521E41" w:rsidRPr="002F70AA" w:rsidRDefault="00521E41" w:rsidP="0029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D5D9472" w14:textId="77777777" w:rsidR="00521E41" w:rsidRPr="002F70AA" w:rsidRDefault="00521E41" w:rsidP="00293791">
            <w:pPr>
              <w:spacing w:after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521E41" w:rsidRPr="002F70AA" w14:paraId="104523BF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AAC4A81" w14:textId="5A2BEB22" w:rsidR="00521E41" w:rsidRPr="002F70AA" w:rsidRDefault="00716314" w:rsidP="00764C0B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Sprzęt pochodzący z bieżącej produkcji, to jest będzie wyprodukowany nie wcześniej niż 12 (słownie: dwanaście) miesięcy przed terminem Dostawy</w:t>
            </w:r>
          </w:p>
        </w:tc>
        <w:tc>
          <w:tcPr>
            <w:tcW w:w="2410" w:type="dxa"/>
            <w:vAlign w:val="center"/>
          </w:tcPr>
          <w:p w14:paraId="5EB2E697" w14:textId="14448958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5A2C09C1" w14:textId="77777777" w:rsidTr="000B207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35CBDC" w14:textId="26263D91" w:rsidR="00521E41" w:rsidRPr="002F70AA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Pełna instrukcja obsługi w języku polskim lub angielskim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formie </w:t>
            </w:r>
            <w:r w:rsidR="00C93E8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elektronicznej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/papierowej</w:t>
            </w:r>
          </w:p>
        </w:tc>
        <w:tc>
          <w:tcPr>
            <w:tcW w:w="2410" w:type="dxa"/>
            <w:vAlign w:val="center"/>
          </w:tcPr>
          <w:p w14:paraId="42DAAD02" w14:textId="7BE9972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0A32C849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4877AB4" w14:textId="60FD9A19" w:rsidR="00EA63C5" w:rsidRPr="002F70AA" w:rsidRDefault="00521E41" w:rsidP="00EA63C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Gwarancja min. 24 miesięcy na cały oferowany</w:t>
            </w:r>
            <w:r w:rsidR="00ED0D3E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sprzęt wraz z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system</w:t>
            </w:r>
            <w:r w:rsidR="00EA63C5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.</w:t>
            </w:r>
          </w:p>
          <w:p w14:paraId="27135368" w14:textId="0D75E0EC" w:rsidR="00521E41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bookmarkStart w:id="1" w:name="_Hlk163126944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W okresie gwarancyjnym Wykonawca przeprowadzi dwa pełne przeglądy techniczne dostarczonego sprzętu ( w odstępnie maks. 12 m-</w:t>
            </w:r>
            <w:proofErr w:type="spellStart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cy</w:t>
            </w:r>
            <w:proofErr w:type="spellEnd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, przy czym ostatni z nich w ostatnim miesiącu trwania gwarancji) obejmujące dostawę i wymianę materiałów eksploatacyjnych </w:t>
            </w:r>
            <w:bookmarkEnd w:id="1"/>
          </w:p>
        </w:tc>
        <w:tc>
          <w:tcPr>
            <w:tcW w:w="2410" w:type="dxa"/>
            <w:vAlign w:val="center"/>
          </w:tcPr>
          <w:p w14:paraId="2B7387F0" w14:textId="4B59007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4ED3968D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4337AC" w14:textId="77777777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Serwis pierwszego kontaktu w języku polskim</w:t>
            </w:r>
          </w:p>
          <w:p w14:paraId="68BBB1A6" w14:textId="6184E682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lastRenderedPageBreak/>
              <w:t>Czas reakcji autoryzowanego serwisu od momentu zgłoszenia w dowolnej formie (e-mail lub zgłoszenie serwisowe) w przypadku awarii do 48 h</w:t>
            </w:r>
            <w:r w:rsidR="00F077E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, z zastrzeżeniem że serwis gwarancyjny będzie świadczony zgodnie z załącznikiem nr 4 do Umowy.</w:t>
            </w:r>
          </w:p>
          <w:p w14:paraId="2816551B" w14:textId="489FD15B" w:rsidR="00FD0C44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Maksymalny czas usunięcia awarii: 14 dni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roboczych 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od momentu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diagnozy problemu/usterki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dowolnej formie (e-mail lub zgłoszenie serwisowe) </w:t>
            </w:r>
            <w:r w:rsidR="00FD0C4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Maksymalna liczba napraw powodująca wymianę podzespołu na nowy: 2</w:t>
            </w:r>
            <w:r w:rsidR="00902CB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(zgodnie z zapisami zał. nr 4 do umowy)</w:t>
            </w:r>
          </w:p>
        </w:tc>
        <w:tc>
          <w:tcPr>
            <w:tcW w:w="2410" w:type="dxa"/>
            <w:vAlign w:val="center"/>
          </w:tcPr>
          <w:p w14:paraId="7BCBA706" w14:textId="5038E54F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521E41" w:rsidRPr="002F70AA" w14:paraId="2CEDBA03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D4ADFD5" w14:textId="447BDB4D" w:rsidR="00521E41" w:rsidRPr="002F70AA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Szkolenie obsługowe wykonywane przez inżyniera serwisowego oraz aplikacyjne</w:t>
            </w:r>
            <w:r w:rsidR="00AD20AA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dla </w:t>
            </w:r>
            <w:r w:rsidR="00A755F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minimum 5 osób, 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wykon</w:t>
            </w:r>
            <w:r w:rsidR="007938D2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ane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przez specjalistę aplikacyjnego producenta (</w:t>
            </w:r>
            <w:r w:rsidR="00D41F41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Wykonawca uzgodni planowany termin realizacji przeprowadzenia szkolenia z obsługi ww. Sprzętu z Zamawiającym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3C79EFB5" w14:textId="112CBAF8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4AD755FE" w14:textId="77777777" w:rsidR="00521E41" w:rsidRPr="002F70AA" w:rsidRDefault="00521E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A9BB118" w14:textId="5A0170A4" w:rsidR="00D41F41" w:rsidRPr="002F70AA" w:rsidRDefault="00D41F41" w:rsidP="00D41F41">
      <w:pPr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Przedmiot zamówienia obejmuje Transport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rozładunek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i instalację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siedzib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ie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Zamawiającego (Sieć Badawcza Łukasiewicz – PORT Polski Ośrodek Rozwoju Technologii, 54-066 Wrocław, ul. </w:t>
      </w:r>
      <w:proofErr w:type="spellStart"/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Stabłowicka</w:t>
      </w:r>
      <w:proofErr w:type="spellEnd"/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147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, budynek C pokój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: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1.</w:t>
      </w:r>
      <w:r w:rsidR="004B07E9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08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oraz</w:t>
      </w:r>
      <w:r w:rsidR="000755A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-1.46</w:t>
      </w:r>
    </w:p>
    <w:p w14:paraId="4F0746D1" w14:textId="77777777" w:rsidR="00D41F41" w:rsidRPr="002F70AA" w:rsidRDefault="00D41F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461BF31" w14:textId="51F82246" w:rsidR="00923C41" w:rsidRPr="002F70AA" w:rsidRDefault="00221F43" w:rsidP="00CC1694">
      <w:pPr>
        <w:suppressAutoHyphens/>
        <w:spacing w:after="0" w:line="276" w:lineRule="auto"/>
        <w:ind w:left="-284" w:right="-369" w:firstLine="1"/>
        <w:jc w:val="both"/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</w:pP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>Formularz oferty musi być opatrzony</w:t>
      </w:r>
      <w:r w:rsidR="004B07E9"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podpisem</w:t>
      </w: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przez osobę lub osoby uprawnione do reprezentowania Wykonawcy kwalifikowanym podpisem elektronicznym </w:t>
      </w:r>
    </w:p>
    <w:p w14:paraId="7594AB05" w14:textId="77777777" w:rsidR="007A18EF" w:rsidRPr="002F70AA" w:rsidRDefault="007A18EF" w:rsidP="00FD1A32">
      <w:pPr>
        <w:suppressAutoHyphens/>
        <w:spacing w:after="0" w:line="276" w:lineRule="auto"/>
        <w:ind w:right="-369"/>
        <w:jc w:val="both"/>
        <w:rPr>
          <w:rFonts w:ascii="Verdana" w:hAnsi="Verdana"/>
        </w:rPr>
      </w:pPr>
    </w:p>
    <w:sectPr w:rsidR="007A18EF" w:rsidRPr="002F70A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0E15" w14:textId="77777777" w:rsidR="00A02B4A" w:rsidRDefault="00A02B4A" w:rsidP="00116F1F">
      <w:pPr>
        <w:spacing w:after="0" w:line="240" w:lineRule="auto"/>
      </w:pPr>
      <w:r>
        <w:separator/>
      </w:r>
    </w:p>
  </w:endnote>
  <w:endnote w:type="continuationSeparator" w:id="0">
    <w:p w14:paraId="4C4BFA2A" w14:textId="77777777" w:rsidR="00A02B4A" w:rsidRDefault="00A02B4A" w:rsidP="0011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D00993" w14:textId="77777777" w:rsidR="00E2329E" w:rsidRDefault="00E2329E" w:rsidP="00E2329E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E2329E" w:rsidRPr="00692205" w14:paraId="66B0AFC1" w14:textId="77777777" w:rsidTr="00E66D36">
              <w:trPr>
                <w:trHeight w:val="802"/>
              </w:trPr>
              <w:tc>
                <w:tcPr>
                  <w:tcW w:w="4111" w:type="dxa"/>
                  <w:tcBorders>
                    <w:right w:val="single" w:sz="12" w:space="0" w:color="44546A" w:themeColor="text2"/>
                  </w:tcBorders>
                  <w:vAlign w:val="center"/>
                </w:tcPr>
                <w:p w14:paraId="5F0C0951" w14:textId="77777777" w:rsidR="00E2329E" w:rsidRPr="004C35DC" w:rsidRDefault="00E2329E" w:rsidP="00E2329E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 w:rsidRPr="004C35DC">
                    <w:rPr>
                      <w:noProof/>
                      <w:color w:val="595959" w:themeColor="text1" w:themeTint="A6"/>
                    </w:rPr>
                    <w:drawing>
                      <wp:inline distT="0" distB="0" distL="0" distR="0" wp14:anchorId="4ED4E65C" wp14:editId="58964198">
                        <wp:extent cx="1562261" cy="854961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215" cy="894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44546A" w:themeColor="text2"/>
                  </w:tcBorders>
                  <w:vAlign w:val="center"/>
                </w:tcPr>
                <w:p w14:paraId="6BCE5C1D" w14:textId="77777777" w:rsidR="00E2329E" w:rsidRPr="004C35DC" w:rsidRDefault="00E2329E" w:rsidP="00E2329E">
                  <w:pPr>
                    <w:pStyle w:val="Stopka"/>
                    <w:rPr>
                      <w:b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”Utworzenie i rozwój zintegrowanego systemu do analizy i zarządzania ustrukturyzowanymi danymi klinicznymi i </w:t>
                  </w:r>
                  <w:proofErr w:type="spellStart"/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multiomicznymi</w:t>
                  </w:r>
                  <w:proofErr w:type="spellEnd"/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 w oparciu o sztuczną inteligencję w chorobach cywilizacyjnych", finansowany 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z budżetu państwa przez Agencję Badań Medycznych, 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w ramach programu "Tworzenie i rozwój Regionalnych Centrów Medycyny Cyfrowej" na podstawie umowy nr 2023/ABM/02/00005 - 00.</w:t>
                  </w:r>
                </w:p>
              </w:tc>
            </w:tr>
          </w:tbl>
          <w:p w14:paraId="23537C9F" w14:textId="77777777" w:rsidR="00E2329E" w:rsidRDefault="00E2329E" w:rsidP="00E2329E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E2329E" w:rsidRPr="004C35DC" w14:paraId="074DB8E3" w14:textId="77777777" w:rsidTr="00E66D36">
              <w:trPr>
                <w:trHeight w:val="647"/>
              </w:trPr>
              <w:tc>
                <w:tcPr>
                  <w:tcW w:w="4111" w:type="dxa"/>
                  <w:tcBorders>
                    <w:right w:val="single" w:sz="12" w:space="0" w:color="44546A" w:themeColor="text2"/>
                  </w:tcBorders>
                  <w:vAlign w:val="center"/>
                </w:tcPr>
                <w:p w14:paraId="54E09CC1" w14:textId="77777777" w:rsidR="00E2329E" w:rsidRDefault="00E2329E" w:rsidP="00E2329E">
                  <w:pPr>
                    <w:pStyle w:val="Stopka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75F4CD2" wp14:editId="3E12DDA5">
                        <wp:extent cx="2384755" cy="201578"/>
                        <wp:effectExtent l="0" t="0" r="0" b="8255"/>
                        <wp:docPr id="947753211" name="Obraz 1" descr="Obraz zawierający tekst, Czcionka, Grafika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7753211" name="Obraz 1" descr="Obraz zawierający tekst, Czcionka, Grafika, projekt graficzny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076" cy="22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44546A" w:themeColor="text2"/>
                  </w:tcBorders>
                  <w:vAlign w:val="center"/>
                </w:tcPr>
                <w:p w14:paraId="47EA6C68" w14:textId="77777777" w:rsidR="00E2329E" w:rsidRPr="004C35DC" w:rsidRDefault="00E2329E" w:rsidP="00E2329E">
                  <w:pPr>
                    <w:pStyle w:val="Stopka"/>
                    <w:rPr>
                      <w:b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Projekt został sfinansowany ze środków Narodowego Centrum Nauki przyznanych na podstawie decyzji nr DEC-2022/47/B/NZ4/01719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3EF57FC4" w14:textId="77777777" w:rsidR="00521E41" w:rsidRDefault="00521E41">
            <w:pPr>
              <w:pStyle w:val="Stopka"/>
            </w:pPr>
          </w:p>
          <w:p w14:paraId="49827F5D" w14:textId="77777777" w:rsidR="00175E21" w:rsidRDefault="002A388E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CF7A4" w14:textId="77777777" w:rsidR="00175E21" w:rsidRDefault="002A388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F1A8955" wp14:editId="581348A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6D8545D" wp14:editId="6429581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B9A09" w14:textId="77777777" w:rsidR="00175E21" w:rsidRDefault="002A388E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D114029" w14:textId="458AF72C" w:rsidR="00175E21" w:rsidRDefault="002A388E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69D72628" w14:textId="77777777" w:rsidR="00175E21" w:rsidRPr="005558B4" w:rsidRDefault="002A388E" w:rsidP="00A4666C">
                          <w:pPr>
                            <w:pStyle w:val="LukStopka-adres"/>
                          </w:pPr>
                          <w:r w:rsidRPr="005558B4">
                            <w:t>E-mail: biuro@port.lukasiewicz.gov.pl | NIP: 894 314 05 23, REGON: 386585168</w:t>
                          </w:r>
                        </w:p>
                        <w:p w14:paraId="7DDFAE62" w14:textId="77777777" w:rsidR="00175E21" w:rsidRDefault="002A388E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931EE59" w14:textId="77777777" w:rsidR="00175E21" w:rsidRPr="00ED7972" w:rsidRDefault="002A388E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854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9BB9A09" w14:textId="77777777" w:rsidR="00175E21" w:rsidRDefault="002A388E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D114029" w14:textId="458AF72C" w:rsidR="00175E21" w:rsidRDefault="002A388E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69D72628" w14:textId="77777777" w:rsidR="00175E21" w:rsidRPr="005558B4" w:rsidRDefault="002A388E" w:rsidP="00A4666C">
                    <w:pPr>
                      <w:pStyle w:val="LukStopka-adres"/>
                    </w:pPr>
                    <w:r w:rsidRPr="005558B4">
                      <w:t>E-mail: biuro@port.lukasiewicz.gov.pl | NIP: 894 314 05 23, REGON: 386585168</w:t>
                    </w:r>
                  </w:p>
                  <w:p w14:paraId="7DDFAE62" w14:textId="77777777" w:rsidR="00175E21" w:rsidRDefault="002A388E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931EE59" w14:textId="77777777" w:rsidR="00175E21" w:rsidRPr="00ED7972" w:rsidRDefault="002A388E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46D" w14:textId="77777777" w:rsidR="00175E21" w:rsidRPr="00D06D36" w:rsidRDefault="002A388E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BE01" w14:textId="77777777" w:rsidR="00A02B4A" w:rsidRDefault="00A02B4A" w:rsidP="00116F1F">
      <w:pPr>
        <w:spacing w:after="0" w:line="240" w:lineRule="auto"/>
      </w:pPr>
      <w:r>
        <w:separator/>
      </w:r>
    </w:p>
  </w:footnote>
  <w:footnote w:type="continuationSeparator" w:id="0">
    <w:p w14:paraId="30C9BE26" w14:textId="77777777" w:rsidR="00A02B4A" w:rsidRDefault="00A02B4A" w:rsidP="0011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2D7" w14:textId="479030EE" w:rsidR="00175E21" w:rsidRDefault="002A388E">
    <w:pPr>
      <w:pStyle w:val="Nagwek1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4F327A93" wp14:editId="01B1FBB9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63E96"/>
    <w:multiLevelType w:val="hybridMultilevel"/>
    <w:tmpl w:val="7590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099"/>
    <w:multiLevelType w:val="hybridMultilevel"/>
    <w:tmpl w:val="D102CBE6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" w15:restartNumberingAfterBreak="0">
    <w:nsid w:val="146D45C0"/>
    <w:multiLevelType w:val="hybridMultilevel"/>
    <w:tmpl w:val="1C007464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A01CCD56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814"/>
    <w:multiLevelType w:val="hybridMultilevel"/>
    <w:tmpl w:val="F6187AA8"/>
    <w:lvl w:ilvl="0" w:tplc="0F5448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1F72"/>
    <w:multiLevelType w:val="hybridMultilevel"/>
    <w:tmpl w:val="095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832"/>
    <w:multiLevelType w:val="hybridMultilevel"/>
    <w:tmpl w:val="D1BCB0E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32517BDF"/>
    <w:multiLevelType w:val="hybridMultilevel"/>
    <w:tmpl w:val="557E4D5C"/>
    <w:lvl w:ilvl="0" w:tplc="91804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82A"/>
    <w:multiLevelType w:val="hybridMultilevel"/>
    <w:tmpl w:val="F790183C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6A09"/>
    <w:multiLevelType w:val="hybridMultilevel"/>
    <w:tmpl w:val="F0102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E0F"/>
    <w:multiLevelType w:val="hybridMultilevel"/>
    <w:tmpl w:val="2FCC096A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1CBC"/>
    <w:multiLevelType w:val="hybridMultilevel"/>
    <w:tmpl w:val="318E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E6B2C"/>
    <w:multiLevelType w:val="hybridMultilevel"/>
    <w:tmpl w:val="913E95E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734E"/>
    <w:multiLevelType w:val="hybridMultilevel"/>
    <w:tmpl w:val="AD2E3AD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239F6"/>
    <w:multiLevelType w:val="hybridMultilevel"/>
    <w:tmpl w:val="8E168592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256B"/>
    <w:multiLevelType w:val="hybridMultilevel"/>
    <w:tmpl w:val="8C5874D0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D98A2398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516E"/>
    <w:multiLevelType w:val="hybridMultilevel"/>
    <w:tmpl w:val="7334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011E"/>
    <w:multiLevelType w:val="hybridMultilevel"/>
    <w:tmpl w:val="C5722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C566A"/>
    <w:multiLevelType w:val="hybridMultilevel"/>
    <w:tmpl w:val="B3FE9A5E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B0DE9"/>
    <w:multiLevelType w:val="hybridMultilevel"/>
    <w:tmpl w:val="CD9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3F39"/>
    <w:multiLevelType w:val="hybridMultilevel"/>
    <w:tmpl w:val="67162074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75F24"/>
    <w:multiLevelType w:val="hybridMultilevel"/>
    <w:tmpl w:val="83722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644D0"/>
    <w:multiLevelType w:val="hybridMultilevel"/>
    <w:tmpl w:val="414C7F1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087B"/>
    <w:multiLevelType w:val="hybridMultilevel"/>
    <w:tmpl w:val="AF12C8FE"/>
    <w:lvl w:ilvl="0" w:tplc="EE802C52">
      <w:numFmt w:val="bullet"/>
      <w:lvlText w:val="•"/>
      <w:lvlJc w:val="left"/>
      <w:pPr>
        <w:ind w:left="1312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B3492"/>
    <w:multiLevelType w:val="hybridMultilevel"/>
    <w:tmpl w:val="F010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39D1"/>
    <w:multiLevelType w:val="hybridMultilevel"/>
    <w:tmpl w:val="68BEBA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343FE0"/>
    <w:multiLevelType w:val="hybridMultilevel"/>
    <w:tmpl w:val="49C20A9C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64988">
    <w:abstractNumId w:val="4"/>
  </w:num>
  <w:num w:numId="2" w16cid:durableId="1671637639">
    <w:abstractNumId w:val="19"/>
  </w:num>
  <w:num w:numId="3" w16cid:durableId="10758563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560941870">
    <w:abstractNumId w:val="16"/>
  </w:num>
  <w:num w:numId="5" w16cid:durableId="1081371303">
    <w:abstractNumId w:val="1"/>
  </w:num>
  <w:num w:numId="6" w16cid:durableId="264265557">
    <w:abstractNumId w:val="2"/>
  </w:num>
  <w:num w:numId="7" w16cid:durableId="1933782089">
    <w:abstractNumId w:val="6"/>
  </w:num>
  <w:num w:numId="8" w16cid:durableId="878591885">
    <w:abstractNumId w:val="18"/>
  </w:num>
  <w:num w:numId="9" w16cid:durableId="1244215902">
    <w:abstractNumId w:val="8"/>
  </w:num>
  <w:num w:numId="10" w16cid:durableId="302733986">
    <w:abstractNumId w:val="14"/>
  </w:num>
  <w:num w:numId="11" w16cid:durableId="1912882303">
    <w:abstractNumId w:val="3"/>
  </w:num>
  <w:num w:numId="12" w16cid:durableId="382801644">
    <w:abstractNumId w:val="15"/>
  </w:num>
  <w:num w:numId="13" w16cid:durableId="1530799474">
    <w:abstractNumId w:val="22"/>
  </w:num>
  <w:num w:numId="14" w16cid:durableId="1400324597">
    <w:abstractNumId w:val="21"/>
  </w:num>
  <w:num w:numId="15" w16cid:durableId="167142998">
    <w:abstractNumId w:val="26"/>
  </w:num>
  <w:num w:numId="16" w16cid:durableId="615717465">
    <w:abstractNumId w:val="20"/>
  </w:num>
  <w:num w:numId="17" w16cid:durableId="51580237">
    <w:abstractNumId w:val="23"/>
  </w:num>
  <w:num w:numId="18" w16cid:durableId="1417435155">
    <w:abstractNumId w:val="11"/>
  </w:num>
  <w:num w:numId="19" w16cid:durableId="1889993001">
    <w:abstractNumId w:val="12"/>
  </w:num>
  <w:num w:numId="20" w16cid:durableId="776490324">
    <w:abstractNumId w:val="10"/>
  </w:num>
  <w:num w:numId="21" w16cid:durableId="441220719">
    <w:abstractNumId w:val="13"/>
  </w:num>
  <w:num w:numId="22" w16cid:durableId="16280384">
    <w:abstractNumId w:val="24"/>
  </w:num>
  <w:num w:numId="23" w16cid:durableId="1395086051">
    <w:abstractNumId w:val="9"/>
  </w:num>
  <w:num w:numId="24" w16cid:durableId="450901230">
    <w:abstractNumId w:val="25"/>
  </w:num>
  <w:num w:numId="25" w16cid:durableId="383410707">
    <w:abstractNumId w:val="17"/>
  </w:num>
  <w:num w:numId="26" w16cid:durableId="1378747712">
    <w:abstractNumId w:val="7"/>
  </w:num>
  <w:num w:numId="27" w16cid:durableId="11240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43"/>
    <w:rsid w:val="000755A2"/>
    <w:rsid w:val="00096B82"/>
    <w:rsid w:val="000B2073"/>
    <w:rsid w:val="000C36F5"/>
    <w:rsid w:val="000D1366"/>
    <w:rsid w:val="000F68D3"/>
    <w:rsid w:val="00116F1F"/>
    <w:rsid w:val="00134401"/>
    <w:rsid w:val="001462FF"/>
    <w:rsid w:val="0014716F"/>
    <w:rsid w:val="00173F62"/>
    <w:rsid w:val="00175E21"/>
    <w:rsid w:val="00221DAE"/>
    <w:rsid w:val="00221F43"/>
    <w:rsid w:val="00230D30"/>
    <w:rsid w:val="0025067B"/>
    <w:rsid w:val="00256ED9"/>
    <w:rsid w:val="002A388E"/>
    <w:rsid w:val="002F70AA"/>
    <w:rsid w:val="003029E8"/>
    <w:rsid w:val="0030704E"/>
    <w:rsid w:val="00320A32"/>
    <w:rsid w:val="00331965"/>
    <w:rsid w:val="00333C60"/>
    <w:rsid w:val="0036233A"/>
    <w:rsid w:val="003A3C97"/>
    <w:rsid w:val="00405DED"/>
    <w:rsid w:val="00427554"/>
    <w:rsid w:val="00453E80"/>
    <w:rsid w:val="00463296"/>
    <w:rsid w:val="0048096F"/>
    <w:rsid w:val="004B07E9"/>
    <w:rsid w:val="004C70CA"/>
    <w:rsid w:val="005132A7"/>
    <w:rsid w:val="00521E41"/>
    <w:rsid w:val="00525B5B"/>
    <w:rsid w:val="00535046"/>
    <w:rsid w:val="00554847"/>
    <w:rsid w:val="005558B4"/>
    <w:rsid w:val="005E7A55"/>
    <w:rsid w:val="005F0B3E"/>
    <w:rsid w:val="005F426F"/>
    <w:rsid w:val="0061198E"/>
    <w:rsid w:val="006807E9"/>
    <w:rsid w:val="0068366F"/>
    <w:rsid w:val="006C2ED4"/>
    <w:rsid w:val="00716314"/>
    <w:rsid w:val="00733087"/>
    <w:rsid w:val="007378F0"/>
    <w:rsid w:val="00761257"/>
    <w:rsid w:val="00764C0B"/>
    <w:rsid w:val="007938D2"/>
    <w:rsid w:val="007A18EF"/>
    <w:rsid w:val="00804B2D"/>
    <w:rsid w:val="00843B35"/>
    <w:rsid w:val="0085229C"/>
    <w:rsid w:val="00885E82"/>
    <w:rsid w:val="00891209"/>
    <w:rsid w:val="008E1C0E"/>
    <w:rsid w:val="008E4DB3"/>
    <w:rsid w:val="008F35D2"/>
    <w:rsid w:val="00902CB9"/>
    <w:rsid w:val="00923C41"/>
    <w:rsid w:val="009307D7"/>
    <w:rsid w:val="00963DE7"/>
    <w:rsid w:val="009665BE"/>
    <w:rsid w:val="00972A17"/>
    <w:rsid w:val="009A600E"/>
    <w:rsid w:val="009A748F"/>
    <w:rsid w:val="009E54C1"/>
    <w:rsid w:val="00A02037"/>
    <w:rsid w:val="00A02B4A"/>
    <w:rsid w:val="00A13385"/>
    <w:rsid w:val="00A47ADF"/>
    <w:rsid w:val="00A671FC"/>
    <w:rsid w:val="00A730F2"/>
    <w:rsid w:val="00A755FE"/>
    <w:rsid w:val="00A824AD"/>
    <w:rsid w:val="00AD20AA"/>
    <w:rsid w:val="00AF5F2B"/>
    <w:rsid w:val="00BB6123"/>
    <w:rsid w:val="00BD34C2"/>
    <w:rsid w:val="00BD71EE"/>
    <w:rsid w:val="00BF588C"/>
    <w:rsid w:val="00C260FE"/>
    <w:rsid w:val="00C34CE9"/>
    <w:rsid w:val="00C63457"/>
    <w:rsid w:val="00C93E8E"/>
    <w:rsid w:val="00CA369E"/>
    <w:rsid w:val="00CC034E"/>
    <w:rsid w:val="00CC1694"/>
    <w:rsid w:val="00CC2449"/>
    <w:rsid w:val="00D41F41"/>
    <w:rsid w:val="00D63DB1"/>
    <w:rsid w:val="00D7367C"/>
    <w:rsid w:val="00DA226F"/>
    <w:rsid w:val="00DC7C55"/>
    <w:rsid w:val="00E0446B"/>
    <w:rsid w:val="00E1317E"/>
    <w:rsid w:val="00E131AA"/>
    <w:rsid w:val="00E2329E"/>
    <w:rsid w:val="00E75C8C"/>
    <w:rsid w:val="00E926EB"/>
    <w:rsid w:val="00EA63C5"/>
    <w:rsid w:val="00EC44A4"/>
    <w:rsid w:val="00ED0D3E"/>
    <w:rsid w:val="00F077EE"/>
    <w:rsid w:val="00F108AA"/>
    <w:rsid w:val="00F37EFC"/>
    <w:rsid w:val="00F45CB7"/>
    <w:rsid w:val="00F673BE"/>
    <w:rsid w:val="00FD0C44"/>
    <w:rsid w:val="00FD1A32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FC665A"/>
  <w15:chartTrackingRefBased/>
  <w15:docId w15:val="{E93D313B-0923-4305-91AC-C60F084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43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  <w:jc w:val="both"/>
    </w:pPr>
    <w:rPr>
      <w:color w:val="000000"/>
      <w:spacing w:val="4"/>
      <w:sz w:val="20"/>
    </w:rPr>
  </w:style>
  <w:style w:type="character" w:customStyle="1" w:styleId="NagwekZnak">
    <w:name w:val="Nagłówek Znak"/>
    <w:basedOn w:val="Domylnaczcionkaakapitu"/>
    <w:link w:val="Nagwek1"/>
    <w:uiPriority w:val="99"/>
    <w:rsid w:val="00221F43"/>
    <w:rPr>
      <w:color w:val="000000"/>
      <w:spacing w:val="4"/>
      <w:sz w:val="20"/>
    </w:rPr>
  </w:style>
  <w:style w:type="paragraph" w:customStyle="1" w:styleId="LukStopka-adres">
    <w:name w:val="Luk_Stopka-adres"/>
    <w:basedOn w:val="Normalny"/>
    <w:qFormat/>
    <w:rsid w:val="00221F43"/>
    <w:pPr>
      <w:spacing w:after="0" w:line="170" w:lineRule="exact"/>
    </w:pPr>
    <w:rPr>
      <w:noProof/>
      <w:color w:val="808080"/>
      <w:spacing w:val="4"/>
      <w:kern w:val="0"/>
      <w:sz w:val="14"/>
      <w:szCs w:val="14"/>
      <w14:ligatures w14:val="none"/>
    </w:rPr>
  </w:style>
  <w:style w:type="table" w:customStyle="1" w:styleId="Tabelasiatki1jasna1">
    <w:name w:val="Tabela siatki 1 — jasna1"/>
    <w:basedOn w:val="Standardowy"/>
    <w:uiPriority w:val="46"/>
    <w:rsid w:val="00221F4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21F4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221F43"/>
    <w:pPr>
      <w:spacing w:after="280" w:line="240" w:lineRule="auto"/>
      <w:jc w:val="both"/>
    </w:pPr>
    <w:rPr>
      <w:color w:val="000000"/>
      <w:spacing w:val="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221F43"/>
    <w:rPr>
      <w:color w:val="000000"/>
      <w:spacing w:val="4"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21F43"/>
  </w:style>
  <w:style w:type="paragraph" w:styleId="Tekstkomentarza">
    <w:name w:val="annotation text"/>
    <w:basedOn w:val="Normalny"/>
    <w:link w:val="TekstkomentarzaZnak1"/>
    <w:uiPriority w:val="99"/>
    <w:unhideWhenUsed/>
    <w:rsid w:val="00221F4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21F43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096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33C6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333C60"/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5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E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05D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34C2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rsid w:val="00E75C8C"/>
  </w:style>
  <w:style w:type="character" w:styleId="Uwydatnienie">
    <w:name w:val="Emphasis"/>
    <w:basedOn w:val="Domylnaczcionkaakapitu"/>
    <w:uiPriority w:val="20"/>
    <w:qFormat/>
    <w:rsid w:val="00E75C8C"/>
    <w:rPr>
      <w:i/>
      <w:iCs/>
    </w:rPr>
  </w:style>
  <w:style w:type="table" w:styleId="Tabela-Siatka">
    <w:name w:val="Table Grid"/>
    <w:basedOn w:val="Standardowy"/>
    <w:uiPriority w:val="39"/>
    <w:rsid w:val="00521E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9665B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98AD-9BAD-4C76-A3FC-0F717C9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2951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Chodaczek | Łukasiewicz - PORT</dc:creator>
  <cp:keywords/>
  <dc:description/>
  <cp:lastModifiedBy>Joanna Oczkowicz | Łukasiewicz – PORT</cp:lastModifiedBy>
  <cp:revision>3</cp:revision>
  <dcterms:created xsi:type="dcterms:W3CDTF">2024-05-16T06:57:00Z</dcterms:created>
  <dcterms:modified xsi:type="dcterms:W3CDTF">2024-05-16T07:03:00Z</dcterms:modified>
</cp:coreProperties>
</file>