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14B4" w14:textId="77777777" w:rsidR="00A4278E" w:rsidRPr="007C4BA1" w:rsidRDefault="00A4278E" w:rsidP="00A4278E">
      <w:pPr>
        <w:spacing w:after="0" w:line="259" w:lineRule="auto"/>
        <w:ind w:left="720"/>
        <w:jc w:val="center"/>
        <w:rPr>
          <w:rFonts w:ascii="Verdana" w:hAnsi="Verdana"/>
          <w:b/>
          <w:bCs/>
          <w:szCs w:val="20"/>
        </w:rPr>
      </w:pPr>
      <w:r w:rsidRPr="007C4BA1">
        <w:rPr>
          <w:rFonts w:ascii="Verdana" w:hAnsi="Verdana"/>
          <w:b/>
          <w:bCs/>
          <w:szCs w:val="20"/>
        </w:rPr>
        <w:t>OPIS PRZEDMIOTU ZAMÓWIENIA</w:t>
      </w:r>
    </w:p>
    <w:p w14:paraId="31A12F82" w14:textId="77777777" w:rsidR="00A4278E" w:rsidRPr="00111FEC" w:rsidRDefault="00A4278E" w:rsidP="00A4278E">
      <w:pPr>
        <w:spacing w:after="292" w:line="335" w:lineRule="auto"/>
        <w:ind w:left="715" w:hanging="10"/>
        <w:jc w:val="center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„</w:t>
      </w:r>
      <w:bookmarkStart w:id="0" w:name="_Hlk78354202"/>
      <w:r w:rsidRPr="00111FEC">
        <w:rPr>
          <w:rFonts w:ascii="Verdana" w:hAnsi="Verdana"/>
          <w:szCs w:val="20"/>
        </w:rPr>
        <w:t xml:space="preserve">Świadczenie usług opieki serwisowej nad systemem elektronicznego obiegu dokumentów EOD </w:t>
      </w:r>
      <w:bookmarkEnd w:id="0"/>
      <w:r w:rsidRPr="00111FEC">
        <w:rPr>
          <w:rFonts w:ascii="Verdana" w:hAnsi="Verdana"/>
          <w:b/>
          <w:szCs w:val="20"/>
        </w:rPr>
        <w:t>”</w:t>
      </w:r>
    </w:p>
    <w:p w14:paraId="0FA85A48" w14:textId="4C7875B6" w:rsidR="00A4278E" w:rsidRPr="00111FEC" w:rsidRDefault="00A4278E" w:rsidP="00A4278E">
      <w:pPr>
        <w:spacing w:after="292" w:line="335" w:lineRule="auto"/>
        <w:ind w:left="715" w:hanging="10"/>
        <w:jc w:val="center"/>
        <w:rPr>
          <w:rFonts w:ascii="Verdana" w:hAnsi="Verdana"/>
          <w:b/>
          <w:szCs w:val="20"/>
        </w:rPr>
      </w:pPr>
      <w:r w:rsidRPr="00111FEC">
        <w:rPr>
          <w:rFonts w:ascii="Verdana" w:hAnsi="Verdana"/>
          <w:szCs w:val="20"/>
        </w:rPr>
        <w:t xml:space="preserve">Nr sprawy: </w:t>
      </w:r>
      <w:r w:rsidR="007C4BA1">
        <w:rPr>
          <w:rFonts w:ascii="Verdana" w:hAnsi="Verdana"/>
          <w:szCs w:val="20"/>
        </w:rPr>
        <w:t>PO.271.26.2021</w:t>
      </w:r>
    </w:p>
    <w:p w14:paraId="489C3DA5" w14:textId="261E1BBC" w:rsidR="00A4278E" w:rsidRPr="00111FEC" w:rsidRDefault="00A4278E" w:rsidP="00A4278E">
      <w:pPr>
        <w:spacing w:after="235"/>
        <w:rPr>
          <w:rFonts w:ascii="Verdana" w:hAnsi="Verdana"/>
          <w:szCs w:val="20"/>
        </w:rPr>
      </w:pPr>
      <w:bookmarkStart w:id="1" w:name="_Hlk78354305"/>
      <w:r w:rsidRPr="00111FEC">
        <w:rPr>
          <w:rFonts w:ascii="Verdana" w:hAnsi="Verdana"/>
          <w:szCs w:val="20"/>
        </w:rPr>
        <w:t xml:space="preserve">Przedmiotem zamówienia jest świadczenie usług opieki serwisowej nad systemem elektronicznego obiegu dokumentów EOD </w:t>
      </w:r>
      <w:bookmarkEnd w:id="1"/>
      <w:r w:rsidRPr="00111FEC">
        <w:rPr>
          <w:rFonts w:ascii="Verdana" w:hAnsi="Verdana"/>
          <w:szCs w:val="20"/>
        </w:rPr>
        <w:t>(Dalej</w:t>
      </w:r>
      <w:r w:rsidR="007C4BA1">
        <w:rPr>
          <w:rFonts w:ascii="Verdana" w:hAnsi="Verdana"/>
          <w:szCs w:val="20"/>
        </w:rPr>
        <w:t>: „O</w:t>
      </w:r>
      <w:r w:rsidRPr="00111FEC">
        <w:rPr>
          <w:rFonts w:ascii="Verdana" w:hAnsi="Verdana"/>
          <w:szCs w:val="20"/>
        </w:rPr>
        <w:t>programowanie”).</w:t>
      </w:r>
    </w:p>
    <w:p w14:paraId="2CF5B357" w14:textId="77777777" w:rsidR="00A4278E" w:rsidRPr="00111FEC" w:rsidRDefault="00A4278E" w:rsidP="00A4278E">
      <w:pPr>
        <w:spacing w:after="242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 skład przedmiotu zamówienia wchodzi:</w:t>
      </w:r>
    </w:p>
    <w:p w14:paraId="68EDE69F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Usuwanie błędów Oprogramowania.</w:t>
      </w:r>
    </w:p>
    <w:p w14:paraId="09B54FAF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Konsultacje (udzielanie Zamawiającemu informacji i wyjaśnień) z zakresu funkcjonowania Oprogramowania.</w:t>
      </w:r>
    </w:p>
    <w:p w14:paraId="0BBEB1F6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Przeprowadzenie szkolenia z zakresu funkcjonowania Oprogramowania.</w:t>
      </w:r>
    </w:p>
    <w:p w14:paraId="2DBDE57D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Rozwój Oprogramowania.</w:t>
      </w:r>
    </w:p>
    <w:p w14:paraId="6919ABF2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Integracja z innym oprogramowaniem zamawiającego.</w:t>
      </w:r>
    </w:p>
    <w:p w14:paraId="18E66451" w14:textId="77777777" w:rsidR="00A4278E" w:rsidRPr="00111FEC" w:rsidRDefault="00A4278E" w:rsidP="00A4278E">
      <w:pPr>
        <w:pStyle w:val="Akapitzlist"/>
        <w:numPr>
          <w:ilvl w:val="0"/>
          <w:numId w:val="15"/>
        </w:numPr>
        <w:spacing w:after="242"/>
        <w:ind w:right="0"/>
        <w:rPr>
          <w:szCs w:val="20"/>
        </w:rPr>
      </w:pPr>
      <w:r w:rsidRPr="00111FEC">
        <w:rPr>
          <w:szCs w:val="20"/>
        </w:rPr>
        <w:t>Świadczenie innych usług wskazanych w OPZ, umowie lub załącznikach do Umowy.</w:t>
      </w:r>
    </w:p>
    <w:p w14:paraId="59A34580" w14:textId="77777777" w:rsidR="00A4278E" w:rsidRPr="00111FEC" w:rsidRDefault="00A4278E" w:rsidP="00A4278E">
      <w:pPr>
        <w:spacing w:after="231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Dodatkowe informacje:</w:t>
      </w:r>
    </w:p>
    <w:p w14:paraId="67AE23AD" w14:textId="77777777" w:rsidR="00A4278E" w:rsidRPr="00111FEC" w:rsidRDefault="00A4278E" w:rsidP="00A4278E">
      <w:pPr>
        <w:numPr>
          <w:ilvl w:val="1"/>
          <w:numId w:val="12"/>
        </w:numPr>
        <w:spacing w:after="27" w:line="259" w:lineRule="auto"/>
        <w:ind w:hanging="311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Wykonawca zapewnia stałą gotowość do świadczenia usług.</w:t>
      </w:r>
    </w:p>
    <w:p w14:paraId="1E9B9E6F" w14:textId="77777777" w:rsidR="00A4278E" w:rsidRPr="00111FEC" w:rsidRDefault="00A4278E" w:rsidP="00A4278E">
      <w:pPr>
        <w:numPr>
          <w:ilvl w:val="1"/>
          <w:numId w:val="12"/>
        </w:numPr>
        <w:spacing w:after="27" w:line="259" w:lineRule="auto"/>
        <w:ind w:hanging="311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Wykonawca zobowiązuje się świadczyć usługi co do zasady zdalnie, za pomocą łączy Internetowych i VPN, natomiast w siedzibie Zamawiającego, gdy złożoność, pilność poszczególnych zleceń tego wymaga, o czym Zamawiający uprzedzi Wykonawcę za pośrednictwem adresu e-mail z co najmniej 1-dniowym wyprzedzeniem (jeden dzień roboczy). </w:t>
      </w:r>
    </w:p>
    <w:p w14:paraId="5319C218" w14:textId="25AAB4DE" w:rsidR="00A4278E" w:rsidRPr="00111FEC" w:rsidRDefault="00A4278E" w:rsidP="00A4278E">
      <w:pPr>
        <w:numPr>
          <w:ilvl w:val="1"/>
          <w:numId w:val="12"/>
        </w:numPr>
        <w:spacing w:after="27" w:line="259" w:lineRule="auto"/>
        <w:ind w:hanging="311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Umowa zawarta zostanie na okres 12 miesięcy</w:t>
      </w:r>
      <w:r w:rsidR="007C4BA1">
        <w:rPr>
          <w:rFonts w:ascii="Verdana" w:hAnsi="Verdana"/>
          <w:szCs w:val="20"/>
        </w:rPr>
        <w:t>, licząc od dnia jej zawarcia</w:t>
      </w:r>
      <w:r w:rsidRPr="00111FEC">
        <w:rPr>
          <w:rFonts w:ascii="Verdana" w:hAnsi="Verdana"/>
          <w:szCs w:val="20"/>
        </w:rPr>
        <w:t xml:space="preserve">. </w:t>
      </w:r>
    </w:p>
    <w:p w14:paraId="1E37EE49" w14:textId="77777777" w:rsidR="00A4278E" w:rsidRPr="00111FEC" w:rsidRDefault="00A4278E" w:rsidP="00A4278E">
      <w:pPr>
        <w:numPr>
          <w:ilvl w:val="1"/>
          <w:numId w:val="12"/>
        </w:numPr>
        <w:spacing w:after="27" w:line="259" w:lineRule="auto"/>
        <w:ind w:hanging="311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Usuwanie błędów Oprogramowania</w:t>
      </w:r>
      <w:r w:rsidRPr="00111FEC">
        <w:rPr>
          <w:rFonts w:ascii="Verdana" w:hAnsi="Verdana"/>
          <w:b/>
          <w:szCs w:val="20"/>
        </w:rPr>
        <w:t>:</w:t>
      </w:r>
    </w:p>
    <w:p w14:paraId="62BD18A5" w14:textId="77777777" w:rsidR="00A4278E" w:rsidRPr="00111FEC" w:rsidRDefault="00A4278E" w:rsidP="00A4278E">
      <w:pPr>
        <w:pStyle w:val="Akapitzlist"/>
        <w:ind w:left="1016" w:right="0" w:firstLine="0"/>
        <w:rPr>
          <w:szCs w:val="20"/>
        </w:rPr>
      </w:pPr>
      <w:r w:rsidRPr="00111FEC">
        <w:rPr>
          <w:szCs w:val="20"/>
        </w:rPr>
        <w:t>Zamawiający wymaga:</w:t>
      </w:r>
    </w:p>
    <w:p w14:paraId="0B675FA4" w14:textId="77777777" w:rsidR="00A4278E" w:rsidRPr="00111FEC" w:rsidRDefault="00A4278E" w:rsidP="00A4278E">
      <w:pPr>
        <w:pStyle w:val="Akapitzlist"/>
        <w:numPr>
          <w:ilvl w:val="0"/>
          <w:numId w:val="16"/>
        </w:numPr>
        <w:ind w:right="0"/>
        <w:rPr>
          <w:szCs w:val="20"/>
        </w:rPr>
      </w:pPr>
      <w:r w:rsidRPr="00111FEC">
        <w:rPr>
          <w:szCs w:val="20"/>
        </w:rPr>
        <w:t>Zachowania następujących czasów reakcji:</w:t>
      </w:r>
    </w:p>
    <w:p w14:paraId="17CCC70F" w14:textId="010DECCD" w:rsidR="00A4278E" w:rsidRPr="00111FEC" w:rsidRDefault="00A4278E" w:rsidP="00A4278E">
      <w:pPr>
        <w:pStyle w:val="Akapitzlist"/>
        <w:numPr>
          <w:ilvl w:val="0"/>
          <w:numId w:val="17"/>
        </w:numPr>
        <w:ind w:right="0"/>
        <w:rPr>
          <w:szCs w:val="20"/>
        </w:rPr>
      </w:pPr>
      <w:r w:rsidRPr="00111FEC">
        <w:rPr>
          <w:szCs w:val="20"/>
        </w:rPr>
        <w:t>4 godziny</w:t>
      </w:r>
      <w:r w:rsidR="00AB4DC7">
        <w:rPr>
          <w:szCs w:val="20"/>
        </w:rPr>
        <w:t xml:space="preserve"> robocze</w:t>
      </w:r>
      <w:r w:rsidRPr="00111FEC">
        <w:rPr>
          <w:szCs w:val="20"/>
        </w:rPr>
        <w:t xml:space="preserve"> niezależnie od rodzaju błędu </w:t>
      </w:r>
    </w:p>
    <w:p w14:paraId="25FD51EF" w14:textId="77777777" w:rsidR="00A4278E" w:rsidRPr="00111FEC" w:rsidRDefault="00A4278E" w:rsidP="00A4278E">
      <w:pPr>
        <w:pStyle w:val="Akapitzlist"/>
        <w:numPr>
          <w:ilvl w:val="0"/>
          <w:numId w:val="16"/>
        </w:numPr>
        <w:ind w:right="0"/>
        <w:rPr>
          <w:szCs w:val="20"/>
        </w:rPr>
      </w:pPr>
      <w:r w:rsidRPr="00111FEC">
        <w:rPr>
          <w:szCs w:val="20"/>
        </w:rPr>
        <w:t>Usunięcia błędów w następującym czasie:</w:t>
      </w:r>
    </w:p>
    <w:p w14:paraId="023CFC3E" w14:textId="77777777" w:rsidR="00A4278E" w:rsidRPr="00111FEC" w:rsidRDefault="00A4278E" w:rsidP="00A4278E">
      <w:pPr>
        <w:pStyle w:val="Akapitzlist"/>
        <w:numPr>
          <w:ilvl w:val="0"/>
          <w:numId w:val="17"/>
        </w:numPr>
        <w:ind w:right="0"/>
        <w:rPr>
          <w:szCs w:val="20"/>
        </w:rPr>
      </w:pPr>
      <w:r w:rsidRPr="00111FEC">
        <w:rPr>
          <w:szCs w:val="20"/>
        </w:rPr>
        <w:t>Błąd krytyczny – 3 dni robocze od chwili zgłoszenia</w:t>
      </w:r>
    </w:p>
    <w:p w14:paraId="78A595C3" w14:textId="77777777" w:rsidR="00A4278E" w:rsidRPr="00111FEC" w:rsidRDefault="00A4278E" w:rsidP="00A4278E">
      <w:pPr>
        <w:pStyle w:val="Akapitzlist"/>
        <w:numPr>
          <w:ilvl w:val="0"/>
          <w:numId w:val="17"/>
        </w:numPr>
        <w:ind w:right="0"/>
        <w:rPr>
          <w:szCs w:val="20"/>
        </w:rPr>
      </w:pPr>
      <w:r w:rsidRPr="00111FEC">
        <w:rPr>
          <w:szCs w:val="20"/>
        </w:rPr>
        <w:t>Błąd poważny – 4 dni robocze od chwili zgłoszenia</w:t>
      </w:r>
    </w:p>
    <w:p w14:paraId="036F3F60" w14:textId="77777777" w:rsidR="00A4278E" w:rsidRPr="00111FEC" w:rsidRDefault="00A4278E" w:rsidP="00A4278E">
      <w:pPr>
        <w:pStyle w:val="Akapitzlist"/>
        <w:numPr>
          <w:ilvl w:val="0"/>
          <w:numId w:val="17"/>
        </w:numPr>
        <w:ind w:right="0"/>
        <w:rPr>
          <w:szCs w:val="20"/>
        </w:rPr>
      </w:pPr>
      <w:r w:rsidRPr="00111FEC">
        <w:rPr>
          <w:szCs w:val="20"/>
        </w:rPr>
        <w:t>Błąd niski – 7 dni robocze od chwili zgłoszenia</w:t>
      </w:r>
    </w:p>
    <w:p w14:paraId="5DDEEEB6" w14:textId="77777777" w:rsidR="00A4278E" w:rsidRPr="00111FEC" w:rsidRDefault="00A4278E" w:rsidP="00A4278E">
      <w:pPr>
        <w:pStyle w:val="Akapitzlist"/>
        <w:ind w:left="2456" w:right="0" w:firstLine="0"/>
        <w:rPr>
          <w:szCs w:val="20"/>
        </w:rPr>
      </w:pPr>
      <w:r w:rsidRPr="00111FEC">
        <w:rPr>
          <w:szCs w:val="20"/>
        </w:rPr>
        <w:t>(definicje ww. błędów oraz sposób obliczania czasu naprawy zostały określone w umowie).</w:t>
      </w:r>
    </w:p>
    <w:p w14:paraId="4C7895BB" w14:textId="77777777" w:rsidR="00A4278E" w:rsidRPr="00111FEC" w:rsidRDefault="00A4278E" w:rsidP="00A4278E">
      <w:pPr>
        <w:ind w:left="1065"/>
        <w:rPr>
          <w:rFonts w:ascii="Verdana" w:hAnsi="Verdana"/>
          <w:szCs w:val="20"/>
        </w:rPr>
      </w:pPr>
    </w:p>
    <w:p w14:paraId="49150A10" w14:textId="77777777" w:rsidR="00A4278E" w:rsidRPr="00111FEC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>Konsultacje z zakresu funkcjonowania Oprogramowania.</w:t>
      </w:r>
    </w:p>
    <w:p w14:paraId="472FED91" w14:textId="77777777" w:rsidR="00A4278E" w:rsidRPr="00111FEC" w:rsidRDefault="00A4278E" w:rsidP="00A4278E">
      <w:pPr>
        <w:spacing w:after="0" w:line="240" w:lineRule="auto"/>
        <w:ind w:left="1016"/>
        <w:rPr>
          <w:rFonts w:ascii="Verdana" w:hAnsi="Verdana" w:cs="Times New Roman"/>
          <w:color w:val="auto"/>
          <w:szCs w:val="20"/>
        </w:rPr>
      </w:pPr>
      <w:r w:rsidRPr="00111FEC">
        <w:rPr>
          <w:rFonts w:ascii="Verdana" w:hAnsi="Verdana"/>
          <w:szCs w:val="20"/>
        </w:rPr>
        <w:lastRenderedPageBreak/>
        <w:t xml:space="preserve">Wykonawca zobowiązany jest zapewnić, w godzinach pracy serwisu Wykonawcy </w:t>
      </w:r>
      <w:r w:rsidRPr="00111FEC">
        <w:rPr>
          <w:rFonts w:ascii="Verdana" w:hAnsi="Verdana"/>
          <w:bCs/>
          <w:szCs w:val="20"/>
        </w:rPr>
        <w:t>(co najmniej od godziny 7:00 do godziny 15:30)</w:t>
      </w:r>
      <w:r w:rsidRPr="00111FEC">
        <w:rPr>
          <w:rFonts w:ascii="Verdana" w:hAnsi="Verdana"/>
          <w:szCs w:val="20"/>
        </w:rPr>
        <w:t>, stałe konsultacje, dotyczące zasad funkcjonowania Oprogramowania.</w:t>
      </w:r>
    </w:p>
    <w:p w14:paraId="14B9A0C8" w14:textId="77777777" w:rsidR="00A4278E" w:rsidRPr="00111FEC" w:rsidRDefault="00A4278E" w:rsidP="00A4278E">
      <w:pPr>
        <w:ind w:left="1016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Konsultacje są świadczone za pośrednictwem systemu zgłoszeniowego.</w:t>
      </w:r>
    </w:p>
    <w:p w14:paraId="3059C89D" w14:textId="77777777" w:rsidR="00A4278E" w:rsidRPr="00111FEC" w:rsidRDefault="00A4278E" w:rsidP="00A4278E">
      <w:pPr>
        <w:ind w:left="1016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Wynagrodzenie ryczałtowe w zakresie konsultacji obejmuje udzielenie informacji na 50 pytań.</w:t>
      </w:r>
    </w:p>
    <w:p w14:paraId="507B7CB5" w14:textId="77777777" w:rsidR="00A4278E" w:rsidRPr="00111FEC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>Szkolenia z zakresu funkcjonowania Oprogramowania.</w:t>
      </w:r>
    </w:p>
    <w:p w14:paraId="2C6C0EE3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Na zlecenie Zamawiającego, Wykonawca zorganizuje i przeprowadzi szkolenie dla pracowników Zamawiającego dotyczące korzystania z Oprogramowania lub z zakresu jego administracji. </w:t>
      </w:r>
    </w:p>
    <w:p w14:paraId="4883D9DB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Termin, zakres szkolenia będą każdorazowo uzgodnione przez Strony. </w:t>
      </w:r>
    </w:p>
    <w:p w14:paraId="054973AA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Szkolenie może odbyć się w siedzibie Zamawiającego lub zdalnie. </w:t>
      </w:r>
    </w:p>
    <w:p w14:paraId="6DE6F0B6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Zamawiający może wymagać aby szkolenie zakończyło się wydaniem certyfikatów dla pracowników uczestniczących w szkoleniu. </w:t>
      </w:r>
    </w:p>
    <w:p w14:paraId="4FAD598C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</w:p>
    <w:p w14:paraId="48512B32" w14:textId="77777777" w:rsidR="00A4278E" w:rsidRPr="00111FEC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 xml:space="preserve">Rozwój oprogramowania </w:t>
      </w:r>
    </w:p>
    <w:p w14:paraId="6CF3071C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>Na zlecenie Zamawiającego, Wykonawca zobowiązany jest do rozwoju Oprogramowania</w:t>
      </w:r>
      <w:r w:rsidRPr="00111FEC">
        <w:rPr>
          <w:bCs/>
          <w:szCs w:val="20"/>
        </w:rPr>
        <w:t>, polegającego w szczególności na dodaniu nowych funkcjonalności Oprogramowania</w:t>
      </w:r>
      <w:r w:rsidRPr="00111FEC">
        <w:rPr>
          <w:szCs w:val="20"/>
        </w:rPr>
        <w:t>.</w:t>
      </w:r>
    </w:p>
    <w:p w14:paraId="4264B73B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Zlecenie Zamawiającego zawierać będzie termin wdrożenia danego rozwiązania, a także jego cel. </w:t>
      </w:r>
      <w:r w:rsidRPr="00111FEC">
        <w:rPr>
          <w:bCs/>
          <w:szCs w:val="20"/>
        </w:rPr>
        <w:t>Strony ustalą szczegółowy zakres usługi.</w:t>
      </w:r>
    </w:p>
    <w:p w14:paraId="2CD6283A" w14:textId="055F4929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>Warunkiem realizacji jest uzgodnienie przez Strony liczby godzin niezbędnej do wykonania zlecenia w zakresie rozwoju</w:t>
      </w:r>
      <w:r w:rsidR="00644C68" w:rsidRPr="00644C68">
        <w:rPr>
          <w:bCs/>
          <w:szCs w:val="20"/>
        </w:rPr>
        <w:t xml:space="preserve"> </w:t>
      </w:r>
      <w:r w:rsidR="00644C68">
        <w:rPr>
          <w:bCs/>
          <w:szCs w:val="20"/>
        </w:rPr>
        <w:t>oraz terminu realizacji</w:t>
      </w:r>
      <w:r w:rsidRPr="00111FEC">
        <w:rPr>
          <w:szCs w:val="20"/>
        </w:rPr>
        <w:t>.</w:t>
      </w:r>
    </w:p>
    <w:p w14:paraId="2ED21216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Wykonawca, bez ważnych powodów nie może odmówić przyjęcia zlecenia na rozwój Oprogramowania. </w:t>
      </w:r>
    </w:p>
    <w:p w14:paraId="4C0CA7BD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</w:p>
    <w:p w14:paraId="1C8BDE05" w14:textId="77777777" w:rsidR="00A4278E" w:rsidRPr="00111FEC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 xml:space="preserve">Integracja z oprogramowaniem Zamawiającego </w:t>
      </w:r>
    </w:p>
    <w:p w14:paraId="3CD12FEC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Na zlecenie Zamawiającego, Wykonawca zobowiązany jest do integracji Oprogramowania z innymi systemami Zamawiającego. </w:t>
      </w:r>
    </w:p>
    <w:p w14:paraId="40283CDD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 xml:space="preserve">Zlecenie Zamawiającego zawierać będzie termin integracji oraz system z którym Oprogramowanie ma być zintegrowane. </w:t>
      </w:r>
    </w:p>
    <w:p w14:paraId="62B3B2BD" w14:textId="11420E16" w:rsidR="00A4278E" w:rsidRPr="00111FEC" w:rsidRDefault="00A4278E" w:rsidP="00A4278E">
      <w:pPr>
        <w:pStyle w:val="Akapitzlist"/>
        <w:ind w:left="1767" w:firstLine="0"/>
        <w:rPr>
          <w:szCs w:val="20"/>
        </w:rPr>
      </w:pPr>
      <w:r w:rsidRPr="00111FEC">
        <w:rPr>
          <w:szCs w:val="20"/>
        </w:rPr>
        <w:t>Warunkiem realizacji jest uzgodnienie przez Strony liczby godzin niezbędnej do integracji</w:t>
      </w:r>
      <w:r w:rsidR="00FD4536" w:rsidRPr="00FD4536">
        <w:rPr>
          <w:bCs/>
          <w:szCs w:val="20"/>
        </w:rPr>
        <w:t xml:space="preserve"> </w:t>
      </w:r>
      <w:r w:rsidR="00FD4536">
        <w:rPr>
          <w:bCs/>
          <w:szCs w:val="20"/>
        </w:rPr>
        <w:t>oraz terminu realizacji</w:t>
      </w:r>
      <w:r w:rsidRPr="00111FEC">
        <w:rPr>
          <w:szCs w:val="20"/>
        </w:rPr>
        <w:t>.</w:t>
      </w:r>
    </w:p>
    <w:p w14:paraId="22DCEF4D" w14:textId="77777777" w:rsidR="00A4278E" w:rsidRPr="00111FEC" w:rsidRDefault="00A4278E" w:rsidP="00A4278E">
      <w:pPr>
        <w:pStyle w:val="Akapitzlist"/>
        <w:ind w:left="1767" w:firstLine="0"/>
        <w:rPr>
          <w:szCs w:val="20"/>
        </w:rPr>
      </w:pPr>
    </w:p>
    <w:p w14:paraId="10D5335E" w14:textId="77777777" w:rsidR="00A4278E" w:rsidRPr="00111FEC" w:rsidRDefault="00A4278E" w:rsidP="00A4278E">
      <w:pPr>
        <w:pStyle w:val="Akapitzlist"/>
        <w:numPr>
          <w:ilvl w:val="1"/>
          <w:numId w:val="12"/>
        </w:numPr>
        <w:rPr>
          <w:szCs w:val="20"/>
        </w:rPr>
      </w:pPr>
      <w:r w:rsidRPr="00111FEC">
        <w:rPr>
          <w:szCs w:val="20"/>
        </w:rPr>
        <w:t xml:space="preserve">Inne usługi serwisowe </w:t>
      </w:r>
    </w:p>
    <w:p w14:paraId="5E20612F" w14:textId="77777777" w:rsidR="00A4278E" w:rsidRPr="00111FEC" w:rsidRDefault="00A4278E" w:rsidP="00A4278E">
      <w:pPr>
        <w:pStyle w:val="Akapitzlist"/>
        <w:spacing w:after="5" w:line="253" w:lineRule="auto"/>
        <w:ind w:left="1767" w:right="0" w:firstLine="0"/>
        <w:rPr>
          <w:szCs w:val="20"/>
        </w:rPr>
      </w:pPr>
      <w:r w:rsidRPr="00111FEC">
        <w:rPr>
          <w:szCs w:val="20"/>
        </w:rPr>
        <w:t xml:space="preserve">Zamawiający oraz Wykonawca wspólnie uzgodnić, że Wykonawca wykona na rzecz Zamawiającego inne usługi dotyczące Oprogramowania. </w:t>
      </w:r>
    </w:p>
    <w:p w14:paraId="1B3D1F38" w14:textId="77777777" w:rsidR="00A4278E" w:rsidRPr="00111FEC" w:rsidRDefault="00A4278E" w:rsidP="00A4278E">
      <w:pPr>
        <w:spacing w:after="0" w:line="259" w:lineRule="auto"/>
        <w:ind w:left="715" w:hanging="10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b/>
          <w:szCs w:val="20"/>
        </w:rPr>
        <w:lastRenderedPageBreak/>
        <w:t xml:space="preserve">  </w:t>
      </w:r>
    </w:p>
    <w:p w14:paraId="12E36457" w14:textId="77777777" w:rsidR="00A4278E" w:rsidRPr="00111FEC" w:rsidRDefault="00A4278E" w:rsidP="00A4278E">
      <w:pPr>
        <w:pStyle w:val="Akapitzlist"/>
        <w:numPr>
          <w:ilvl w:val="1"/>
          <w:numId w:val="12"/>
        </w:numPr>
        <w:spacing w:after="5" w:line="253" w:lineRule="auto"/>
        <w:ind w:right="0"/>
        <w:jc w:val="left"/>
        <w:rPr>
          <w:bCs/>
          <w:szCs w:val="20"/>
        </w:rPr>
      </w:pPr>
      <w:r w:rsidRPr="00111FEC">
        <w:rPr>
          <w:bCs/>
          <w:szCs w:val="20"/>
        </w:rPr>
        <w:t>Prawo Opcji</w:t>
      </w:r>
    </w:p>
    <w:p w14:paraId="388D0B8A" w14:textId="77777777" w:rsidR="00A4278E" w:rsidRPr="00111FEC" w:rsidRDefault="00A4278E" w:rsidP="00A4278E">
      <w:pPr>
        <w:numPr>
          <w:ilvl w:val="0"/>
          <w:numId w:val="13"/>
        </w:numPr>
        <w:spacing w:after="3" w:line="251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Zamawiający może skorzystać z prawa opcji w okresie obowiązywania umowy.</w:t>
      </w:r>
    </w:p>
    <w:p w14:paraId="16006DE0" w14:textId="77777777" w:rsidR="00A4278E" w:rsidRPr="00111FEC" w:rsidRDefault="00A4278E" w:rsidP="00A4278E">
      <w:pPr>
        <w:numPr>
          <w:ilvl w:val="0"/>
          <w:numId w:val="13"/>
        </w:numPr>
        <w:spacing w:after="4" w:line="249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W ramach prawa opcji Zamawiający może zwiększyć zakres przedmiotu zamówienia maksymalnie o 24 godziny serwisowe na warunkach opisanych w OPZ. </w:t>
      </w:r>
    </w:p>
    <w:p w14:paraId="2983DB74" w14:textId="656B07B2" w:rsidR="00A4278E" w:rsidRPr="00111FEC" w:rsidRDefault="00A4278E" w:rsidP="00A4278E">
      <w:pPr>
        <w:numPr>
          <w:ilvl w:val="0"/>
          <w:numId w:val="13"/>
        </w:numPr>
        <w:spacing w:after="4" w:line="249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W ramach prawa opcji Zamawiający może zwiększyć zakres konsultacji o </w:t>
      </w:r>
      <w:r w:rsidR="00E47623">
        <w:rPr>
          <w:rFonts w:ascii="Verdana" w:hAnsi="Verdana"/>
          <w:szCs w:val="20"/>
        </w:rPr>
        <w:t>dodatkowy</w:t>
      </w:r>
      <w:r w:rsidR="00E47623" w:rsidRPr="00111FEC">
        <w:rPr>
          <w:rFonts w:ascii="Verdana" w:hAnsi="Verdana"/>
          <w:szCs w:val="20"/>
        </w:rPr>
        <w:t xml:space="preserve"> </w:t>
      </w:r>
      <w:r w:rsidRPr="00111FEC">
        <w:rPr>
          <w:rFonts w:ascii="Verdana" w:hAnsi="Verdana"/>
          <w:szCs w:val="20"/>
        </w:rPr>
        <w:t xml:space="preserve">pakiet 50 pytań na warunkach opisanych w OPZ. </w:t>
      </w:r>
    </w:p>
    <w:p w14:paraId="4286CA01" w14:textId="77777777" w:rsidR="00A4278E" w:rsidRPr="00111FEC" w:rsidRDefault="00A4278E" w:rsidP="00A4278E">
      <w:pPr>
        <w:numPr>
          <w:ilvl w:val="0"/>
          <w:numId w:val="13"/>
        </w:numPr>
        <w:spacing w:after="4" w:line="249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 ramach prawa opcji Zamawiający może dokupić szkolenie z zakresu funkcjonowania Oprogramowania na warunkach opisanych w OPZ.</w:t>
      </w:r>
    </w:p>
    <w:p w14:paraId="48007289" w14:textId="77777777" w:rsidR="00A4278E" w:rsidRPr="00111FEC" w:rsidRDefault="00A4278E" w:rsidP="00A4278E">
      <w:pPr>
        <w:numPr>
          <w:ilvl w:val="0"/>
          <w:numId w:val="13"/>
        </w:numPr>
        <w:spacing w:after="4" w:line="249" w:lineRule="auto"/>
        <w:ind w:hanging="360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Zamawiający nie jest zobowiązany do wykorzystania prawa opcji, a Wykonawcy nie będą przysługiwać w stosunku do Zamawiającego żadne roszczenia z tym związane, w szczególności o złożenie zamówień lub o odszkodowanie, w tym zwrot utraconych korzyści.</w:t>
      </w:r>
    </w:p>
    <w:p w14:paraId="576437DE" w14:textId="77777777" w:rsidR="00A4278E" w:rsidRPr="00111FEC" w:rsidRDefault="00A4278E" w:rsidP="00A4278E">
      <w:pPr>
        <w:ind w:left="1065"/>
        <w:rPr>
          <w:rFonts w:ascii="Verdana" w:hAnsi="Verdana"/>
          <w:bCs/>
          <w:szCs w:val="20"/>
        </w:rPr>
      </w:pPr>
    </w:p>
    <w:p w14:paraId="3AC012D2" w14:textId="77777777" w:rsidR="00A4278E" w:rsidRPr="00111FEC" w:rsidRDefault="00A4278E" w:rsidP="00A4278E">
      <w:pPr>
        <w:pStyle w:val="Akapitzlist"/>
        <w:numPr>
          <w:ilvl w:val="1"/>
          <w:numId w:val="12"/>
        </w:numPr>
        <w:tabs>
          <w:tab w:val="center" w:pos="930"/>
          <w:tab w:val="center" w:pos="2995"/>
        </w:tabs>
        <w:spacing w:after="5" w:line="253" w:lineRule="auto"/>
        <w:ind w:right="0"/>
        <w:jc w:val="left"/>
        <w:rPr>
          <w:bCs/>
          <w:szCs w:val="20"/>
        </w:rPr>
      </w:pPr>
      <w:r w:rsidRPr="00111FEC">
        <w:rPr>
          <w:bCs/>
          <w:szCs w:val="20"/>
        </w:rPr>
        <w:tab/>
        <w:t>Wynagrodzenie Wykonawcy</w:t>
      </w:r>
    </w:p>
    <w:p w14:paraId="759ECD97" w14:textId="3EA1500E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Wynagrodzenie, poza wynagrodzeniem za prowadzenie szkolenia</w:t>
      </w:r>
      <w:r w:rsidR="00FD4536">
        <w:rPr>
          <w:rFonts w:ascii="Verdana" w:hAnsi="Verdana"/>
          <w:szCs w:val="20"/>
        </w:rPr>
        <w:t xml:space="preserve"> oraz wynagrodzeniem za konsultacje z zakresu funkcjonowania</w:t>
      </w:r>
      <w:r w:rsidR="005E7EB5">
        <w:rPr>
          <w:rFonts w:ascii="Verdana" w:hAnsi="Verdana"/>
          <w:szCs w:val="20"/>
        </w:rPr>
        <w:t xml:space="preserve"> Oprogramowania</w:t>
      </w:r>
      <w:r w:rsidRPr="00111FEC">
        <w:rPr>
          <w:rFonts w:ascii="Verdana" w:hAnsi="Verdana"/>
          <w:szCs w:val="20"/>
        </w:rPr>
        <w:t>, będzie płacone w okresach miesięcznych.</w:t>
      </w:r>
    </w:p>
    <w:p w14:paraId="684208BF" w14:textId="77777777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Wynagrodzenie rozliczane będzie o stawkę miesięczną. W ramach stawki miesięcznej Zamawiającemu rozliczane będzie 10 godzin serwisowych. </w:t>
      </w:r>
    </w:p>
    <w:p w14:paraId="485680FF" w14:textId="77777777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W przypadku kiedy liczba godzin serwisowych przekroczy w danym miesiącu 10 godzin serwisowych, dodatkowe godziny zostaną rozliczone w oparciu o wskazaną przez Wykonawcę w ofercie stawkę za jedną roboczogodzinę.</w:t>
      </w:r>
    </w:p>
    <w:p w14:paraId="399F88E9" w14:textId="77777777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W przypadku kiedy liczba godzin serwisowych w danym miesiącu nie przekroczy 10 godzin serwisowych, 50% niewykorzystanych godzin przechodzi na kolejne okresy rozliczeniowe. </w:t>
      </w:r>
    </w:p>
    <w:p w14:paraId="3854170E" w14:textId="77777777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 xml:space="preserve">Rozliczenie odbywa się na podstawie faktury wystawionej przez Wykonawcę na podstawie zaakceptowanego przez Zamawiającego raportu prac wykonanych w danym miesiącu. </w:t>
      </w:r>
    </w:p>
    <w:p w14:paraId="0D0547B6" w14:textId="77777777" w:rsidR="00A4278E" w:rsidRPr="00111FEC" w:rsidRDefault="00A4278E" w:rsidP="00A4278E">
      <w:pPr>
        <w:numPr>
          <w:ilvl w:val="0"/>
          <w:numId w:val="14"/>
        </w:numPr>
        <w:spacing w:after="4" w:line="249" w:lineRule="auto"/>
        <w:ind w:hanging="284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Szacowana liczba godzin serwisowych w okresie obowiązywania umowy:</w:t>
      </w:r>
    </w:p>
    <w:p w14:paraId="1E9CB982" w14:textId="77777777" w:rsidR="00A4278E" w:rsidRPr="00111FEC" w:rsidRDefault="00A4278E" w:rsidP="00A4278E">
      <w:pPr>
        <w:ind w:left="989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10 godzin x 12 miesięcy = 120 godzin</w:t>
      </w:r>
    </w:p>
    <w:p w14:paraId="7D856007" w14:textId="77777777" w:rsidR="00A4278E" w:rsidRPr="00111FEC" w:rsidRDefault="00A4278E" w:rsidP="00A4278E">
      <w:pPr>
        <w:ind w:left="989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Liczba godzin w ramach prawa opcji: 24 godziny serwisowe</w:t>
      </w:r>
    </w:p>
    <w:p w14:paraId="00C1E867" w14:textId="77777777" w:rsidR="00A4278E" w:rsidRPr="00111FEC" w:rsidRDefault="00A4278E" w:rsidP="00A4278E">
      <w:pPr>
        <w:ind w:left="989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Łączna liczba godzin serwisowych z uwzględnieniem prawa opcji: 144 godziny serwisowe.</w:t>
      </w:r>
      <w:r w:rsidRPr="00111FEC">
        <w:rPr>
          <w:rFonts w:ascii="Verdana" w:hAnsi="Verdana"/>
          <w:szCs w:val="20"/>
        </w:rPr>
        <w:tab/>
      </w:r>
    </w:p>
    <w:p w14:paraId="29FD74A3" w14:textId="5EC488A0" w:rsidR="00A4278E" w:rsidRPr="00111FEC" w:rsidRDefault="00A4278E" w:rsidP="00A4278E">
      <w:pPr>
        <w:pStyle w:val="Akapitzlist"/>
        <w:numPr>
          <w:ilvl w:val="0"/>
          <w:numId w:val="14"/>
        </w:numPr>
        <w:ind w:right="0"/>
        <w:rPr>
          <w:szCs w:val="20"/>
        </w:rPr>
      </w:pPr>
      <w:r w:rsidRPr="00111FEC">
        <w:rPr>
          <w:szCs w:val="20"/>
        </w:rPr>
        <w:lastRenderedPageBreak/>
        <w:t xml:space="preserve">Wynagrodzenie za szkolenie płatne jest po jego przeprowadzeniu. Faktura wystawiona będzie po podpisaniu przez strony protokołu </w:t>
      </w:r>
      <w:r w:rsidR="007C6556">
        <w:rPr>
          <w:szCs w:val="20"/>
        </w:rPr>
        <w:t xml:space="preserve">odbioru </w:t>
      </w:r>
      <w:r w:rsidRPr="00111FEC">
        <w:rPr>
          <w:szCs w:val="20"/>
        </w:rPr>
        <w:t>szkolenia.</w:t>
      </w:r>
    </w:p>
    <w:p w14:paraId="1F555CF7" w14:textId="77777777" w:rsidR="00A4278E" w:rsidRPr="00111FEC" w:rsidRDefault="00A4278E" w:rsidP="00A4278E">
      <w:pPr>
        <w:rPr>
          <w:rFonts w:ascii="Verdana" w:hAnsi="Verdana"/>
          <w:szCs w:val="20"/>
        </w:rPr>
      </w:pPr>
    </w:p>
    <w:p w14:paraId="28DC30B2" w14:textId="77777777" w:rsidR="00A4278E" w:rsidRPr="00111FEC" w:rsidRDefault="00A4278E" w:rsidP="00A4278E">
      <w:pPr>
        <w:pStyle w:val="Akapitzlist"/>
        <w:numPr>
          <w:ilvl w:val="1"/>
          <w:numId w:val="12"/>
        </w:numPr>
        <w:spacing w:after="231" w:line="253" w:lineRule="auto"/>
        <w:ind w:right="0"/>
        <w:jc w:val="left"/>
        <w:rPr>
          <w:bCs/>
          <w:szCs w:val="20"/>
        </w:rPr>
      </w:pPr>
      <w:r w:rsidRPr="00111FEC">
        <w:rPr>
          <w:bCs/>
          <w:szCs w:val="20"/>
        </w:rPr>
        <w:t xml:space="preserve"> Miejsce realizacji zamówienia: </w:t>
      </w:r>
    </w:p>
    <w:p w14:paraId="47B7C6CE" w14:textId="2F377D0B" w:rsidR="00A4278E" w:rsidRPr="00111FEC" w:rsidRDefault="00A4278E" w:rsidP="007C4BA1">
      <w:pPr>
        <w:spacing w:after="231" w:line="253" w:lineRule="auto"/>
        <w:ind w:left="1076"/>
        <w:jc w:val="left"/>
        <w:rPr>
          <w:rFonts w:ascii="Verdana" w:hAnsi="Verdana"/>
          <w:szCs w:val="20"/>
        </w:rPr>
      </w:pPr>
      <w:r w:rsidRPr="00111FEC">
        <w:rPr>
          <w:rFonts w:ascii="Verdana" w:hAnsi="Verdana"/>
          <w:szCs w:val="20"/>
        </w:rPr>
        <w:t>Sieć Badawcza Łukasiewicz – PORT Polski Ośrodek Rozwoju Technologii</w:t>
      </w:r>
      <w:r w:rsidR="007C4BA1">
        <w:rPr>
          <w:rFonts w:ascii="Verdana" w:hAnsi="Verdana"/>
          <w:szCs w:val="20"/>
        </w:rPr>
        <w:t xml:space="preserve">, </w:t>
      </w:r>
      <w:r w:rsidRPr="00111FEC">
        <w:rPr>
          <w:rFonts w:ascii="Verdana" w:hAnsi="Verdana"/>
          <w:szCs w:val="20"/>
        </w:rPr>
        <w:t xml:space="preserve">ul. </w:t>
      </w:r>
      <w:proofErr w:type="spellStart"/>
      <w:r w:rsidRPr="00111FEC">
        <w:rPr>
          <w:rFonts w:ascii="Verdana" w:hAnsi="Verdana"/>
          <w:szCs w:val="20"/>
        </w:rPr>
        <w:t>Stabłowicka</w:t>
      </w:r>
      <w:proofErr w:type="spellEnd"/>
      <w:r w:rsidRPr="00111FEC">
        <w:rPr>
          <w:rFonts w:ascii="Verdana" w:hAnsi="Verdana"/>
          <w:szCs w:val="20"/>
        </w:rPr>
        <w:t xml:space="preserve"> 147</w:t>
      </w:r>
      <w:r w:rsidR="007C4BA1">
        <w:rPr>
          <w:rFonts w:ascii="Verdana" w:hAnsi="Verdana"/>
          <w:szCs w:val="20"/>
        </w:rPr>
        <w:t xml:space="preserve">, </w:t>
      </w:r>
      <w:r w:rsidRPr="00111FEC">
        <w:rPr>
          <w:rFonts w:ascii="Verdana" w:hAnsi="Verdana"/>
          <w:szCs w:val="20"/>
        </w:rPr>
        <w:t>54-066 Wrocław</w:t>
      </w:r>
      <w:r w:rsidR="007C4BA1">
        <w:rPr>
          <w:rFonts w:ascii="Verdana" w:hAnsi="Verdana"/>
          <w:szCs w:val="20"/>
        </w:rPr>
        <w:t>.</w:t>
      </w:r>
    </w:p>
    <w:p w14:paraId="7052B821" w14:textId="35D824EC" w:rsidR="00A4278E" w:rsidRPr="00111FEC" w:rsidRDefault="00A4278E" w:rsidP="00A4278E">
      <w:pPr>
        <w:pStyle w:val="Akapitzlist"/>
        <w:numPr>
          <w:ilvl w:val="1"/>
          <w:numId w:val="12"/>
        </w:numPr>
        <w:spacing w:after="474"/>
        <w:ind w:right="0"/>
        <w:rPr>
          <w:szCs w:val="20"/>
        </w:rPr>
      </w:pPr>
      <w:r w:rsidRPr="00111FEC">
        <w:rPr>
          <w:b/>
          <w:szCs w:val="20"/>
        </w:rPr>
        <w:t xml:space="preserve"> </w:t>
      </w:r>
      <w:r w:rsidRPr="00111FEC">
        <w:rPr>
          <w:bCs/>
          <w:szCs w:val="20"/>
        </w:rPr>
        <w:t>Godziny pracy Zamawiającego:</w:t>
      </w:r>
      <w:r w:rsidRPr="00111FEC">
        <w:rPr>
          <w:b/>
          <w:szCs w:val="20"/>
        </w:rPr>
        <w:t xml:space="preserve"> </w:t>
      </w:r>
      <w:proofErr w:type="spellStart"/>
      <w:r w:rsidRPr="00111FEC">
        <w:rPr>
          <w:szCs w:val="20"/>
        </w:rPr>
        <w:t>pon-pt</w:t>
      </w:r>
      <w:proofErr w:type="spellEnd"/>
      <w:r w:rsidRPr="00111FEC">
        <w:rPr>
          <w:szCs w:val="20"/>
        </w:rPr>
        <w:t>, w godz. 7.00-</w:t>
      </w:r>
      <w:r w:rsidR="00A165CF">
        <w:rPr>
          <w:szCs w:val="20"/>
        </w:rPr>
        <w:t>15</w:t>
      </w:r>
      <w:r w:rsidRPr="00111FEC">
        <w:rPr>
          <w:szCs w:val="20"/>
        </w:rPr>
        <w:t>.</w:t>
      </w:r>
      <w:r w:rsidR="00A165CF">
        <w:rPr>
          <w:szCs w:val="20"/>
        </w:rPr>
        <w:t>3</w:t>
      </w:r>
      <w:r w:rsidRPr="00111FEC">
        <w:rPr>
          <w:szCs w:val="20"/>
        </w:rPr>
        <w:t>0</w:t>
      </w:r>
    </w:p>
    <w:p w14:paraId="3A905E98" w14:textId="77777777" w:rsidR="00ED7972" w:rsidRPr="00A4278E" w:rsidRDefault="00ED7972" w:rsidP="00A4278E"/>
    <w:sectPr w:rsidR="00ED7972" w:rsidRPr="00A4278E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4578" w14:textId="77777777" w:rsidR="00D26FAC" w:rsidRDefault="00D26FAC" w:rsidP="006747BD">
      <w:pPr>
        <w:spacing w:after="0" w:line="240" w:lineRule="auto"/>
      </w:pPr>
      <w:r>
        <w:separator/>
      </w:r>
    </w:p>
  </w:endnote>
  <w:endnote w:type="continuationSeparator" w:id="0">
    <w:p w14:paraId="2402E610" w14:textId="77777777" w:rsidR="00D26FAC" w:rsidRDefault="00D26FA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9BC92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C400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C400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81B55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83B482B" wp14:editId="654C456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A0E7713" wp14:editId="57FAEFC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5CB49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F748AEF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502BD60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52801D1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DA5ECD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E77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CA5CB49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F748AEF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502BD60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52801D1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DA5ECD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B2EEC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C400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C400A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177F3A7D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F2EA461" wp14:editId="0B64E3F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88A8CEB" wp14:editId="364CD57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7002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9ED559F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0FA87DD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63AC74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7FAFBA1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A8C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6970025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9ED559F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0FA87DD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63AC742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7FAFBA1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A9CB" w14:textId="77777777" w:rsidR="00D26FAC" w:rsidRDefault="00D26FAC" w:rsidP="006747BD">
      <w:pPr>
        <w:spacing w:after="0" w:line="240" w:lineRule="auto"/>
      </w:pPr>
      <w:r>
        <w:separator/>
      </w:r>
    </w:p>
  </w:footnote>
  <w:footnote w:type="continuationSeparator" w:id="0">
    <w:p w14:paraId="5F0C6231" w14:textId="77777777" w:rsidR="00D26FAC" w:rsidRDefault="00D26FA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985A" w14:textId="50ECFD41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C76C5C9" wp14:editId="71EDD22A">
          <wp:simplePos x="0" y="0"/>
          <wp:positionH relativeFrom="column">
            <wp:posOffset>-1118870</wp:posOffset>
          </wp:positionH>
          <wp:positionV relativeFrom="paragraph">
            <wp:posOffset>62230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C5D91"/>
    <w:multiLevelType w:val="hybridMultilevel"/>
    <w:tmpl w:val="01B030BA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F546B1"/>
    <w:multiLevelType w:val="hybridMultilevel"/>
    <w:tmpl w:val="1206B072"/>
    <w:lvl w:ilvl="0" w:tplc="0415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4" w15:restartNumberingAfterBreak="0">
    <w:nsid w:val="4C314749"/>
    <w:multiLevelType w:val="hybridMultilevel"/>
    <w:tmpl w:val="DA3CC740"/>
    <w:lvl w:ilvl="0" w:tplc="04150011">
      <w:start w:val="1"/>
      <w:numFmt w:val="decimal"/>
      <w:lvlText w:val="%1)"/>
      <w:lvlJc w:val="left"/>
      <w:pPr>
        <w:ind w:left="1736" w:hanging="360"/>
      </w:p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5" w15:restartNumberingAfterBreak="0">
    <w:nsid w:val="654F6004"/>
    <w:multiLevelType w:val="hybridMultilevel"/>
    <w:tmpl w:val="6BA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6468"/>
    <w:rsid w:val="00070438"/>
    <w:rsid w:val="00077647"/>
    <w:rsid w:val="000C400A"/>
    <w:rsid w:val="000E477E"/>
    <w:rsid w:val="00134929"/>
    <w:rsid w:val="00161F48"/>
    <w:rsid w:val="001A0BD2"/>
    <w:rsid w:val="00231524"/>
    <w:rsid w:val="00242B76"/>
    <w:rsid w:val="0024382B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E7EB5"/>
    <w:rsid w:val="005F6265"/>
    <w:rsid w:val="00637E94"/>
    <w:rsid w:val="00644C68"/>
    <w:rsid w:val="006747BD"/>
    <w:rsid w:val="006919BD"/>
    <w:rsid w:val="006D6DE5"/>
    <w:rsid w:val="006E5990"/>
    <w:rsid w:val="006F645A"/>
    <w:rsid w:val="007842CA"/>
    <w:rsid w:val="007C4BA1"/>
    <w:rsid w:val="007C6556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7068"/>
    <w:rsid w:val="009D4C4D"/>
    <w:rsid w:val="009D56F8"/>
    <w:rsid w:val="009D6198"/>
    <w:rsid w:val="00A03D4D"/>
    <w:rsid w:val="00A144C3"/>
    <w:rsid w:val="00A165CF"/>
    <w:rsid w:val="00A36F46"/>
    <w:rsid w:val="00A4278E"/>
    <w:rsid w:val="00A4666C"/>
    <w:rsid w:val="00A52C29"/>
    <w:rsid w:val="00AB4DC7"/>
    <w:rsid w:val="00B21B5C"/>
    <w:rsid w:val="00B269D1"/>
    <w:rsid w:val="00B61F8A"/>
    <w:rsid w:val="00C736D5"/>
    <w:rsid w:val="00D005B3"/>
    <w:rsid w:val="00D06D36"/>
    <w:rsid w:val="00D17059"/>
    <w:rsid w:val="00D26FAC"/>
    <w:rsid w:val="00D40690"/>
    <w:rsid w:val="00D44541"/>
    <w:rsid w:val="00DA0C5D"/>
    <w:rsid w:val="00DA52A1"/>
    <w:rsid w:val="00E36132"/>
    <w:rsid w:val="00E47623"/>
    <w:rsid w:val="00ED7972"/>
    <w:rsid w:val="00EE493C"/>
    <w:rsid w:val="00F76B97"/>
    <w:rsid w:val="00FD453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D69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basedOn w:val="Normalny"/>
    <w:uiPriority w:val="34"/>
    <w:qFormat/>
    <w:rsid w:val="00A4278E"/>
    <w:pPr>
      <w:spacing w:after="4" w:line="249" w:lineRule="auto"/>
      <w:ind w:left="720" w:right="1" w:hanging="370"/>
      <w:contextualSpacing/>
    </w:pPr>
    <w:rPr>
      <w:rFonts w:ascii="Verdana" w:eastAsia="Verdana" w:hAnsi="Verdana" w:cs="Verdana"/>
      <w:color w:val="000000"/>
      <w:spacing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DC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DC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DC7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A2A-E6A6-4F87-ADF1-4B140D3B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23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9</cp:revision>
  <cp:lastPrinted>2020-11-04T12:51:00Z</cp:lastPrinted>
  <dcterms:created xsi:type="dcterms:W3CDTF">2021-07-28T06:42:00Z</dcterms:created>
  <dcterms:modified xsi:type="dcterms:W3CDTF">2021-09-20T08:48:00Z</dcterms:modified>
</cp:coreProperties>
</file>