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DAFF3" w14:textId="77777777" w:rsidR="00C31C99" w:rsidRDefault="00816B42">
      <w:pPr>
        <w:pStyle w:val="Nagwek20"/>
        <w:keepNext/>
        <w:keepLines/>
      </w:pPr>
      <w:bookmarkStart w:id="0" w:name="bookmark6"/>
      <w:bookmarkStart w:id="1" w:name="bookmark7"/>
      <w:bookmarkStart w:id="2" w:name="bookmark8"/>
      <w:r>
        <w:t>D-04.04.02. Podbudowa z kruszywa łamanego stabilizowanego mechanicznie gr 8-25cm</w:t>
      </w:r>
      <w:bookmarkEnd w:id="0"/>
      <w:bookmarkEnd w:id="1"/>
      <w:bookmarkEnd w:id="2"/>
    </w:p>
    <w:p w14:paraId="312DAFF4" w14:textId="77777777" w:rsidR="00C31C99" w:rsidRDefault="00816B42">
      <w:pPr>
        <w:pStyle w:val="Nagwek40"/>
        <w:keepNext/>
        <w:keepLines/>
        <w:numPr>
          <w:ilvl w:val="0"/>
          <w:numId w:val="1"/>
        </w:numPr>
        <w:tabs>
          <w:tab w:val="left" w:pos="350"/>
        </w:tabs>
        <w:spacing w:after="360"/>
      </w:pPr>
      <w:bookmarkStart w:id="3" w:name="bookmark11"/>
      <w:bookmarkStart w:id="4" w:name="bookmark10"/>
      <w:bookmarkStart w:id="5" w:name="bookmark12"/>
      <w:bookmarkStart w:id="6" w:name="bookmark9"/>
      <w:bookmarkEnd w:id="3"/>
      <w:r>
        <w:t>WSTĘP</w:t>
      </w:r>
      <w:bookmarkEnd w:id="4"/>
      <w:bookmarkEnd w:id="5"/>
      <w:bookmarkEnd w:id="6"/>
    </w:p>
    <w:p w14:paraId="312DAFF5" w14:textId="77777777" w:rsidR="00C31C99" w:rsidRDefault="00816B42">
      <w:pPr>
        <w:pStyle w:val="Nagwek50"/>
        <w:keepNext/>
        <w:keepLines/>
        <w:numPr>
          <w:ilvl w:val="1"/>
          <w:numId w:val="1"/>
        </w:numPr>
        <w:tabs>
          <w:tab w:val="left" w:pos="469"/>
        </w:tabs>
        <w:spacing w:after="240"/>
      </w:pPr>
      <w:bookmarkStart w:id="7" w:name="bookmark15"/>
      <w:bookmarkStart w:id="8" w:name="bookmark13"/>
      <w:bookmarkStart w:id="9" w:name="bookmark14"/>
      <w:bookmarkStart w:id="10" w:name="bookmark16"/>
      <w:bookmarkEnd w:id="7"/>
      <w:r>
        <w:t>Przedmiot SST</w:t>
      </w:r>
      <w:bookmarkEnd w:id="8"/>
      <w:bookmarkEnd w:id="9"/>
      <w:bookmarkEnd w:id="10"/>
    </w:p>
    <w:p w14:paraId="312DAFF6" w14:textId="77777777" w:rsidR="00C31C99" w:rsidRDefault="00816B42">
      <w:pPr>
        <w:pStyle w:val="Teksttreci0"/>
        <w:spacing w:after="240"/>
        <w:jc w:val="both"/>
      </w:pPr>
      <w:r>
        <w:t>Ustalenia zawarte w niniejszej SST dotyczą zasad prowadzenia robót związanych z wykonaniem podbudowy z kruszywa łamanego stabilizowanego mechanicznie w ramach projektu pn.</w:t>
      </w:r>
    </w:p>
    <w:p w14:paraId="19018D43" w14:textId="4C4B696C" w:rsidR="00EE5A2A" w:rsidRPr="00B67E38" w:rsidRDefault="00EE5A2A" w:rsidP="00EE5A2A">
      <w:pPr>
        <w:pStyle w:val="Nagwek30"/>
        <w:keepNext/>
        <w:keepLines/>
        <w:rPr>
          <w:b/>
          <w:bCs/>
          <w:color w:val="auto"/>
          <w:sz w:val="20"/>
          <w:szCs w:val="20"/>
        </w:rPr>
      </w:pPr>
      <w:bookmarkStart w:id="11" w:name="bookmark22"/>
      <w:bookmarkStart w:id="12" w:name="bookmark20"/>
      <w:bookmarkStart w:id="13" w:name="bookmark21"/>
      <w:bookmarkStart w:id="14" w:name="bookmark23"/>
      <w:bookmarkEnd w:id="11"/>
      <w:r w:rsidRPr="00B67E38">
        <w:rPr>
          <w:b/>
          <w:bCs/>
          <w:sz w:val="20"/>
          <w:szCs w:val="20"/>
        </w:rPr>
        <w:t>„</w:t>
      </w:r>
      <w:r w:rsidR="0054111F">
        <w:rPr>
          <w:rFonts w:cs="Calibri" w:hint="eastAsia"/>
          <w:i/>
          <w:iCs/>
          <w:sz w:val="30"/>
          <w:szCs w:val="30"/>
          <w14:shadow w14:blurRad="50800" w14:dist="38100" w14:dir="2700000" w14:sx="100000" w14:sy="100000" w14:kx="0" w14:ky="0" w14:algn="tl">
            <w14:srgbClr w14:val="000000">
              <w14:alpha w14:val="60000"/>
            </w14:srgbClr>
          </w14:shadow>
        </w:rPr>
        <w:t>Przebudowa drogi gminnej nr 112119R  w miejscowości  Przedmieście Czudeckie polegające na budowie chodnika wraz z elementami odwodnienia</w:t>
      </w:r>
      <w:r w:rsidRPr="00B67E38">
        <w:rPr>
          <w:b/>
          <w:bCs/>
          <w:sz w:val="20"/>
          <w:szCs w:val="20"/>
        </w:rPr>
        <w:t>"</w:t>
      </w:r>
    </w:p>
    <w:p w14:paraId="312DAFF8" w14:textId="77777777" w:rsidR="00C31C99" w:rsidRDefault="00816B42">
      <w:pPr>
        <w:pStyle w:val="Nagwek50"/>
        <w:keepNext/>
        <w:keepLines/>
        <w:numPr>
          <w:ilvl w:val="1"/>
          <w:numId w:val="1"/>
        </w:numPr>
        <w:tabs>
          <w:tab w:val="left" w:pos="469"/>
        </w:tabs>
        <w:spacing w:after="200"/>
      </w:pPr>
      <w:r>
        <w:t>Zakres stosowania SST</w:t>
      </w:r>
      <w:bookmarkEnd w:id="12"/>
      <w:bookmarkEnd w:id="13"/>
      <w:bookmarkEnd w:id="14"/>
    </w:p>
    <w:p w14:paraId="312DAFF9" w14:textId="77777777" w:rsidR="00C31C99" w:rsidRDefault="00816B42">
      <w:pPr>
        <w:pStyle w:val="Teksttreci0"/>
        <w:jc w:val="both"/>
      </w:pPr>
      <w:r>
        <w:t>Szczegółowa specyfikacja techniczna jest stosowana jako dokument przetargowy i kontraktowy przy zlecaniu i realizacji robót wymienionych w punkcie 1.1.</w:t>
      </w:r>
    </w:p>
    <w:p w14:paraId="312DAFFA" w14:textId="77777777" w:rsidR="00C31C99" w:rsidRDefault="00816B42">
      <w:pPr>
        <w:pStyle w:val="Nagwek50"/>
        <w:keepNext/>
        <w:keepLines/>
        <w:numPr>
          <w:ilvl w:val="1"/>
          <w:numId w:val="1"/>
        </w:numPr>
        <w:tabs>
          <w:tab w:val="left" w:pos="469"/>
        </w:tabs>
        <w:spacing w:after="100"/>
      </w:pPr>
      <w:bookmarkStart w:id="15" w:name="bookmark26"/>
      <w:bookmarkStart w:id="16" w:name="bookmark24"/>
      <w:bookmarkStart w:id="17" w:name="bookmark25"/>
      <w:bookmarkStart w:id="18" w:name="bookmark27"/>
      <w:bookmarkEnd w:id="15"/>
      <w:r>
        <w:t>Zakres Robót objętych SST</w:t>
      </w:r>
      <w:bookmarkEnd w:id="16"/>
      <w:bookmarkEnd w:id="17"/>
      <w:bookmarkEnd w:id="18"/>
    </w:p>
    <w:p w14:paraId="312DAFFB" w14:textId="77777777" w:rsidR="00C31C99" w:rsidRDefault="00816B42">
      <w:pPr>
        <w:pStyle w:val="Teksttreci0"/>
        <w:spacing w:after="240"/>
        <w:jc w:val="both"/>
      </w:pPr>
      <w:r>
        <w:t>Ustalenia zawarte w niniejszej specyfikacji dotyczą zasad prowadzenia robót związanych z wykonaniem warstw podbudów z kruszywa łamanego stabilizowanego mechanicznie według PN-S-06102 i obejmują ułożenie:</w:t>
      </w:r>
    </w:p>
    <w:p w14:paraId="312DAFFC" w14:textId="13CD1E21" w:rsidR="00C31C99" w:rsidRDefault="00816B42">
      <w:pPr>
        <w:pStyle w:val="Teksttreci0"/>
        <w:spacing w:after="200"/>
      </w:pPr>
      <w:r>
        <w:rPr>
          <w:b/>
          <w:bCs/>
        </w:rPr>
        <w:t xml:space="preserve">- </w:t>
      </w:r>
      <w:r>
        <w:t xml:space="preserve">podbudowy z kruszywa łamanego (tłucznia/klińca) 0-31,5 mm gr </w:t>
      </w:r>
      <w:r w:rsidR="00F11BA0">
        <w:t>10</w:t>
      </w:r>
      <w:r>
        <w:t>cm</w:t>
      </w:r>
    </w:p>
    <w:p w14:paraId="312DAFFD" w14:textId="77777777" w:rsidR="00C31C99" w:rsidRDefault="00816B42">
      <w:pPr>
        <w:pStyle w:val="Nagwek50"/>
        <w:keepNext/>
        <w:keepLines/>
        <w:numPr>
          <w:ilvl w:val="1"/>
          <w:numId w:val="1"/>
        </w:numPr>
        <w:tabs>
          <w:tab w:val="left" w:pos="469"/>
        </w:tabs>
        <w:spacing w:after="200"/>
      </w:pPr>
      <w:bookmarkStart w:id="19" w:name="bookmark30"/>
      <w:bookmarkStart w:id="20" w:name="bookmark28"/>
      <w:bookmarkStart w:id="21" w:name="bookmark29"/>
      <w:bookmarkStart w:id="22" w:name="bookmark31"/>
      <w:bookmarkEnd w:id="19"/>
      <w:r>
        <w:t>Określenia podstawowe</w:t>
      </w:r>
      <w:bookmarkEnd w:id="20"/>
      <w:bookmarkEnd w:id="21"/>
      <w:bookmarkEnd w:id="22"/>
    </w:p>
    <w:p w14:paraId="312DAFFE" w14:textId="77777777" w:rsidR="00C31C99" w:rsidRDefault="00816B42">
      <w:pPr>
        <w:pStyle w:val="Teksttreci0"/>
        <w:numPr>
          <w:ilvl w:val="2"/>
          <w:numId w:val="1"/>
        </w:numPr>
        <w:tabs>
          <w:tab w:val="left" w:pos="634"/>
        </w:tabs>
        <w:ind w:firstLine="0"/>
        <w:jc w:val="both"/>
      </w:pPr>
      <w:bookmarkStart w:id="23" w:name="bookmark32"/>
      <w:bookmarkEnd w:id="23"/>
      <w:r>
        <w:rPr>
          <w:b/>
          <w:bCs/>
        </w:rPr>
        <w:t xml:space="preserve">Stabilizacja mechaniczna </w:t>
      </w:r>
      <w:r>
        <w:t>- proces technologiczny, polegający na odpowiednim zagęszczeniu w optymalnej wilgotności kruszywa o właściwie dobranym uziarnieniu.</w:t>
      </w:r>
    </w:p>
    <w:p w14:paraId="312DAFFF" w14:textId="77777777" w:rsidR="00C31C99" w:rsidRDefault="00816B42">
      <w:pPr>
        <w:pStyle w:val="Teksttreci0"/>
        <w:numPr>
          <w:ilvl w:val="0"/>
          <w:numId w:val="2"/>
        </w:numPr>
        <w:tabs>
          <w:tab w:val="left" w:pos="637"/>
        </w:tabs>
        <w:ind w:firstLine="0"/>
        <w:jc w:val="both"/>
      </w:pPr>
      <w:bookmarkStart w:id="24" w:name="bookmark33"/>
      <w:bookmarkEnd w:id="24"/>
      <w:r>
        <w:t>Podbudowa z tłucznia kamiennego - część konstrukcji nawierzchni składająca się z jednej lub więcej warstw nośnych z tłucznia i klińca kamiennego.</w:t>
      </w:r>
    </w:p>
    <w:p w14:paraId="312DB000" w14:textId="77777777" w:rsidR="00C31C99" w:rsidRDefault="00816B42">
      <w:pPr>
        <w:pStyle w:val="Teksttreci0"/>
        <w:numPr>
          <w:ilvl w:val="0"/>
          <w:numId w:val="3"/>
        </w:numPr>
        <w:tabs>
          <w:tab w:val="left" w:pos="634"/>
        </w:tabs>
        <w:spacing w:after="200"/>
        <w:ind w:firstLine="0"/>
        <w:jc w:val="both"/>
      </w:pPr>
      <w:bookmarkStart w:id="25" w:name="bookmark34"/>
      <w:bookmarkEnd w:id="25"/>
      <w:r>
        <w:t>Pozostałe określenia podstawowe są zgodne z obowiązującymi, odpowiednimi polskimi normami oraz z definicjami podanymi w SST DM-00.00.00 „Wymagania ogólne” pkt 1.4 .</w:t>
      </w:r>
    </w:p>
    <w:p w14:paraId="312DB001" w14:textId="77777777" w:rsidR="00C31C99" w:rsidRDefault="00816B42">
      <w:pPr>
        <w:pStyle w:val="Nagwek50"/>
        <w:keepNext/>
        <w:keepLines/>
        <w:numPr>
          <w:ilvl w:val="1"/>
          <w:numId w:val="1"/>
        </w:numPr>
        <w:tabs>
          <w:tab w:val="left" w:pos="469"/>
        </w:tabs>
        <w:spacing w:after="200"/>
        <w:jc w:val="both"/>
      </w:pPr>
      <w:bookmarkStart w:id="26" w:name="bookmark37"/>
      <w:bookmarkStart w:id="27" w:name="bookmark35"/>
      <w:bookmarkStart w:id="28" w:name="bookmark36"/>
      <w:bookmarkStart w:id="29" w:name="bookmark38"/>
      <w:bookmarkEnd w:id="26"/>
      <w:r>
        <w:t>Ogólne wymagania dotyczące robót</w:t>
      </w:r>
      <w:bookmarkEnd w:id="27"/>
      <w:bookmarkEnd w:id="28"/>
      <w:bookmarkEnd w:id="29"/>
    </w:p>
    <w:p w14:paraId="312DB002" w14:textId="77777777" w:rsidR="00C31C99" w:rsidRDefault="00816B42">
      <w:pPr>
        <w:pStyle w:val="Teksttreci0"/>
        <w:spacing w:after="300"/>
      </w:pPr>
      <w:r>
        <w:t>Ogólne wymagania dotyczące robót podano w SST DM-00.00.00 „Wymagania ogólne” pkt 1.5.</w:t>
      </w:r>
    </w:p>
    <w:p w14:paraId="312DB003" w14:textId="77777777" w:rsidR="00C31C99" w:rsidRDefault="00816B42">
      <w:pPr>
        <w:pStyle w:val="Nagwek40"/>
        <w:keepNext/>
        <w:keepLines/>
        <w:numPr>
          <w:ilvl w:val="0"/>
          <w:numId w:val="1"/>
        </w:numPr>
        <w:tabs>
          <w:tab w:val="left" w:pos="350"/>
        </w:tabs>
      </w:pPr>
      <w:bookmarkStart w:id="30" w:name="bookmark41"/>
      <w:bookmarkStart w:id="31" w:name="bookmark39"/>
      <w:bookmarkStart w:id="32" w:name="bookmark40"/>
      <w:bookmarkStart w:id="33" w:name="bookmark42"/>
      <w:bookmarkEnd w:id="30"/>
      <w:r>
        <w:t>MATERIAŁY</w:t>
      </w:r>
      <w:bookmarkEnd w:id="31"/>
      <w:bookmarkEnd w:id="32"/>
      <w:bookmarkEnd w:id="33"/>
    </w:p>
    <w:p w14:paraId="312DB004" w14:textId="77777777" w:rsidR="00C31C99" w:rsidRDefault="00816B42">
      <w:pPr>
        <w:pStyle w:val="Nagwek50"/>
        <w:keepNext/>
        <w:keepLines/>
        <w:numPr>
          <w:ilvl w:val="1"/>
          <w:numId w:val="1"/>
        </w:numPr>
        <w:tabs>
          <w:tab w:val="left" w:pos="622"/>
        </w:tabs>
        <w:spacing w:after="200"/>
      </w:pPr>
      <w:bookmarkStart w:id="34" w:name="bookmark45"/>
      <w:bookmarkStart w:id="35" w:name="bookmark43"/>
      <w:bookmarkStart w:id="36" w:name="bookmark44"/>
      <w:bookmarkStart w:id="37" w:name="bookmark46"/>
      <w:bookmarkEnd w:id="34"/>
      <w:r>
        <w:t>Ogólne wymagania dotyczące materiałów</w:t>
      </w:r>
      <w:bookmarkEnd w:id="35"/>
      <w:bookmarkEnd w:id="36"/>
      <w:bookmarkEnd w:id="37"/>
    </w:p>
    <w:p w14:paraId="312DB005" w14:textId="77777777" w:rsidR="00C31C99" w:rsidRDefault="00816B42">
      <w:pPr>
        <w:pStyle w:val="Teksttreci0"/>
        <w:spacing w:after="200"/>
        <w:jc w:val="both"/>
      </w:pPr>
      <w:r>
        <w:t>Ogólne wymagania dotyczące materiałów, ich pozyskiwania i składowania, podano w SST DM-00.00.00 „Wymagania ogólne” pkt 2.</w:t>
      </w:r>
    </w:p>
    <w:p w14:paraId="312DB006" w14:textId="77777777" w:rsidR="00C31C99" w:rsidRDefault="00816B42">
      <w:pPr>
        <w:pStyle w:val="Nagwek50"/>
        <w:keepNext/>
        <w:keepLines/>
        <w:numPr>
          <w:ilvl w:val="1"/>
          <w:numId w:val="1"/>
        </w:numPr>
        <w:tabs>
          <w:tab w:val="left" w:pos="478"/>
        </w:tabs>
        <w:spacing w:after="100"/>
      </w:pPr>
      <w:bookmarkStart w:id="38" w:name="bookmark49"/>
      <w:bookmarkStart w:id="39" w:name="bookmark47"/>
      <w:bookmarkStart w:id="40" w:name="bookmark48"/>
      <w:bookmarkStart w:id="41" w:name="bookmark50"/>
      <w:bookmarkEnd w:id="38"/>
      <w:r>
        <w:t>Rodzaje materiałów</w:t>
      </w:r>
      <w:bookmarkEnd w:id="39"/>
      <w:bookmarkEnd w:id="40"/>
      <w:bookmarkEnd w:id="41"/>
    </w:p>
    <w:p w14:paraId="312DB007" w14:textId="77777777" w:rsidR="00C31C99" w:rsidRDefault="00816B42">
      <w:pPr>
        <w:pStyle w:val="Teksttreci0"/>
        <w:ind w:firstLine="360"/>
      </w:pPr>
      <w:r>
        <w:t>Materiałami stosowanymi przy wykonywaniu podbudowy z tłucznia, wg PN-S-96023 [9], są:</w:t>
      </w:r>
    </w:p>
    <w:p w14:paraId="312DB008" w14:textId="77777777" w:rsidR="00C31C99" w:rsidRDefault="00816B42">
      <w:pPr>
        <w:pStyle w:val="Teksttreci0"/>
        <w:numPr>
          <w:ilvl w:val="0"/>
          <w:numId w:val="4"/>
        </w:numPr>
        <w:tabs>
          <w:tab w:val="left" w:pos="741"/>
        </w:tabs>
        <w:spacing w:line="223" w:lineRule="auto"/>
        <w:ind w:firstLine="440"/>
      </w:pPr>
      <w:bookmarkStart w:id="42" w:name="bookmark51"/>
      <w:bookmarkEnd w:id="42"/>
      <w:r>
        <w:t>kruszywo łamane zwykłe: tłuczeń i kliniec, wg PN-B-11112 [8],</w:t>
      </w:r>
    </w:p>
    <w:p w14:paraId="312DB009" w14:textId="77777777" w:rsidR="00C31C99" w:rsidRDefault="00816B42">
      <w:pPr>
        <w:pStyle w:val="Teksttreci0"/>
        <w:numPr>
          <w:ilvl w:val="0"/>
          <w:numId w:val="4"/>
        </w:numPr>
        <w:tabs>
          <w:tab w:val="left" w:pos="741"/>
        </w:tabs>
        <w:spacing w:after="360" w:line="223" w:lineRule="auto"/>
        <w:ind w:firstLine="440"/>
      </w:pPr>
      <w:bookmarkStart w:id="43" w:name="bookmark52"/>
      <w:bookmarkEnd w:id="43"/>
      <w:r>
        <w:t>woda do skropienia podczas wałowania i klinowania.</w:t>
      </w:r>
    </w:p>
    <w:p w14:paraId="312DB00A" w14:textId="77777777" w:rsidR="00C31C99" w:rsidRDefault="00816B42">
      <w:pPr>
        <w:pStyle w:val="Nagwek50"/>
        <w:keepNext/>
        <w:keepLines/>
        <w:numPr>
          <w:ilvl w:val="1"/>
          <w:numId w:val="1"/>
        </w:numPr>
        <w:tabs>
          <w:tab w:val="left" w:pos="478"/>
        </w:tabs>
        <w:spacing w:after="100"/>
      </w:pPr>
      <w:bookmarkStart w:id="44" w:name="bookmark55"/>
      <w:bookmarkStart w:id="45" w:name="bookmark53"/>
      <w:bookmarkStart w:id="46" w:name="bookmark54"/>
      <w:bookmarkStart w:id="47" w:name="bookmark56"/>
      <w:bookmarkEnd w:id="44"/>
      <w:r>
        <w:t>Wymagania dla materiałów</w:t>
      </w:r>
      <w:bookmarkEnd w:id="45"/>
      <w:bookmarkEnd w:id="46"/>
      <w:bookmarkEnd w:id="47"/>
    </w:p>
    <w:p w14:paraId="312DB00B" w14:textId="77777777" w:rsidR="00C31C99" w:rsidRDefault="00816B42">
      <w:pPr>
        <w:pStyle w:val="Teksttreci0"/>
        <w:spacing w:after="0"/>
      </w:pPr>
      <w:r>
        <w:t>Do wykonania podbudowy należy użyć następujące rodzaje kruszywa, według PN-B-11112 [8]:</w:t>
      </w:r>
    </w:p>
    <w:p w14:paraId="312DB00C" w14:textId="77777777" w:rsidR="00C31C99" w:rsidRDefault="00816B42">
      <w:pPr>
        <w:pStyle w:val="Teksttreci0"/>
        <w:numPr>
          <w:ilvl w:val="0"/>
          <w:numId w:val="4"/>
        </w:numPr>
        <w:tabs>
          <w:tab w:val="left" w:pos="634"/>
        </w:tabs>
        <w:spacing w:after="0" w:line="223" w:lineRule="auto"/>
      </w:pPr>
      <w:bookmarkStart w:id="48" w:name="bookmark57"/>
      <w:bookmarkEnd w:id="48"/>
      <w:r>
        <w:t>tłuczeń od 20 mm do 31,5 mm,</w:t>
      </w:r>
    </w:p>
    <w:p w14:paraId="312DB00D" w14:textId="77777777" w:rsidR="00C31C99" w:rsidRDefault="00816B42">
      <w:pPr>
        <w:pStyle w:val="Teksttreci0"/>
        <w:numPr>
          <w:ilvl w:val="0"/>
          <w:numId w:val="4"/>
        </w:numPr>
        <w:tabs>
          <w:tab w:val="left" w:pos="634"/>
        </w:tabs>
        <w:spacing w:after="0" w:line="223" w:lineRule="auto"/>
      </w:pPr>
      <w:bookmarkStart w:id="49" w:name="bookmark58"/>
      <w:bookmarkEnd w:id="49"/>
      <w:r>
        <w:t>kliniec od 12 mm do 31,5 mm,</w:t>
      </w:r>
    </w:p>
    <w:p w14:paraId="312DB00E" w14:textId="77777777" w:rsidR="00C31C99" w:rsidRDefault="00816B42">
      <w:pPr>
        <w:pStyle w:val="Teksttreci0"/>
        <w:numPr>
          <w:ilvl w:val="0"/>
          <w:numId w:val="4"/>
        </w:numPr>
        <w:tabs>
          <w:tab w:val="left" w:pos="634"/>
        </w:tabs>
        <w:spacing w:line="223" w:lineRule="auto"/>
      </w:pPr>
      <w:bookmarkStart w:id="50" w:name="bookmark59"/>
      <w:bookmarkEnd w:id="50"/>
      <w:r>
        <w:t>kruszywo do klinowania - kliniec od 4 mm do 20 mm.</w:t>
      </w:r>
    </w:p>
    <w:p w14:paraId="312DB00F" w14:textId="77777777" w:rsidR="00C31C99" w:rsidRDefault="00816B42">
      <w:pPr>
        <w:pStyle w:val="Teksttreci0"/>
        <w:spacing w:after="200"/>
        <w:jc w:val="both"/>
      </w:pPr>
      <w:r>
        <w:t>Inspektor Nadzoru może dopuścić do wykonania podbudowy inne rodzaje kruszywa, wybrane spośród wymienionych w PN-S-96023 [9], dla których wymagania zostaną określone w SST.</w:t>
      </w:r>
      <w:r>
        <w:br w:type="page"/>
      </w:r>
    </w:p>
    <w:p w14:paraId="312DB010" w14:textId="77777777" w:rsidR="00C31C99" w:rsidRDefault="00816B42">
      <w:pPr>
        <w:pStyle w:val="Teksttreci0"/>
        <w:spacing w:after="120"/>
      </w:pPr>
      <w:r>
        <w:lastRenderedPageBreak/>
        <w:t>Jakość kruszywa powinna być zgodna z wymaganiami normy PN-B-11112 [8], określonymi dla:</w:t>
      </w:r>
    </w:p>
    <w:p w14:paraId="312DB011" w14:textId="77777777" w:rsidR="00C31C99" w:rsidRDefault="00816B42">
      <w:pPr>
        <w:pStyle w:val="Teksttreci0"/>
        <w:spacing w:after="120" w:line="223" w:lineRule="auto"/>
      </w:pPr>
      <w:r>
        <w:rPr>
          <w:sz w:val="22"/>
          <w:szCs w:val="22"/>
        </w:rPr>
        <w:t xml:space="preserve">- </w:t>
      </w:r>
      <w:r>
        <w:t>klasy co najmniej II - dla podbudowy zasadniczej,</w:t>
      </w:r>
    </w:p>
    <w:p w14:paraId="312DB012" w14:textId="77777777" w:rsidR="00C31C99" w:rsidRDefault="00816B42">
      <w:pPr>
        <w:pStyle w:val="Teksttreci0"/>
        <w:spacing w:after="120"/>
        <w:ind w:firstLine="160"/>
      </w:pPr>
      <w:r>
        <w:t>Do jednowarstwowych podbudów lub podbudowy zasadniczej należy stosować kruszywo gatunku co najmniej 2.</w:t>
      </w:r>
    </w:p>
    <w:p w14:paraId="312DB013" w14:textId="77777777" w:rsidR="00C31C99" w:rsidRDefault="00816B42">
      <w:pPr>
        <w:pStyle w:val="Teksttreci0"/>
        <w:spacing w:after="240"/>
      </w:pPr>
      <w:r>
        <w:t>Wymagania dla kruszywa przedstawiono w tablicach 1 i 2 niniejszej specyfikacji</w:t>
      </w:r>
    </w:p>
    <w:p w14:paraId="312DB014" w14:textId="77777777" w:rsidR="00C31C99" w:rsidRDefault="00816B42">
      <w:pPr>
        <w:pStyle w:val="Teksttreci0"/>
        <w:spacing w:after="120"/>
        <w:ind w:firstLine="0"/>
      </w:pPr>
      <w:r>
        <w:t>Tablica 1. Wymagania dla tłucznia i klińca, wg PN-B-11112 [8]</w:t>
      </w:r>
    </w:p>
    <w:tbl>
      <w:tblPr>
        <w:tblOverlap w:val="never"/>
        <w:tblW w:w="0" w:type="auto"/>
        <w:jc w:val="right"/>
        <w:tblLayout w:type="fixed"/>
        <w:tblCellMar>
          <w:left w:w="10" w:type="dxa"/>
          <w:right w:w="10" w:type="dxa"/>
        </w:tblCellMar>
        <w:tblLook w:val="04A0" w:firstRow="1" w:lastRow="0" w:firstColumn="1" w:lastColumn="0" w:noHBand="0" w:noVBand="1"/>
      </w:tblPr>
      <w:tblGrid>
        <w:gridCol w:w="504"/>
        <w:gridCol w:w="5602"/>
        <w:gridCol w:w="1142"/>
      </w:tblGrid>
      <w:tr w:rsidR="00C31C99" w14:paraId="312DB018" w14:textId="77777777">
        <w:trPr>
          <w:trHeight w:hRule="exact" w:val="514"/>
          <w:jc w:val="right"/>
        </w:trPr>
        <w:tc>
          <w:tcPr>
            <w:tcW w:w="504" w:type="dxa"/>
            <w:tcBorders>
              <w:top w:val="single" w:sz="4" w:space="0" w:color="auto"/>
              <w:left w:val="single" w:sz="4" w:space="0" w:color="auto"/>
            </w:tcBorders>
            <w:shd w:val="clear" w:color="auto" w:fill="FFFFFF"/>
            <w:vAlign w:val="center"/>
          </w:tcPr>
          <w:p w14:paraId="312DB015" w14:textId="77777777" w:rsidR="00C31C99" w:rsidRDefault="00816B42">
            <w:pPr>
              <w:pStyle w:val="Inne0"/>
              <w:spacing w:after="0"/>
              <w:ind w:firstLine="0"/>
              <w:jc w:val="center"/>
            </w:pPr>
            <w:r>
              <w:rPr>
                <w:b/>
                <w:bCs/>
              </w:rPr>
              <w:t>Lp.</w:t>
            </w:r>
          </w:p>
        </w:tc>
        <w:tc>
          <w:tcPr>
            <w:tcW w:w="5602" w:type="dxa"/>
            <w:tcBorders>
              <w:top w:val="single" w:sz="4" w:space="0" w:color="auto"/>
              <w:left w:val="single" w:sz="4" w:space="0" w:color="auto"/>
            </w:tcBorders>
            <w:shd w:val="clear" w:color="auto" w:fill="FFFFFF"/>
            <w:vAlign w:val="center"/>
          </w:tcPr>
          <w:p w14:paraId="312DB016" w14:textId="77777777" w:rsidR="00C31C99" w:rsidRDefault="00816B42">
            <w:pPr>
              <w:pStyle w:val="Inne0"/>
              <w:spacing w:after="0"/>
              <w:ind w:firstLine="0"/>
              <w:jc w:val="center"/>
            </w:pPr>
            <w:r>
              <w:rPr>
                <w:b/>
                <w:bCs/>
              </w:rPr>
              <w:t>Właściwości</w:t>
            </w:r>
          </w:p>
        </w:tc>
        <w:tc>
          <w:tcPr>
            <w:tcW w:w="1142" w:type="dxa"/>
            <w:tcBorders>
              <w:top w:val="single" w:sz="4" w:space="0" w:color="auto"/>
              <w:left w:val="single" w:sz="4" w:space="0" w:color="auto"/>
              <w:right w:val="single" w:sz="4" w:space="0" w:color="auto"/>
            </w:tcBorders>
            <w:shd w:val="clear" w:color="auto" w:fill="FFFFFF"/>
            <w:vAlign w:val="center"/>
          </w:tcPr>
          <w:p w14:paraId="312DB017" w14:textId="77777777" w:rsidR="00C31C99" w:rsidRDefault="00816B42">
            <w:pPr>
              <w:pStyle w:val="Inne0"/>
              <w:spacing w:after="0"/>
              <w:ind w:firstLine="0"/>
              <w:jc w:val="center"/>
            </w:pPr>
            <w:r>
              <w:rPr>
                <w:b/>
                <w:bCs/>
              </w:rPr>
              <w:t>Klasa II</w:t>
            </w:r>
          </w:p>
        </w:tc>
      </w:tr>
      <w:tr w:rsidR="00C31C99" w14:paraId="312DB022" w14:textId="77777777">
        <w:trPr>
          <w:trHeight w:hRule="exact" w:val="1445"/>
          <w:jc w:val="right"/>
        </w:trPr>
        <w:tc>
          <w:tcPr>
            <w:tcW w:w="504" w:type="dxa"/>
            <w:tcBorders>
              <w:top w:val="single" w:sz="4" w:space="0" w:color="auto"/>
              <w:left w:val="single" w:sz="4" w:space="0" w:color="auto"/>
            </w:tcBorders>
            <w:shd w:val="clear" w:color="auto" w:fill="FFFFFF"/>
          </w:tcPr>
          <w:p w14:paraId="312DB019" w14:textId="77777777" w:rsidR="00C31C99" w:rsidRDefault="00816B42">
            <w:pPr>
              <w:pStyle w:val="Inne0"/>
              <w:spacing w:after="0"/>
              <w:ind w:firstLine="0"/>
              <w:jc w:val="center"/>
            </w:pPr>
            <w:r>
              <w:t>1</w:t>
            </w:r>
          </w:p>
        </w:tc>
        <w:tc>
          <w:tcPr>
            <w:tcW w:w="5602" w:type="dxa"/>
            <w:tcBorders>
              <w:top w:val="single" w:sz="4" w:space="0" w:color="auto"/>
              <w:left w:val="single" w:sz="4" w:space="0" w:color="auto"/>
            </w:tcBorders>
            <w:shd w:val="clear" w:color="auto" w:fill="FFFFFF"/>
            <w:vAlign w:val="bottom"/>
          </w:tcPr>
          <w:p w14:paraId="312DB01A" w14:textId="77777777" w:rsidR="00C31C99" w:rsidRDefault="00816B42">
            <w:pPr>
              <w:pStyle w:val="Inne0"/>
              <w:spacing w:after="0"/>
              <w:ind w:firstLine="0"/>
            </w:pPr>
            <w:r>
              <w:t>Ścieralność w bębnie Los Angeles, wg PN-B-06714-42 [7]:</w:t>
            </w:r>
          </w:p>
          <w:p w14:paraId="312DB01B" w14:textId="77777777" w:rsidR="00C31C99" w:rsidRDefault="00816B42">
            <w:pPr>
              <w:pStyle w:val="Inne0"/>
              <w:numPr>
                <w:ilvl w:val="0"/>
                <w:numId w:val="5"/>
              </w:numPr>
              <w:tabs>
                <w:tab w:val="left" w:pos="197"/>
              </w:tabs>
              <w:spacing w:after="0"/>
              <w:ind w:firstLine="0"/>
            </w:pPr>
            <w:r>
              <w:t>po pełnej liczbie obrotów, % ubytku masy, nie więcej niż:</w:t>
            </w:r>
          </w:p>
          <w:p w14:paraId="312DB01C" w14:textId="77777777" w:rsidR="00C31C99" w:rsidRDefault="00816B42">
            <w:pPr>
              <w:pStyle w:val="Inne0"/>
              <w:numPr>
                <w:ilvl w:val="0"/>
                <w:numId w:val="6"/>
              </w:numPr>
              <w:tabs>
                <w:tab w:val="left" w:pos="366"/>
              </w:tabs>
              <w:spacing w:after="0"/>
              <w:ind w:firstLine="260"/>
            </w:pPr>
            <w:r>
              <w:t>w tłuczniu</w:t>
            </w:r>
          </w:p>
          <w:p w14:paraId="312DB01D" w14:textId="77777777" w:rsidR="00C31C99" w:rsidRDefault="00816B42">
            <w:pPr>
              <w:pStyle w:val="Inne0"/>
              <w:numPr>
                <w:ilvl w:val="0"/>
                <w:numId w:val="6"/>
              </w:numPr>
              <w:tabs>
                <w:tab w:val="left" w:pos="366"/>
              </w:tabs>
              <w:spacing w:after="0"/>
              <w:ind w:firstLine="260"/>
            </w:pPr>
            <w:r>
              <w:t>w klińcu</w:t>
            </w:r>
          </w:p>
          <w:p w14:paraId="312DB01E" w14:textId="77777777" w:rsidR="00C31C99" w:rsidRDefault="00816B42">
            <w:pPr>
              <w:pStyle w:val="Inne0"/>
              <w:numPr>
                <w:ilvl w:val="0"/>
                <w:numId w:val="5"/>
              </w:numPr>
              <w:tabs>
                <w:tab w:val="left" w:pos="221"/>
              </w:tabs>
              <w:spacing w:after="0"/>
              <w:ind w:left="260" w:hanging="260"/>
            </w:pPr>
            <w:r>
              <w:t>po 1/5 pełnej liczby obrotów, % ubytku masy w stosunku do ubytku masy po pełnej liczbie obrotów, nie więcej niż:</w:t>
            </w:r>
          </w:p>
        </w:tc>
        <w:tc>
          <w:tcPr>
            <w:tcW w:w="1142" w:type="dxa"/>
            <w:tcBorders>
              <w:top w:val="single" w:sz="4" w:space="0" w:color="auto"/>
              <w:left w:val="single" w:sz="4" w:space="0" w:color="auto"/>
              <w:right w:val="single" w:sz="4" w:space="0" w:color="auto"/>
            </w:tcBorders>
            <w:shd w:val="clear" w:color="auto" w:fill="FFFFFF"/>
            <w:vAlign w:val="bottom"/>
          </w:tcPr>
          <w:p w14:paraId="312DB01F" w14:textId="77777777" w:rsidR="00C31C99" w:rsidRDefault="00816B42">
            <w:pPr>
              <w:pStyle w:val="Inne0"/>
              <w:spacing w:after="0"/>
              <w:ind w:firstLine="0"/>
              <w:jc w:val="center"/>
            </w:pPr>
            <w:r>
              <w:t>35</w:t>
            </w:r>
          </w:p>
          <w:p w14:paraId="312DB020" w14:textId="77777777" w:rsidR="00C31C99" w:rsidRDefault="00816B42">
            <w:pPr>
              <w:pStyle w:val="Inne0"/>
              <w:spacing w:after="240"/>
              <w:ind w:firstLine="0"/>
              <w:jc w:val="center"/>
            </w:pPr>
            <w:r>
              <w:t>40</w:t>
            </w:r>
          </w:p>
          <w:p w14:paraId="312DB021" w14:textId="77777777" w:rsidR="00C31C99" w:rsidRDefault="00816B42">
            <w:pPr>
              <w:pStyle w:val="Inne0"/>
              <w:spacing w:after="120"/>
              <w:ind w:firstLine="0"/>
              <w:jc w:val="center"/>
            </w:pPr>
            <w:r>
              <w:t>30</w:t>
            </w:r>
          </w:p>
        </w:tc>
      </w:tr>
      <w:tr w:rsidR="00C31C99" w14:paraId="312DB029" w14:textId="77777777">
        <w:trPr>
          <w:trHeight w:hRule="exact" w:val="955"/>
          <w:jc w:val="right"/>
        </w:trPr>
        <w:tc>
          <w:tcPr>
            <w:tcW w:w="504" w:type="dxa"/>
            <w:tcBorders>
              <w:top w:val="single" w:sz="4" w:space="0" w:color="auto"/>
              <w:left w:val="single" w:sz="4" w:space="0" w:color="auto"/>
            </w:tcBorders>
            <w:shd w:val="clear" w:color="auto" w:fill="FFFFFF"/>
          </w:tcPr>
          <w:p w14:paraId="312DB023" w14:textId="77777777" w:rsidR="00C31C99" w:rsidRDefault="00816B42">
            <w:pPr>
              <w:pStyle w:val="Inne0"/>
              <w:spacing w:after="0"/>
              <w:ind w:firstLine="0"/>
              <w:jc w:val="center"/>
            </w:pPr>
            <w:r>
              <w:t>2</w:t>
            </w:r>
          </w:p>
        </w:tc>
        <w:tc>
          <w:tcPr>
            <w:tcW w:w="5602" w:type="dxa"/>
            <w:tcBorders>
              <w:top w:val="single" w:sz="4" w:space="0" w:color="auto"/>
              <w:left w:val="single" w:sz="4" w:space="0" w:color="auto"/>
            </w:tcBorders>
            <w:shd w:val="clear" w:color="auto" w:fill="FFFFFF"/>
          </w:tcPr>
          <w:p w14:paraId="312DB024" w14:textId="77777777" w:rsidR="00C31C99" w:rsidRDefault="00816B42">
            <w:pPr>
              <w:pStyle w:val="Inne0"/>
              <w:spacing w:after="0"/>
              <w:ind w:firstLine="0"/>
            </w:pPr>
            <w:r>
              <w:t>Nasiąkliwość, wg PN-B-06714-18 [4], % m/m, nie więcej niż:</w:t>
            </w:r>
          </w:p>
          <w:p w14:paraId="312DB025" w14:textId="77777777" w:rsidR="00C31C99" w:rsidRDefault="00816B42">
            <w:pPr>
              <w:pStyle w:val="Inne0"/>
              <w:numPr>
                <w:ilvl w:val="0"/>
                <w:numId w:val="7"/>
              </w:numPr>
              <w:tabs>
                <w:tab w:val="left" w:pos="202"/>
              </w:tabs>
              <w:spacing w:after="0"/>
              <w:ind w:firstLine="0"/>
            </w:pPr>
            <w:r>
              <w:t>dla kruszyw ze skał magmowych i przeobrażonych</w:t>
            </w:r>
          </w:p>
          <w:p w14:paraId="312DB026" w14:textId="77777777" w:rsidR="00C31C99" w:rsidRDefault="00816B42">
            <w:pPr>
              <w:pStyle w:val="Inne0"/>
              <w:numPr>
                <w:ilvl w:val="0"/>
                <w:numId w:val="7"/>
              </w:numPr>
              <w:tabs>
                <w:tab w:val="left" w:pos="226"/>
              </w:tabs>
              <w:spacing w:after="0"/>
              <w:ind w:firstLine="0"/>
            </w:pPr>
            <w:r>
              <w:t>dla kruszyw ze skał osadowych</w:t>
            </w:r>
          </w:p>
        </w:tc>
        <w:tc>
          <w:tcPr>
            <w:tcW w:w="1142" w:type="dxa"/>
            <w:tcBorders>
              <w:top w:val="single" w:sz="4" w:space="0" w:color="auto"/>
              <w:left w:val="single" w:sz="4" w:space="0" w:color="auto"/>
              <w:right w:val="single" w:sz="4" w:space="0" w:color="auto"/>
            </w:tcBorders>
            <w:shd w:val="clear" w:color="auto" w:fill="FFFFFF"/>
            <w:vAlign w:val="bottom"/>
          </w:tcPr>
          <w:p w14:paraId="312DB027" w14:textId="77777777" w:rsidR="00C31C99" w:rsidRDefault="00816B42">
            <w:pPr>
              <w:pStyle w:val="Inne0"/>
              <w:spacing w:after="0"/>
              <w:ind w:firstLine="0"/>
              <w:jc w:val="center"/>
            </w:pPr>
            <w:r>
              <w:t>2,0</w:t>
            </w:r>
          </w:p>
          <w:p w14:paraId="312DB028" w14:textId="77777777" w:rsidR="00C31C99" w:rsidRDefault="00816B42">
            <w:pPr>
              <w:pStyle w:val="Inne0"/>
              <w:spacing w:after="0"/>
              <w:ind w:firstLine="0"/>
              <w:jc w:val="center"/>
            </w:pPr>
            <w:r>
              <w:t>3,0</w:t>
            </w:r>
          </w:p>
        </w:tc>
      </w:tr>
      <w:tr w:rsidR="00C31C99" w14:paraId="312DB030" w14:textId="77777777">
        <w:trPr>
          <w:trHeight w:hRule="exact" w:val="955"/>
          <w:jc w:val="right"/>
        </w:trPr>
        <w:tc>
          <w:tcPr>
            <w:tcW w:w="504" w:type="dxa"/>
            <w:tcBorders>
              <w:top w:val="single" w:sz="4" w:space="0" w:color="auto"/>
              <w:left w:val="single" w:sz="4" w:space="0" w:color="auto"/>
            </w:tcBorders>
            <w:shd w:val="clear" w:color="auto" w:fill="FFFFFF"/>
          </w:tcPr>
          <w:p w14:paraId="312DB02A" w14:textId="77777777" w:rsidR="00C31C99" w:rsidRDefault="00816B42">
            <w:pPr>
              <w:pStyle w:val="Inne0"/>
              <w:spacing w:after="0"/>
              <w:ind w:firstLine="0"/>
              <w:jc w:val="center"/>
            </w:pPr>
            <w:r>
              <w:t>3</w:t>
            </w:r>
          </w:p>
        </w:tc>
        <w:tc>
          <w:tcPr>
            <w:tcW w:w="5602" w:type="dxa"/>
            <w:tcBorders>
              <w:top w:val="single" w:sz="4" w:space="0" w:color="auto"/>
              <w:left w:val="single" w:sz="4" w:space="0" w:color="auto"/>
            </w:tcBorders>
            <w:shd w:val="clear" w:color="auto" w:fill="FFFFFF"/>
            <w:vAlign w:val="bottom"/>
          </w:tcPr>
          <w:p w14:paraId="312DB02B" w14:textId="77777777" w:rsidR="00C31C99" w:rsidRDefault="00816B42">
            <w:pPr>
              <w:pStyle w:val="Inne0"/>
              <w:spacing w:after="0"/>
              <w:ind w:firstLine="0"/>
            </w:pPr>
            <w:r>
              <w:t>Odporność na działanie mrozu, wg PN-B-06714-19 [5], % ubytku masy, nie więcej niż:</w:t>
            </w:r>
          </w:p>
          <w:p w14:paraId="312DB02C" w14:textId="77777777" w:rsidR="00C31C99" w:rsidRDefault="00816B42">
            <w:pPr>
              <w:pStyle w:val="Inne0"/>
              <w:numPr>
                <w:ilvl w:val="0"/>
                <w:numId w:val="8"/>
              </w:numPr>
              <w:tabs>
                <w:tab w:val="left" w:pos="202"/>
              </w:tabs>
              <w:spacing w:after="0"/>
              <w:ind w:firstLine="0"/>
            </w:pPr>
            <w:r>
              <w:t>dla kruszyw ze skał magmowych i przeobrażonych</w:t>
            </w:r>
          </w:p>
          <w:p w14:paraId="312DB02D" w14:textId="77777777" w:rsidR="00C31C99" w:rsidRDefault="00816B42">
            <w:pPr>
              <w:pStyle w:val="Inne0"/>
              <w:numPr>
                <w:ilvl w:val="0"/>
                <w:numId w:val="8"/>
              </w:numPr>
              <w:tabs>
                <w:tab w:val="left" w:pos="226"/>
              </w:tabs>
              <w:spacing w:after="0"/>
              <w:ind w:firstLine="0"/>
            </w:pPr>
            <w:r>
              <w:t>dla kruszyw ze skał osadowych</w:t>
            </w:r>
          </w:p>
        </w:tc>
        <w:tc>
          <w:tcPr>
            <w:tcW w:w="1142" w:type="dxa"/>
            <w:tcBorders>
              <w:top w:val="single" w:sz="4" w:space="0" w:color="auto"/>
              <w:left w:val="single" w:sz="4" w:space="0" w:color="auto"/>
              <w:right w:val="single" w:sz="4" w:space="0" w:color="auto"/>
            </w:tcBorders>
            <w:shd w:val="clear" w:color="auto" w:fill="FFFFFF"/>
            <w:vAlign w:val="bottom"/>
          </w:tcPr>
          <w:p w14:paraId="312DB02E" w14:textId="77777777" w:rsidR="00C31C99" w:rsidRDefault="00816B42">
            <w:pPr>
              <w:pStyle w:val="Inne0"/>
              <w:spacing w:after="0"/>
              <w:ind w:firstLine="0"/>
              <w:jc w:val="center"/>
            </w:pPr>
            <w:r>
              <w:t>4,0</w:t>
            </w:r>
          </w:p>
          <w:p w14:paraId="312DB02F" w14:textId="77777777" w:rsidR="00C31C99" w:rsidRDefault="00816B42">
            <w:pPr>
              <w:pStyle w:val="Inne0"/>
              <w:spacing w:after="0"/>
              <w:ind w:firstLine="0"/>
              <w:jc w:val="center"/>
            </w:pPr>
            <w:r>
              <w:t>5,0</w:t>
            </w:r>
          </w:p>
        </w:tc>
      </w:tr>
      <w:tr w:rsidR="00C31C99" w14:paraId="312DB037" w14:textId="77777777">
        <w:trPr>
          <w:trHeight w:hRule="exact" w:val="1200"/>
          <w:jc w:val="right"/>
        </w:trPr>
        <w:tc>
          <w:tcPr>
            <w:tcW w:w="504" w:type="dxa"/>
            <w:tcBorders>
              <w:top w:val="single" w:sz="4" w:space="0" w:color="auto"/>
              <w:left w:val="single" w:sz="4" w:space="0" w:color="auto"/>
              <w:bottom w:val="single" w:sz="4" w:space="0" w:color="auto"/>
            </w:tcBorders>
            <w:shd w:val="clear" w:color="auto" w:fill="FFFFFF"/>
          </w:tcPr>
          <w:p w14:paraId="312DB031" w14:textId="77777777" w:rsidR="00C31C99" w:rsidRDefault="00816B42">
            <w:pPr>
              <w:pStyle w:val="Inne0"/>
              <w:spacing w:after="0"/>
              <w:ind w:firstLine="0"/>
              <w:jc w:val="center"/>
            </w:pPr>
            <w:r>
              <w:t>4</w:t>
            </w:r>
          </w:p>
        </w:tc>
        <w:tc>
          <w:tcPr>
            <w:tcW w:w="5602" w:type="dxa"/>
            <w:tcBorders>
              <w:top w:val="single" w:sz="4" w:space="0" w:color="auto"/>
              <w:left w:val="single" w:sz="4" w:space="0" w:color="auto"/>
              <w:bottom w:val="single" w:sz="4" w:space="0" w:color="auto"/>
            </w:tcBorders>
            <w:shd w:val="clear" w:color="auto" w:fill="FFFFFF"/>
            <w:vAlign w:val="bottom"/>
          </w:tcPr>
          <w:p w14:paraId="312DB032" w14:textId="77777777" w:rsidR="00C31C99" w:rsidRDefault="00816B42">
            <w:pPr>
              <w:pStyle w:val="Inne0"/>
              <w:spacing w:after="0"/>
              <w:ind w:firstLine="0"/>
            </w:pPr>
            <w:r>
              <w:t>Odporność na działanie mrozu według zmodyfikowanej metody bezpośredniej, wg PN-B-06714-19 [5] i PN-B-11112 [8], % ubytku masy, nie więcej niż:</w:t>
            </w:r>
          </w:p>
          <w:p w14:paraId="312DB033" w14:textId="77777777" w:rsidR="00C31C99" w:rsidRDefault="00816B42">
            <w:pPr>
              <w:pStyle w:val="Inne0"/>
              <w:numPr>
                <w:ilvl w:val="0"/>
                <w:numId w:val="9"/>
              </w:numPr>
              <w:tabs>
                <w:tab w:val="left" w:pos="106"/>
              </w:tabs>
              <w:spacing w:after="0"/>
              <w:ind w:firstLine="0"/>
            </w:pPr>
            <w:r>
              <w:t>w klińcu</w:t>
            </w:r>
          </w:p>
          <w:p w14:paraId="312DB034" w14:textId="77777777" w:rsidR="00C31C99" w:rsidRDefault="00816B42">
            <w:pPr>
              <w:pStyle w:val="Inne0"/>
              <w:numPr>
                <w:ilvl w:val="0"/>
                <w:numId w:val="9"/>
              </w:numPr>
              <w:tabs>
                <w:tab w:val="left" w:pos="106"/>
              </w:tabs>
              <w:spacing w:after="0"/>
              <w:ind w:firstLine="0"/>
            </w:pPr>
            <w:r>
              <w:t>w tłuczniu</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bottom"/>
          </w:tcPr>
          <w:p w14:paraId="312DB035" w14:textId="77777777" w:rsidR="00C31C99" w:rsidRDefault="00816B42">
            <w:pPr>
              <w:pStyle w:val="Inne0"/>
              <w:spacing w:after="0"/>
              <w:ind w:firstLine="0"/>
              <w:jc w:val="center"/>
            </w:pPr>
            <w:r>
              <w:t>30</w:t>
            </w:r>
          </w:p>
          <w:p w14:paraId="312DB036" w14:textId="77777777" w:rsidR="00C31C99" w:rsidRDefault="00816B42">
            <w:pPr>
              <w:pStyle w:val="Inne0"/>
              <w:spacing w:after="0"/>
              <w:ind w:firstLine="0"/>
            </w:pPr>
            <w:r>
              <w:t>nie bada się</w:t>
            </w:r>
          </w:p>
        </w:tc>
      </w:tr>
    </w:tbl>
    <w:p w14:paraId="312DB038" w14:textId="77777777" w:rsidR="00C31C99" w:rsidRDefault="00C31C99">
      <w:pPr>
        <w:spacing w:after="459" w:line="1" w:lineRule="exact"/>
      </w:pPr>
    </w:p>
    <w:p w14:paraId="312DB039" w14:textId="77777777" w:rsidR="00C31C99" w:rsidRDefault="00816B42">
      <w:pPr>
        <w:pStyle w:val="Teksttreci0"/>
        <w:spacing w:after="240"/>
        <w:ind w:firstLine="0"/>
      </w:pPr>
      <w:r>
        <w:t>Tablica 2. Wymagania dla tłucznia i klińca w zależności od warstwy podbudowy tłuczniowej, wg PN-B-11112 [8]</w:t>
      </w:r>
    </w:p>
    <w:tbl>
      <w:tblPr>
        <w:tblOverlap w:val="never"/>
        <w:tblW w:w="0" w:type="auto"/>
        <w:jc w:val="right"/>
        <w:tblLayout w:type="fixed"/>
        <w:tblCellMar>
          <w:left w:w="10" w:type="dxa"/>
          <w:right w:w="10" w:type="dxa"/>
        </w:tblCellMar>
        <w:tblLook w:val="04A0" w:firstRow="1" w:lastRow="0" w:firstColumn="1" w:lastColumn="0" w:noHBand="0" w:noVBand="1"/>
      </w:tblPr>
      <w:tblGrid>
        <w:gridCol w:w="504"/>
        <w:gridCol w:w="5813"/>
        <w:gridCol w:w="1315"/>
      </w:tblGrid>
      <w:tr w:rsidR="00C31C99" w14:paraId="312DB03D" w14:textId="77777777">
        <w:trPr>
          <w:trHeight w:hRule="exact" w:val="504"/>
          <w:jc w:val="right"/>
        </w:trPr>
        <w:tc>
          <w:tcPr>
            <w:tcW w:w="504" w:type="dxa"/>
            <w:tcBorders>
              <w:top w:val="single" w:sz="4" w:space="0" w:color="auto"/>
              <w:left w:val="single" w:sz="4" w:space="0" w:color="auto"/>
            </w:tcBorders>
            <w:shd w:val="clear" w:color="auto" w:fill="FFFFFF"/>
            <w:vAlign w:val="center"/>
          </w:tcPr>
          <w:p w14:paraId="312DB03A" w14:textId="77777777" w:rsidR="00C31C99" w:rsidRDefault="00816B42">
            <w:pPr>
              <w:pStyle w:val="Inne0"/>
              <w:spacing w:after="0"/>
              <w:ind w:firstLine="0"/>
            </w:pPr>
            <w:r>
              <w:rPr>
                <w:b/>
                <w:bCs/>
                <w:vertAlign w:val="superscript"/>
              </w:rPr>
              <w:t>L</w:t>
            </w:r>
            <w:r>
              <w:rPr>
                <w:b/>
                <w:bCs/>
              </w:rPr>
              <w:t>p.</w:t>
            </w:r>
          </w:p>
        </w:tc>
        <w:tc>
          <w:tcPr>
            <w:tcW w:w="5813" w:type="dxa"/>
            <w:tcBorders>
              <w:top w:val="single" w:sz="4" w:space="0" w:color="auto"/>
              <w:left w:val="single" w:sz="4" w:space="0" w:color="auto"/>
            </w:tcBorders>
            <w:shd w:val="clear" w:color="auto" w:fill="FFFFFF"/>
            <w:vAlign w:val="center"/>
          </w:tcPr>
          <w:p w14:paraId="312DB03B" w14:textId="77777777" w:rsidR="00C31C99" w:rsidRDefault="00816B42">
            <w:pPr>
              <w:pStyle w:val="Inne0"/>
              <w:spacing w:after="0"/>
              <w:ind w:firstLine="0"/>
              <w:jc w:val="center"/>
            </w:pPr>
            <w:r>
              <w:rPr>
                <w:b/>
                <w:bCs/>
              </w:rPr>
              <w:t>Właściwości</w:t>
            </w:r>
          </w:p>
        </w:tc>
        <w:tc>
          <w:tcPr>
            <w:tcW w:w="1315" w:type="dxa"/>
            <w:tcBorders>
              <w:top w:val="single" w:sz="4" w:space="0" w:color="auto"/>
              <w:left w:val="single" w:sz="4" w:space="0" w:color="auto"/>
              <w:right w:val="single" w:sz="4" w:space="0" w:color="auto"/>
            </w:tcBorders>
            <w:shd w:val="clear" w:color="auto" w:fill="FFFFFF"/>
            <w:vAlign w:val="center"/>
          </w:tcPr>
          <w:p w14:paraId="312DB03C" w14:textId="77777777" w:rsidR="00C31C99" w:rsidRDefault="00816B42">
            <w:pPr>
              <w:pStyle w:val="Inne0"/>
              <w:spacing w:after="0"/>
              <w:ind w:firstLine="0"/>
              <w:jc w:val="center"/>
            </w:pPr>
            <w:r>
              <w:rPr>
                <w:b/>
                <w:bCs/>
              </w:rPr>
              <w:t>Podbudowa zasadnicza</w:t>
            </w:r>
          </w:p>
        </w:tc>
      </w:tr>
      <w:tr w:rsidR="00C31C99" w14:paraId="312DB04E" w14:textId="77777777">
        <w:trPr>
          <w:trHeight w:hRule="exact" w:val="2856"/>
          <w:jc w:val="right"/>
        </w:trPr>
        <w:tc>
          <w:tcPr>
            <w:tcW w:w="504" w:type="dxa"/>
            <w:tcBorders>
              <w:top w:val="single" w:sz="4" w:space="0" w:color="auto"/>
              <w:left w:val="single" w:sz="4" w:space="0" w:color="auto"/>
            </w:tcBorders>
            <w:shd w:val="clear" w:color="auto" w:fill="FFFFFF"/>
          </w:tcPr>
          <w:p w14:paraId="312DB03E" w14:textId="77777777" w:rsidR="00C31C99" w:rsidRDefault="00816B42">
            <w:pPr>
              <w:pStyle w:val="Inne0"/>
              <w:spacing w:after="0"/>
              <w:ind w:firstLine="200"/>
            </w:pPr>
            <w:r>
              <w:t>1</w:t>
            </w:r>
          </w:p>
        </w:tc>
        <w:tc>
          <w:tcPr>
            <w:tcW w:w="5813" w:type="dxa"/>
            <w:tcBorders>
              <w:top w:val="single" w:sz="4" w:space="0" w:color="auto"/>
              <w:left w:val="single" w:sz="4" w:space="0" w:color="auto"/>
            </w:tcBorders>
            <w:shd w:val="clear" w:color="auto" w:fill="FFFFFF"/>
            <w:vAlign w:val="center"/>
          </w:tcPr>
          <w:p w14:paraId="312DB03F" w14:textId="77777777" w:rsidR="00C31C99" w:rsidRDefault="00816B42">
            <w:pPr>
              <w:pStyle w:val="Inne0"/>
              <w:spacing w:after="0"/>
              <w:ind w:firstLine="0"/>
            </w:pPr>
            <w:r>
              <w:t>Uziarnienie, wg PN-B-06714-15 [2]</w:t>
            </w:r>
          </w:p>
          <w:p w14:paraId="312DB040" w14:textId="77777777" w:rsidR="00C31C99" w:rsidRDefault="00816B42">
            <w:pPr>
              <w:pStyle w:val="Inne0"/>
              <w:numPr>
                <w:ilvl w:val="0"/>
                <w:numId w:val="10"/>
              </w:numPr>
              <w:tabs>
                <w:tab w:val="left" w:pos="206"/>
              </w:tabs>
              <w:spacing w:after="0"/>
              <w:ind w:left="260" w:hanging="260"/>
            </w:pPr>
            <w:r>
              <w:t xml:space="preserve">zawartość </w:t>
            </w:r>
            <w:proofErr w:type="spellStart"/>
            <w:r>
              <w:t>ziarn</w:t>
            </w:r>
            <w:proofErr w:type="spellEnd"/>
            <w:r>
              <w:t xml:space="preserve"> mniejszych niż 0,075 mm, </w:t>
            </w:r>
            <w:proofErr w:type="spellStart"/>
            <w:r>
              <w:t>odsia</w:t>
            </w:r>
            <w:proofErr w:type="spellEnd"/>
            <w:r>
              <w:t xml:space="preserve">- </w:t>
            </w:r>
            <w:proofErr w:type="spellStart"/>
            <w:r>
              <w:t>nych</w:t>
            </w:r>
            <w:proofErr w:type="spellEnd"/>
            <w:r>
              <w:t xml:space="preserve"> na mokro, % m/m, nie więcej niż:</w:t>
            </w:r>
          </w:p>
          <w:p w14:paraId="312DB041" w14:textId="77777777" w:rsidR="00C31C99" w:rsidRDefault="00816B42">
            <w:pPr>
              <w:pStyle w:val="Inne0"/>
              <w:numPr>
                <w:ilvl w:val="0"/>
                <w:numId w:val="11"/>
              </w:numPr>
              <w:tabs>
                <w:tab w:val="left" w:pos="366"/>
              </w:tabs>
              <w:spacing w:after="0"/>
              <w:ind w:firstLine="260"/>
            </w:pPr>
            <w:r>
              <w:t>w tłuczniu</w:t>
            </w:r>
          </w:p>
          <w:p w14:paraId="312DB042" w14:textId="77777777" w:rsidR="00C31C99" w:rsidRDefault="00816B42">
            <w:pPr>
              <w:pStyle w:val="Inne0"/>
              <w:numPr>
                <w:ilvl w:val="0"/>
                <w:numId w:val="11"/>
              </w:numPr>
              <w:tabs>
                <w:tab w:val="left" w:pos="366"/>
              </w:tabs>
              <w:spacing w:after="0"/>
              <w:ind w:firstLine="260"/>
            </w:pPr>
            <w:r>
              <w:t>w klińcu</w:t>
            </w:r>
          </w:p>
          <w:p w14:paraId="312DB043" w14:textId="77777777" w:rsidR="00C31C99" w:rsidRDefault="00816B42">
            <w:pPr>
              <w:pStyle w:val="Inne0"/>
              <w:numPr>
                <w:ilvl w:val="0"/>
                <w:numId w:val="10"/>
              </w:numPr>
              <w:tabs>
                <w:tab w:val="left" w:pos="226"/>
              </w:tabs>
              <w:spacing w:after="0"/>
              <w:ind w:left="260" w:hanging="260"/>
            </w:pPr>
            <w:r>
              <w:t>zawartość frakcji podstawowej, % m/m, nie mniej niż:</w:t>
            </w:r>
          </w:p>
          <w:p w14:paraId="312DB044" w14:textId="77777777" w:rsidR="00C31C99" w:rsidRDefault="00816B42">
            <w:pPr>
              <w:pStyle w:val="Inne0"/>
              <w:numPr>
                <w:ilvl w:val="0"/>
                <w:numId w:val="11"/>
              </w:numPr>
              <w:tabs>
                <w:tab w:val="left" w:pos="366"/>
              </w:tabs>
              <w:spacing w:after="0"/>
              <w:ind w:firstLine="260"/>
            </w:pPr>
            <w:r>
              <w:t>w tłuczniu i w klińcu</w:t>
            </w:r>
          </w:p>
          <w:p w14:paraId="312DB045" w14:textId="77777777" w:rsidR="00C31C99" w:rsidRDefault="00816B42">
            <w:pPr>
              <w:pStyle w:val="Inne0"/>
              <w:numPr>
                <w:ilvl w:val="0"/>
                <w:numId w:val="10"/>
              </w:numPr>
              <w:tabs>
                <w:tab w:val="left" w:pos="206"/>
              </w:tabs>
              <w:spacing w:after="0"/>
              <w:ind w:firstLine="0"/>
            </w:pPr>
            <w:r>
              <w:t>zawartość podziarna, % m/m, nie więcej niż:</w:t>
            </w:r>
          </w:p>
          <w:p w14:paraId="312DB046" w14:textId="77777777" w:rsidR="00C31C99" w:rsidRDefault="00816B42">
            <w:pPr>
              <w:pStyle w:val="Inne0"/>
              <w:numPr>
                <w:ilvl w:val="0"/>
                <w:numId w:val="11"/>
              </w:numPr>
              <w:tabs>
                <w:tab w:val="left" w:pos="366"/>
              </w:tabs>
              <w:spacing w:after="0"/>
              <w:ind w:firstLine="260"/>
            </w:pPr>
            <w:r>
              <w:t>w tłuczniu i w klińcu</w:t>
            </w:r>
          </w:p>
          <w:p w14:paraId="312DB047" w14:textId="77777777" w:rsidR="00C31C99" w:rsidRDefault="00816B42">
            <w:pPr>
              <w:pStyle w:val="Inne0"/>
              <w:numPr>
                <w:ilvl w:val="0"/>
                <w:numId w:val="10"/>
              </w:numPr>
              <w:tabs>
                <w:tab w:val="left" w:pos="216"/>
              </w:tabs>
              <w:spacing w:after="0"/>
              <w:ind w:firstLine="0"/>
            </w:pPr>
            <w:r>
              <w:t>zawartość nadziarna, % m/m, nie więcej niż:</w:t>
            </w:r>
          </w:p>
          <w:p w14:paraId="312DB048" w14:textId="77777777" w:rsidR="00C31C99" w:rsidRDefault="00816B42">
            <w:pPr>
              <w:pStyle w:val="Inne0"/>
              <w:numPr>
                <w:ilvl w:val="0"/>
                <w:numId w:val="11"/>
              </w:numPr>
              <w:tabs>
                <w:tab w:val="left" w:pos="366"/>
              </w:tabs>
              <w:spacing w:after="0"/>
              <w:ind w:firstLine="260"/>
            </w:pPr>
            <w:r>
              <w:t>w tłuczniu i w klińcu</w:t>
            </w:r>
          </w:p>
        </w:tc>
        <w:tc>
          <w:tcPr>
            <w:tcW w:w="1315" w:type="dxa"/>
            <w:tcBorders>
              <w:top w:val="single" w:sz="4" w:space="0" w:color="auto"/>
              <w:left w:val="single" w:sz="4" w:space="0" w:color="auto"/>
              <w:right w:val="single" w:sz="4" w:space="0" w:color="auto"/>
            </w:tcBorders>
            <w:shd w:val="clear" w:color="auto" w:fill="FFFFFF"/>
            <w:vAlign w:val="bottom"/>
          </w:tcPr>
          <w:p w14:paraId="312DB049" w14:textId="77777777" w:rsidR="00C31C99" w:rsidRDefault="00816B42">
            <w:pPr>
              <w:pStyle w:val="Inne0"/>
              <w:spacing w:after="0"/>
              <w:ind w:firstLine="0"/>
              <w:jc w:val="center"/>
            </w:pPr>
            <w:r>
              <w:t>3</w:t>
            </w:r>
          </w:p>
          <w:p w14:paraId="312DB04A" w14:textId="77777777" w:rsidR="00C31C99" w:rsidRDefault="00816B42">
            <w:pPr>
              <w:pStyle w:val="Inne0"/>
              <w:spacing w:after="460"/>
              <w:ind w:firstLine="0"/>
              <w:jc w:val="center"/>
            </w:pPr>
            <w:r>
              <w:t>4</w:t>
            </w:r>
          </w:p>
          <w:p w14:paraId="312DB04B" w14:textId="77777777" w:rsidR="00C31C99" w:rsidRDefault="00816B42">
            <w:pPr>
              <w:pStyle w:val="Inne0"/>
              <w:spacing w:after="240"/>
              <w:ind w:firstLine="0"/>
              <w:jc w:val="center"/>
            </w:pPr>
            <w:r>
              <w:t>75</w:t>
            </w:r>
          </w:p>
          <w:p w14:paraId="312DB04C" w14:textId="77777777" w:rsidR="00C31C99" w:rsidRDefault="00816B42">
            <w:pPr>
              <w:pStyle w:val="Inne0"/>
              <w:spacing w:after="240"/>
              <w:ind w:firstLine="0"/>
              <w:jc w:val="center"/>
            </w:pPr>
            <w:r>
              <w:t>15</w:t>
            </w:r>
          </w:p>
          <w:p w14:paraId="312DB04D" w14:textId="77777777" w:rsidR="00C31C99" w:rsidRDefault="00816B42">
            <w:pPr>
              <w:pStyle w:val="Inne0"/>
              <w:spacing w:after="240"/>
              <w:ind w:firstLine="0"/>
              <w:jc w:val="center"/>
            </w:pPr>
            <w:r>
              <w:t>15</w:t>
            </w:r>
          </w:p>
        </w:tc>
      </w:tr>
      <w:tr w:rsidR="00C31C99" w14:paraId="312DB053" w14:textId="77777777">
        <w:trPr>
          <w:trHeight w:hRule="exact" w:val="720"/>
          <w:jc w:val="right"/>
        </w:trPr>
        <w:tc>
          <w:tcPr>
            <w:tcW w:w="504" w:type="dxa"/>
            <w:tcBorders>
              <w:top w:val="single" w:sz="4" w:space="0" w:color="auto"/>
              <w:left w:val="single" w:sz="4" w:space="0" w:color="auto"/>
            </w:tcBorders>
            <w:shd w:val="clear" w:color="auto" w:fill="FFFFFF"/>
          </w:tcPr>
          <w:p w14:paraId="312DB04F" w14:textId="77777777" w:rsidR="00C31C99" w:rsidRDefault="00816B42">
            <w:pPr>
              <w:pStyle w:val="Inne0"/>
              <w:spacing w:after="0"/>
              <w:ind w:firstLine="200"/>
            </w:pPr>
            <w:r>
              <w:t>2</w:t>
            </w:r>
          </w:p>
        </w:tc>
        <w:tc>
          <w:tcPr>
            <w:tcW w:w="5813" w:type="dxa"/>
            <w:tcBorders>
              <w:top w:val="single" w:sz="4" w:space="0" w:color="auto"/>
              <w:left w:val="single" w:sz="4" w:space="0" w:color="auto"/>
            </w:tcBorders>
            <w:shd w:val="clear" w:color="auto" w:fill="FFFFFF"/>
            <w:vAlign w:val="bottom"/>
          </w:tcPr>
          <w:p w14:paraId="312DB050" w14:textId="77777777" w:rsidR="00C31C99" w:rsidRDefault="00816B42">
            <w:pPr>
              <w:pStyle w:val="Inne0"/>
              <w:spacing w:after="0"/>
              <w:ind w:firstLine="0"/>
            </w:pPr>
            <w:r>
              <w:t>Zawartość zanieczyszczeń obcych, wg PN-B-06714-12 [1], % m/m, nie więcej niż:</w:t>
            </w:r>
          </w:p>
          <w:p w14:paraId="312DB051" w14:textId="77777777" w:rsidR="00C31C99" w:rsidRDefault="00816B42">
            <w:pPr>
              <w:pStyle w:val="Inne0"/>
              <w:spacing w:after="0"/>
              <w:ind w:firstLine="0"/>
            </w:pPr>
            <w:r>
              <w:t>- w tłuczniu i w klińcu</w:t>
            </w:r>
          </w:p>
        </w:tc>
        <w:tc>
          <w:tcPr>
            <w:tcW w:w="1315" w:type="dxa"/>
            <w:tcBorders>
              <w:top w:val="single" w:sz="4" w:space="0" w:color="auto"/>
              <w:left w:val="single" w:sz="4" w:space="0" w:color="auto"/>
              <w:right w:val="single" w:sz="4" w:space="0" w:color="auto"/>
            </w:tcBorders>
            <w:shd w:val="clear" w:color="auto" w:fill="FFFFFF"/>
            <w:vAlign w:val="bottom"/>
          </w:tcPr>
          <w:p w14:paraId="312DB052" w14:textId="77777777" w:rsidR="00C31C99" w:rsidRDefault="00816B42">
            <w:pPr>
              <w:pStyle w:val="Inne0"/>
              <w:spacing w:after="0"/>
              <w:ind w:firstLine="0"/>
              <w:jc w:val="center"/>
            </w:pPr>
            <w:r>
              <w:t>0,2</w:t>
            </w:r>
          </w:p>
        </w:tc>
      </w:tr>
      <w:tr w:rsidR="00C31C99" w14:paraId="312DB05A" w14:textId="77777777">
        <w:trPr>
          <w:trHeight w:hRule="exact" w:val="955"/>
          <w:jc w:val="right"/>
        </w:trPr>
        <w:tc>
          <w:tcPr>
            <w:tcW w:w="504" w:type="dxa"/>
            <w:tcBorders>
              <w:top w:val="single" w:sz="4" w:space="0" w:color="auto"/>
              <w:left w:val="single" w:sz="4" w:space="0" w:color="auto"/>
            </w:tcBorders>
            <w:shd w:val="clear" w:color="auto" w:fill="FFFFFF"/>
          </w:tcPr>
          <w:p w14:paraId="312DB054" w14:textId="77777777" w:rsidR="00C31C99" w:rsidRDefault="00816B42">
            <w:pPr>
              <w:pStyle w:val="Inne0"/>
              <w:spacing w:after="0"/>
              <w:ind w:firstLine="200"/>
            </w:pPr>
            <w:r>
              <w:t>3</w:t>
            </w:r>
          </w:p>
        </w:tc>
        <w:tc>
          <w:tcPr>
            <w:tcW w:w="5813" w:type="dxa"/>
            <w:tcBorders>
              <w:top w:val="single" w:sz="4" w:space="0" w:color="auto"/>
              <w:left w:val="single" w:sz="4" w:space="0" w:color="auto"/>
            </w:tcBorders>
            <w:shd w:val="clear" w:color="auto" w:fill="FFFFFF"/>
            <w:vAlign w:val="bottom"/>
          </w:tcPr>
          <w:p w14:paraId="312DB055" w14:textId="77777777" w:rsidR="00C31C99" w:rsidRDefault="00816B42">
            <w:pPr>
              <w:pStyle w:val="Inne0"/>
              <w:spacing w:after="0"/>
              <w:ind w:firstLine="0"/>
            </w:pPr>
            <w:r>
              <w:t xml:space="preserve">Zawartość </w:t>
            </w:r>
            <w:proofErr w:type="spellStart"/>
            <w:r>
              <w:t>ziarn</w:t>
            </w:r>
            <w:proofErr w:type="spellEnd"/>
            <w:r>
              <w:t xml:space="preserve"> nieforemnych, wg PN-B-06714-16 [3], % m/m, nie więcej niż:</w:t>
            </w:r>
          </w:p>
          <w:p w14:paraId="312DB056" w14:textId="77777777" w:rsidR="00C31C99" w:rsidRDefault="00816B42">
            <w:pPr>
              <w:pStyle w:val="Inne0"/>
              <w:numPr>
                <w:ilvl w:val="0"/>
                <w:numId w:val="12"/>
              </w:numPr>
              <w:tabs>
                <w:tab w:val="left" w:pos="106"/>
              </w:tabs>
              <w:spacing w:after="0"/>
              <w:ind w:firstLine="0"/>
            </w:pPr>
            <w:r>
              <w:t>w tłuczniu</w:t>
            </w:r>
          </w:p>
          <w:p w14:paraId="312DB057" w14:textId="77777777" w:rsidR="00C31C99" w:rsidRDefault="00816B42">
            <w:pPr>
              <w:pStyle w:val="Inne0"/>
              <w:numPr>
                <w:ilvl w:val="0"/>
                <w:numId w:val="12"/>
              </w:numPr>
              <w:tabs>
                <w:tab w:val="left" w:pos="106"/>
              </w:tabs>
              <w:spacing w:after="0"/>
              <w:ind w:firstLine="0"/>
            </w:pPr>
            <w:r>
              <w:t>w klińcu</w:t>
            </w:r>
          </w:p>
        </w:tc>
        <w:tc>
          <w:tcPr>
            <w:tcW w:w="1315" w:type="dxa"/>
            <w:tcBorders>
              <w:top w:val="single" w:sz="4" w:space="0" w:color="auto"/>
              <w:left w:val="single" w:sz="4" w:space="0" w:color="auto"/>
              <w:right w:val="single" w:sz="4" w:space="0" w:color="auto"/>
            </w:tcBorders>
            <w:shd w:val="clear" w:color="auto" w:fill="FFFFFF"/>
            <w:vAlign w:val="bottom"/>
          </w:tcPr>
          <w:p w14:paraId="312DB058" w14:textId="77777777" w:rsidR="00C31C99" w:rsidRDefault="00816B42">
            <w:pPr>
              <w:pStyle w:val="Inne0"/>
              <w:spacing w:after="0"/>
              <w:ind w:firstLine="0"/>
              <w:jc w:val="center"/>
            </w:pPr>
            <w:r>
              <w:t>40</w:t>
            </w:r>
          </w:p>
          <w:p w14:paraId="312DB059" w14:textId="77777777" w:rsidR="00C31C99" w:rsidRDefault="00816B42">
            <w:pPr>
              <w:pStyle w:val="Inne0"/>
              <w:spacing w:after="0"/>
              <w:ind w:firstLine="0"/>
              <w:jc w:val="center"/>
            </w:pPr>
            <w:r>
              <w:t>nie bada się</w:t>
            </w:r>
          </w:p>
        </w:tc>
      </w:tr>
      <w:tr w:rsidR="00C31C99" w14:paraId="312DB060" w14:textId="77777777">
        <w:trPr>
          <w:trHeight w:hRule="exact" w:val="965"/>
          <w:jc w:val="right"/>
        </w:trPr>
        <w:tc>
          <w:tcPr>
            <w:tcW w:w="504" w:type="dxa"/>
            <w:tcBorders>
              <w:top w:val="single" w:sz="4" w:space="0" w:color="auto"/>
              <w:left w:val="single" w:sz="4" w:space="0" w:color="auto"/>
              <w:bottom w:val="single" w:sz="4" w:space="0" w:color="auto"/>
            </w:tcBorders>
            <w:shd w:val="clear" w:color="auto" w:fill="FFFFFF"/>
          </w:tcPr>
          <w:p w14:paraId="312DB05B" w14:textId="77777777" w:rsidR="00C31C99" w:rsidRDefault="00816B42">
            <w:pPr>
              <w:pStyle w:val="Inne0"/>
              <w:spacing w:after="0"/>
              <w:ind w:firstLine="200"/>
            </w:pPr>
            <w:r>
              <w:t>4</w:t>
            </w:r>
          </w:p>
        </w:tc>
        <w:tc>
          <w:tcPr>
            <w:tcW w:w="5813" w:type="dxa"/>
            <w:tcBorders>
              <w:top w:val="single" w:sz="4" w:space="0" w:color="auto"/>
              <w:left w:val="single" w:sz="4" w:space="0" w:color="auto"/>
              <w:bottom w:val="single" w:sz="4" w:space="0" w:color="auto"/>
            </w:tcBorders>
            <w:shd w:val="clear" w:color="auto" w:fill="FFFFFF"/>
            <w:vAlign w:val="center"/>
          </w:tcPr>
          <w:p w14:paraId="312DB05C" w14:textId="77777777" w:rsidR="00C31C99" w:rsidRDefault="00816B42">
            <w:pPr>
              <w:pStyle w:val="Inne0"/>
              <w:spacing w:after="0"/>
              <w:ind w:firstLine="0"/>
            </w:pPr>
            <w:r>
              <w:t>Zawartość zanieczyszczeń organicznych, barwa cieczy wg PN-B- 06714-26 [6]:</w:t>
            </w:r>
          </w:p>
          <w:p w14:paraId="312DB05D" w14:textId="77777777" w:rsidR="00C31C99" w:rsidRDefault="00816B42">
            <w:pPr>
              <w:pStyle w:val="Inne0"/>
              <w:spacing w:after="0"/>
              <w:ind w:firstLine="0"/>
            </w:pPr>
            <w:r>
              <w:t>- w tłuczniu i w klińcu, barwa cieczy nie ciemniejsza</w:t>
            </w:r>
          </w:p>
          <w:p w14:paraId="312DB05E" w14:textId="77777777" w:rsidR="00C31C99" w:rsidRDefault="00816B42">
            <w:pPr>
              <w:pStyle w:val="Inne0"/>
              <w:spacing w:after="0"/>
              <w:ind w:firstLine="220"/>
            </w:pPr>
            <w:r>
              <w:t>niż:</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center"/>
          </w:tcPr>
          <w:p w14:paraId="312DB05F" w14:textId="77777777" w:rsidR="00C31C99" w:rsidRDefault="00816B42">
            <w:pPr>
              <w:pStyle w:val="Inne0"/>
              <w:spacing w:after="0"/>
              <w:ind w:firstLine="0"/>
              <w:jc w:val="center"/>
            </w:pPr>
            <w:r>
              <w:t>wzorcowa</w:t>
            </w:r>
          </w:p>
        </w:tc>
      </w:tr>
    </w:tbl>
    <w:p w14:paraId="312DB061" w14:textId="77777777" w:rsidR="00C31C99" w:rsidRDefault="00816B42">
      <w:pPr>
        <w:spacing w:line="1" w:lineRule="exact"/>
        <w:rPr>
          <w:sz w:val="2"/>
          <w:szCs w:val="2"/>
        </w:rPr>
      </w:pPr>
      <w:r>
        <w:br w:type="page"/>
      </w:r>
    </w:p>
    <w:p w14:paraId="312DB062" w14:textId="77777777" w:rsidR="00C31C99" w:rsidRDefault="00816B42">
      <w:pPr>
        <w:pStyle w:val="Nagwek50"/>
        <w:keepNext/>
        <w:keepLines/>
        <w:numPr>
          <w:ilvl w:val="1"/>
          <w:numId w:val="1"/>
        </w:numPr>
        <w:tabs>
          <w:tab w:val="left" w:pos="478"/>
        </w:tabs>
        <w:spacing w:after="100"/>
      </w:pPr>
      <w:bookmarkStart w:id="51" w:name="bookmark62"/>
      <w:bookmarkStart w:id="52" w:name="bookmark60"/>
      <w:bookmarkStart w:id="53" w:name="bookmark61"/>
      <w:bookmarkStart w:id="54" w:name="bookmark63"/>
      <w:bookmarkEnd w:id="51"/>
      <w:r>
        <w:lastRenderedPageBreak/>
        <w:t>Woda</w:t>
      </w:r>
      <w:bookmarkEnd w:id="52"/>
      <w:bookmarkEnd w:id="53"/>
      <w:bookmarkEnd w:id="54"/>
    </w:p>
    <w:p w14:paraId="312DB063" w14:textId="77777777" w:rsidR="00C31C99" w:rsidRDefault="00816B42">
      <w:pPr>
        <w:pStyle w:val="Teksttreci0"/>
        <w:spacing w:after="320"/>
        <w:jc w:val="both"/>
      </w:pPr>
      <w:r>
        <w:t>Woda użyta przy wykonywaniu zagęszczania i klinowania podbudowy może być studzienna lub z wodociągu, bez specjalnych wymagań.</w:t>
      </w:r>
    </w:p>
    <w:p w14:paraId="312DB064" w14:textId="77777777" w:rsidR="00C31C99" w:rsidRDefault="00816B42">
      <w:pPr>
        <w:pStyle w:val="Nagwek40"/>
        <w:keepNext/>
        <w:keepLines/>
        <w:numPr>
          <w:ilvl w:val="0"/>
          <w:numId w:val="1"/>
        </w:numPr>
        <w:tabs>
          <w:tab w:val="left" w:pos="344"/>
        </w:tabs>
        <w:jc w:val="both"/>
      </w:pPr>
      <w:bookmarkStart w:id="55" w:name="bookmark66"/>
      <w:bookmarkStart w:id="56" w:name="bookmark64"/>
      <w:bookmarkStart w:id="57" w:name="bookmark65"/>
      <w:bookmarkStart w:id="58" w:name="bookmark67"/>
      <w:bookmarkEnd w:id="55"/>
      <w:r>
        <w:t>SPRZĘT</w:t>
      </w:r>
      <w:bookmarkEnd w:id="56"/>
      <w:bookmarkEnd w:id="57"/>
      <w:bookmarkEnd w:id="58"/>
    </w:p>
    <w:p w14:paraId="312DB065" w14:textId="77777777" w:rsidR="00C31C99" w:rsidRDefault="00816B42">
      <w:pPr>
        <w:pStyle w:val="Nagwek50"/>
        <w:keepNext/>
        <w:keepLines/>
        <w:numPr>
          <w:ilvl w:val="1"/>
          <w:numId w:val="1"/>
        </w:numPr>
        <w:tabs>
          <w:tab w:val="left" w:pos="478"/>
        </w:tabs>
        <w:spacing w:after="240"/>
        <w:jc w:val="both"/>
      </w:pPr>
      <w:bookmarkStart w:id="59" w:name="bookmark70"/>
      <w:bookmarkStart w:id="60" w:name="bookmark68"/>
      <w:bookmarkStart w:id="61" w:name="bookmark69"/>
      <w:bookmarkStart w:id="62" w:name="bookmark71"/>
      <w:bookmarkEnd w:id="59"/>
      <w:r>
        <w:t>Ogólne wymagania dotyczące sprzętu</w:t>
      </w:r>
      <w:bookmarkEnd w:id="60"/>
      <w:bookmarkEnd w:id="61"/>
      <w:bookmarkEnd w:id="62"/>
    </w:p>
    <w:p w14:paraId="312DB066" w14:textId="77777777" w:rsidR="00C31C99" w:rsidRDefault="00816B42">
      <w:pPr>
        <w:pStyle w:val="Teksttreci0"/>
        <w:spacing w:after="240"/>
        <w:jc w:val="both"/>
      </w:pPr>
      <w:r>
        <w:t>Ogólne wymagania dotyczące sprzętu podano w SST DM-00.00.00 „Wymagania ogólne” pkt 3.</w:t>
      </w:r>
    </w:p>
    <w:p w14:paraId="312DB067" w14:textId="77777777" w:rsidR="00C31C99" w:rsidRDefault="00816B42">
      <w:pPr>
        <w:pStyle w:val="Nagwek50"/>
        <w:keepNext/>
        <w:keepLines/>
        <w:numPr>
          <w:ilvl w:val="1"/>
          <w:numId w:val="1"/>
        </w:numPr>
        <w:tabs>
          <w:tab w:val="left" w:pos="478"/>
        </w:tabs>
        <w:spacing w:after="100"/>
        <w:jc w:val="both"/>
      </w:pPr>
      <w:bookmarkStart w:id="63" w:name="bookmark74"/>
      <w:bookmarkStart w:id="64" w:name="bookmark72"/>
      <w:bookmarkStart w:id="65" w:name="bookmark73"/>
      <w:bookmarkStart w:id="66" w:name="bookmark75"/>
      <w:bookmarkEnd w:id="63"/>
      <w:r>
        <w:t>Sprzęt do wykonania robót</w:t>
      </w:r>
      <w:bookmarkEnd w:id="64"/>
      <w:bookmarkEnd w:id="65"/>
      <w:bookmarkEnd w:id="66"/>
    </w:p>
    <w:p w14:paraId="312DB068" w14:textId="77777777" w:rsidR="00C31C99" w:rsidRDefault="00816B42">
      <w:pPr>
        <w:pStyle w:val="Teksttreci0"/>
        <w:spacing w:after="240"/>
        <w:jc w:val="both"/>
      </w:pPr>
      <w:r>
        <w:t>Wykonawca przystępujący do wykonania podbudowy z tłucznia kamiennego powinien wykazać się możliwością korzystania z następującego sprzętu:</w:t>
      </w:r>
    </w:p>
    <w:p w14:paraId="312DB069" w14:textId="77777777" w:rsidR="00C31C99" w:rsidRDefault="00816B42">
      <w:pPr>
        <w:pStyle w:val="Teksttreci0"/>
        <w:numPr>
          <w:ilvl w:val="0"/>
          <w:numId w:val="13"/>
        </w:numPr>
        <w:tabs>
          <w:tab w:val="left" w:pos="339"/>
        </w:tabs>
        <w:spacing w:after="0"/>
        <w:ind w:firstLine="0"/>
        <w:jc w:val="both"/>
      </w:pPr>
      <w:bookmarkStart w:id="67" w:name="bookmark76"/>
      <w:bookmarkEnd w:id="67"/>
      <w:r>
        <w:t>równiarek lub układarek kruszywa do rozkładania tłucznia i klińca,</w:t>
      </w:r>
    </w:p>
    <w:p w14:paraId="312DB06A" w14:textId="77777777" w:rsidR="00C31C99" w:rsidRDefault="00816B42">
      <w:pPr>
        <w:pStyle w:val="Teksttreci0"/>
        <w:numPr>
          <w:ilvl w:val="0"/>
          <w:numId w:val="13"/>
        </w:numPr>
        <w:tabs>
          <w:tab w:val="left" w:pos="363"/>
        </w:tabs>
        <w:spacing w:after="0"/>
        <w:ind w:firstLine="0"/>
        <w:jc w:val="both"/>
      </w:pPr>
      <w:bookmarkStart w:id="68" w:name="bookmark77"/>
      <w:bookmarkEnd w:id="68"/>
      <w:proofErr w:type="spellStart"/>
      <w:r>
        <w:t>rozsypywarek</w:t>
      </w:r>
      <w:proofErr w:type="spellEnd"/>
      <w:r>
        <w:t xml:space="preserve"> kruszywa do rozłożenia klińca,</w:t>
      </w:r>
    </w:p>
    <w:p w14:paraId="312DB06B" w14:textId="77777777" w:rsidR="00C31C99" w:rsidRDefault="00816B42">
      <w:pPr>
        <w:pStyle w:val="Teksttreci0"/>
        <w:numPr>
          <w:ilvl w:val="0"/>
          <w:numId w:val="13"/>
        </w:numPr>
        <w:tabs>
          <w:tab w:val="left" w:pos="363"/>
        </w:tabs>
        <w:spacing w:after="0"/>
        <w:ind w:firstLine="0"/>
        <w:jc w:val="both"/>
      </w:pPr>
      <w:bookmarkStart w:id="69" w:name="bookmark78"/>
      <w:bookmarkEnd w:id="69"/>
      <w:r>
        <w:t>walców statycznych gładkich do zagęszczania kruszywa grubego,</w:t>
      </w:r>
    </w:p>
    <w:p w14:paraId="312DB06C" w14:textId="77777777" w:rsidR="00C31C99" w:rsidRDefault="00816B42">
      <w:pPr>
        <w:pStyle w:val="Teksttreci0"/>
        <w:numPr>
          <w:ilvl w:val="0"/>
          <w:numId w:val="13"/>
        </w:numPr>
        <w:tabs>
          <w:tab w:val="left" w:pos="363"/>
        </w:tabs>
        <w:spacing w:after="0"/>
        <w:ind w:firstLine="0"/>
        <w:jc w:val="both"/>
      </w:pPr>
      <w:bookmarkStart w:id="70" w:name="bookmark79"/>
      <w:bookmarkEnd w:id="70"/>
      <w:r>
        <w:t>walców wibracyjnych lub wibracyjnych zagęszczarek płytowych do klinowania kruszywa grubego klińcem,</w:t>
      </w:r>
    </w:p>
    <w:p w14:paraId="312DB06D" w14:textId="77777777" w:rsidR="00C31C99" w:rsidRDefault="00816B42">
      <w:pPr>
        <w:pStyle w:val="Teksttreci0"/>
        <w:numPr>
          <w:ilvl w:val="0"/>
          <w:numId w:val="13"/>
        </w:numPr>
        <w:tabs>
          <w:tab w:val="left" w:pos="363"/>
        </w:tabs>
        <w:spacing w:after="0"/>
        <w:ind w:firstLine="0"/>
        <w:jc w:val="both"/>
      </w:pPr>
      <w:bookmarkStart w:id="71" w:name="bookmark80"/>
      <w:bookmarkEnd w:id="71"/>
      <w:r>
        <w:t>szczotek mechanicznych do usunięcia nadmiaru klińca,</w:t>
      </w:r>
    </w:p>
    <w:p w14:paraId="312DB06E" w14:textId="77777777" w:rsidR="00C31C99" w:rsidRDefault="00816B42">
      <w:pPr>
        <w:pStyle w:val="Teksttreci0"/>
        <w:numPr>
          <w:ilvl w:val="0"/>
          <w:numId w:val="13"/>
        </w:numPr>
        <w:tabs>
          <w:tab w:val="left" w:pos="363"/>
        </w:tabs>
        <w:spacing w:after="0"/>
        <w:ind w:firstLine="0"/>
        <w:jc w:val="both"/>
      </w:pPr>
      <w:bookmarkStart w:id="72" w:name="bookmark81"/>
      <w:bookmarkEnd w:id="72"/>
      <w:r>
        <w:t>walców ogumionych lub stalowych gładkich do końcowego dogęszczenia,</w:t>
      </w:r>
    </w:p>
    <w:p w14:paraId="312DB06F" w14:textId="77777777" w:rsidR="00C31C99" w:rsidRDefault="00816B42">
      <w:pPr>
        <w:pStyle w:val="Teksttreci0"/>
        <w:numPr>
          <w:ilvl w:val="0"/>
          <w:numId w:val="13"/>
        </w:numPr>
        <w:tabs>
          <w:tab w:val="left" w:pos="363"/>
        </w:tabs>
        <w:spacing w:after="320"/>
        <w:ind w:firstLine="0"/>
        <w:jc w:val="both"/>
      </w:pPr>
      <w:bookmarkStart w:id="73" w:name="bookmark82"/>
      <w:bookmarkEnd w:id="73"/>
      <w:r>
        <w:t>przewoźnych zbiorników do wody zaopatrzonych w urządzenia do rozpryskiwania wody.</w:t>
      </w:r>
    </w:p>
    <w:p w14:paraId="312DB070" w14:textId="77777777" w:rsidR="00C31C99" w:rsidRDefault="00816B42">
      <w:pPr>
        <w:pStyle w:val="Nagwek40"/>
        <w:keepNext/>
        <w:keepLines/>
        <w:numPr>
          <w:ilvl w:val="0"/>
          <w:numId w:val="1"/>
        </w:numPr>
        <w:tabs>
          <w:tab w:val="left" w:pos="344"/>
        </w:tabs>
        <w:jc w:val="both"/>
      </w:pPr>
      <w:bookmarkStart w:id="74" w:name="bookmark85"/>
      <w:bookmarkStart w:id="75" w:name="bookmark83"/>
      <w:bookmarkStart w:id="76" w:name="bookmark84"/>
      <w:bookmarkStart w:id="77" w:name="bookmark86"/>
      <w:bookmarkEnd w:id="74"/>
      <w:r>
        <w:t>TRANSPORT</w:t>
      </w:r>
      <w:bookmarkEnd w:id="75"/>
      <w:bookmarkEnd w:id="76"/>
      <w:bookmarkEnd w:id="77"/>
    </w:p>
    <w:p w14:paraId="312DB071" w14:textId="77777777" w:rsidR="00C31C99" w:rsidRDefault="00816B42">
      <w:pPr>
        <w:pStyle w:val="Nagwek50"/>
        <w:keepNext/>
        <w:keepLines/>
        <w:numPr>
          <w:ilvl w:val="1"/>
          <w:numId w:val="1"/>
        </w:numPr>
        <w:tabs>
          <w:tab w:val="left" w:pos="478"/>
        </w:tabs>
        <w:spacing w:after="180"/>
        <w:jc w:val="both"/>
      </w:pPr>
      <w:bookmarkStart w:id="78" w:name="bookmark89"/>
      <w:bookmarkStart w:id="79" w:name="bookmark87"/>
      <w:bookmarkStart w:id="80" w:name="bookmark88"/>
      <w:bookmarkStart w:id="81" w:name="bookmark90"/>
      <w:bookmarkEnd w:id="78"/>
      <w:r>
        <w:t>Ogólne wymagania dotyczące transportu</w:t>
      </w:r>
      <w:bookmarkEnd w:id="79"/>
      <w:bookmarkEnd w:id="80"/>
      <w:bookmarkEnd w:id="81"/>
    </w:p>
    <w:p w14:paraId="312DB072" w14:textId="77777777" w:rsidR="00C31C99" w:rsidRDefault="00816B42">
      <w:pPr>
        <w:pStyle w:val="Teksttreci0"/>
        <w:spacing w:after="240"/>
        <w:jc w:val="both"/>
      </w:pPr>
      <w:r>
        <w:t>Ogólne wymagania dotyczące transportu podano w SST DM-00.00.00 „Wymagania ogólne” pkt 4.</w:t>
      </w:r>
    </w:p>
    <w:p w14:paraId="312DB073" w14:textId="77777777" w:rsidR="00C31C99" w:rsidRDefault="00816B42">
      <w:pPr>
        <w:pStyle w:val="Nagwek50"/>
        <w:keepNext/>
        <w:keepLines/>
        <w:numPr>
          <w:ilvl w:val="1"/>
          <w:numId w:val="1"/>
        </w:numPr>
        <w:tabs>
          <w:tab w:val="left" w:pos="478"/>
        </w:tabs>
        <w:spacing w:after="100"/>
      </w:pPr>
      <w:bookmarkStart w:id="82" w:name="bookmark93"/>
      <w:bookmarkStart w:id="83" w:name="bookmark91"/>
      <w:bookmarkStart w:id="84" w:name="bookmark92"/>
      <w:bookmarkStart w:id="85" w:name="bookmark94"/>
      <w:bookmarkEnd w:id="82"/>
      <w:r>
        <w:t>Transport kruszywa</w:t>
      </w:r>
      <w:bookmarkEnd w:id="83"/>
      <w:bookmarkEnd w:id="84"/>
      <w:bookmarkEnd w:id="85"/>
    </w:p>
    <w:p w14:paraId="312DB074" w14:textId="77777777" w:rsidR="00C31C99" w:rsidRDefault="00816B42">
      <w:pPr>
        <w:pStyle w:val="Teksttreci0"/>
        <w:spacing w:after="320"/>
        <w:jc w:val="both"/>
      </w:pPr>
      <w:r>
        <w:t>Kruszywa można przewozić dowolnymi środkami transportu w warunkach zabezpieczających je przed zanieczyszczeniem, zmieszaniem z innymi materiałami, nadmiernym wysuszeniem i zawilgoceniem.</w:t>
      </w:r>
    </w:p>
    <w:p w14:paraId="312DB075" w14:textId="77777777" w:rsidR="00C31C99" w:rsidRDefault="00816B42">
      <w:pPr>
        <w:pStyle w:val="Nagwek40"/>
        <w:keepNext/>
        <w:keepLines/>
        <w:numPr>
          <w:ilvl w:val="0"/>
          <w:numId w:val="1"/>
        </w:numPr>
        <w:tabs>
          <w:tab w:val="left" w:pos="344"/>
        </w:tabs>
      </w:pPr>
      <w:bookmarkStart w:id="86" w:name="bookmark97"/>
      <w:bookmarkStart w:id="87" w:name="bookmark95"/>
      <w:bookmarkStart w:id="88" w:name="bookmark96"/>
      <w:bookmarkStart w:id="89" w:name="bookmark98"/>
      <w:bookmarkEnd w:id="86"/>
      <w:r>
        <w:t>WYKONANIE ROBÓT</w:t>
      </w:r>
      <w:bookmarkEnd w:id="87"/>
      <w:bookmarkEnd w:id="88"/>
      <w:bookmarkEnd w:id="89"/>
    </w:p>
    <w:p w14:paraId="312DB076" w14:textId="77777777" w:rsidR="00C31C99" w:rsidRDefault="00816B42">
      <w:pPr>
        <w:pStyle w:val="Nagwek50"/>
        <w:keepNext/>
        <w:keepLines/>
        <w:numPr>
          <w:ilvl w:val="1"/>
          <w:numId w:val="1"/>
        </w:numPr>
        <w:tabs>
          <w:tab w:val="left" w:pos="478"/>
        </w:tabs>
        <w:spacing w:after="240"/>
        <w:jc w:val="both"/>
      </w:pPr>
      <w:bookmarkStart w:id="90" w:name="bookmark101"/>
      <w:bookmarkStart w:id="91" w:name="bookmark100"/>
      <w:bookmarkStart w:id="92" w:name="bookmark102"/>
      <w:bookmarkStart w:id="93" w:name="bookmark99"/>
      <w:bookmarkEnd w:id="90"/>
      <w:r>
        <w:t>Ogólne zasady wykonania robót</w:t>
      </w:r>
      <w:bookmarkEnd w:id="91"/>
      <w:bookmarkEnd w:id="92"/>
      <w:bookmarkEnd w:id="93"/>
    </w:p>
    <w:p w14:paraId="312DB077" w14:textId="77777777" w:rsidR="00C31C99" w:rsidRDefault="00816B42">
      <w:pPr>
        <w:pStyle w:val="Teksttreci0"/>
        <w:spacing w:after="240"/>
        <w:jc w:val="both"/>
      </w:pPr>
      <w:r>
        <w:t>Ogólne zasady wykonania robót podano w SST DM-00.00.00 „Wymagania ogólne” pkt 5.</w:t>
      </w:r>
    </w:p>
    <w:p w14:paraId="312DB078" w14:textId="77777777" w:rsidR="00C31C99" w:rsidRDefault="00816B42">
      <w:pPr>
        <w:pStyle w:val="Nagwek50"/>
        <w:keepNext/>
        <w:keepLines/>
        <w:numPr>
          <w:ilvl w:val="1"/>
          <w:numId w:val="1"/>
        </w:numPr>
        <w:tabs>
          <w:tab w:val="left" w:pos="478"/>
        </w:tabs>
        <w:spacing w:after="240"/>
        <w:jc w:val="both"/>
      </w:pPr>
      <w:bookmarkStart w:id="94" w:name="bookmark105"/>
      <w:bookmarkStart w:id="95" w:name="bookmark103"/>
      <w:bookmarkStart w:id="96" w:name="bookmark104"/>
      <w:bookmarkStart w:id="97" w:name="bookmark106"/>
      <w:bookmarkEnd w:id="94"/>
      <w:r>
        <w:t>Przygotowanie podłoża</w:t>
      </w:r>
      <w:bookmarkEnd w:id="95"/>
      <w:bookmarkEnd w:id="96"/>
      <w:bookmarkEnd w:id="97"/>
    </w:p>
    <w:p w14:paraId="312DB079" w14:textId="77777777" w:rsidR="00C31C99" w:rsidRDefault="00816B42">
      <w:pPr>
        <w:pStyle w:val="Teksttreci0"/>
        <w:spacing w:after="0"/>
        <w:jc w:val="both"/>
      </w:pPr>
      <w:r>
        <w:t>Podłoże pod podbudowę tłuczniową powinno spełniać wymagania określone w SST D-04.01.01 „Koryto wraz z profilowaniem i zagęszczeniem podłoża”.</w:t>
      </w:r>
    </w:p>
    <w:p w14:paraId="312DB07A" w14:textId="77777777" w:rsidR="00C31C99" w:rsidRDefault="00816B42">
      <w:pPr>
        <w:pStyle w:val="Teksttreci0"/>
        <w:spacing w:after="0"/>
        <w:jc w:val="both"/>
      </w:pPr>
      <w:r>
        <w:t>Podbudowa tłuczniowa powinna być ułożona na podłożu zapewniającym nieprzenikanie drobnych cząstek gruntu do warstwy podbudowy. Na gruncie spoistym, pod podbudową tłuczniową powinna być ułożona warstwa odcinająca.</w:t>
      </w:r>
    </w:p>
    <w:p w14:paraId="312DB07B" w14:textId="77777777" w:rsidR="00C31C99" w:rsidRDefault="00816B42">
      <w:pPr>
        <w:pStyle w:val="Teksttreci0"/>
        <w:spacing w:after="120"/>
        <w:jc w:val="both"/>
      </w:pPr>
      <w:r>
        <w:t>Pomiędzy warstwą podbudowy tłuczniowej a spoistym gruntem podłoża warstwy odcinającej, powinien być spełniony warunek nieprzenikania cząstek drobnych, wyrażony wzorem: w którym:</w:t>
      </w:r>
    </w:p>
    <w:p w14:paraId="312DB07C" w14:textId="77777777" w:rsidR="00C31C99" w:rsidRDefault="00816B42">
      <w:pPr>
        <w:spacing w:line="1" w:lineRule="exact"/>
      </w:pPr>
      <w:r>
        <w:rPr>
          <w:noProof/>
        </w:rPr>
        <mc:AlternateContent>
          <mc:Choice Requires="wps">
            <w:drawing>
              <wp:anchor distT="76200" distB="0" distL="0" distR="0" simplePos="0" relativeHeight="125829378" behindDoc="0" locked="0" layoutInCell="1" allowOverlap="1" wp14:anchorId="312DB165" wp14:editId="312DB166">
                <wp:simplePos x="0" y="0"/>
                <wp:positionH relativeFrom="page">
                  <wp:posOffset>3597275</wp:posOffset>
                </wp:positionH>
                <wp:positionV relativeFrom="paragraph">
                  <wp:posOffset>76200</wp:posOffset>
                </wp:positionV>
                <wp:extent cx="298450" cy="478790"/>
                <wp:effectExtent l="0" t="0" r="0" b="0"/>
                <wp:wrapTopAndBottom/>
                <wp:docPr id="1" name="Shape 1"/>
                <wp:cNvGraphicFramePr/>
                <a:graphic xmlns:a="http://schemas.openxmlformats.org/drawingml/2006/main">
                  <a:graphicData uri="http://schemas.microsoft.com/office/word/2010/wordprocessingShape">
                    <wps:wsp>
                      <wps:cNvSpPr txBox="1"/>
                      <wps:spPr>
                        <a:xfrm>
                          <a:off x="0" y="0"/>
                          <a:ext cx="298450" cy="478790"/>
                        </a:xfrm>
                        <a:prstGeom prst="rect">
                          <a:avLst/>
                        </a:prstGeom>
                        <a:noFill/>
                      </wps:spPr>
                      <wps:txbx>
                        <w:txbxContent>
                          <w:p w14:paraId="312DB16F" w14:textId="77777777" w:rsidR="00C31C99" w:rsidRDefault="00816B42">
                            <w:pPr>
                              <w:pStyle w:val="Teksttreci30"/>
                            </w:pPr>
                            <w:r>
                              <w:rPr>
                                <w:sz w:val="36"/>
                                <w:szCs w:val="36"/>
                              </w:rPr>
                              <w:t>D</w:t>
                            </w:r>
                            <w:r>
                              <w:t>15</w:t>
                            </w:r>
                          </w:p>
                          <w:p w14:paraId="312DB170" w14:textId="77777777" w:rsidR="00C31C99" w:rsidRDefault="00816B42">
                            <w:pPr>
                              <w:pStyle w:val="Teksttreci20"/>
                              <w:spacing w:line="218" w:lineRule="auto"/>
                            </w:pPr>
                            <w:r>
                              <w:rPr>
                                <w:sz w:val="36"/>
                                <w:szCs w:val="36"/>
                              </w:rPr>
                              <w:t>D</w:t>
                            </w:r>
                            <w:r>
                              <w:t>z5</w:t>
                            </w:r>
                          </w:p>
                        </w:txbxContent>
                      </wps:txbx>
                      <wps:bodyPr lIns="0" tIns="0" rIns="0" bIns="0"/>
                    </wps:wsp>
                  </a:graphicData>
                </a:graphic>
              </wp:anchor>
            </w:drawing>
          </mc:Choice>
          <mc:Fallback>
            <w:pict>
              <v:shapetype w14:anchorId="312DB165" id="_x0000_t202" coordsize="21600,21600" o:spt="202" path="m,l,21600r21600,l21600,xe">
                <v:stroke joinstyle="miter"/>
                <v:path gradientshapeok="t" o:connecttype="rect"/>
              </v:shapetype>
              <v:shape id="Shape 1" o:spid="_x0000_s1026" type="#_x0000_t202" style="position:absolute;margin-left:283.25pt;margin-top:6pt;width:23.5pt;height:37.7pt;z-index:125829378;visibility:visible;mso-wrap-style:square;mso-wrap-distance-left:0;mso-wrap-distance-top:6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" filled="f" stroked="f">
                <v:textbox inset="0,0,0,0">
                  <w:txbxContent>
                    <w:p w14:paraId="312DB16F" w14:textId="77777777" w:rsidR="00C31C99" w:rsidRDefault="00816B42">
                      <w:pPr>
                        <w:pStyle w:val="Teksttreci30"/>
                      </w:pPr>
                      <w:r>
                        <w:rPr>
                          <w:sz w:val="36"/>
                          <w:szCs w:val="36"/>
                        </w:rPr>
                        <w:t>D</w:t>
                      </w:r>
                      <w:r>
                        <w:t>15</w:t>
                      </w:r>
                    </w:p>
                    <w:p w14:paraId="312DB170" w14:textId="77777777" w:rsidR="00C31C99" w:rsidRDefault="00816B42">
                      <w:pPr>
                        <w:pStyle w:val="Teksttreci20"/>
                        <w:spacing w:line="218" w:lineRule="auto"/>
                      </w:pPr>
                      <w:r>
                        <w:rPr>
                          <w:sz w:val="36"/>
                          <w:szCs w:val="36"/>
                        </w:rPr>
                        <w:t>D</w:t>
                      </w:r>
                      <w:r>
                        <w:t>z5</w:t>
                      </w:r>
                    </w:p>
                  </w:txbxContent>
                </v:textbox>
                <w10:wrap type="topAndBottom" anchorx="page"/>
              </v:shape>
            </w:pict>
          </mc:Fallback>
        </mc:AlternateContent>
      </w:r>
      <w:r>
        <w:rPr>
          <w:noProof/>
        </w:rPr>
        <mc:AlternateContent>
          <mc:Choice Requires="wps">
            <w:drawing>
              <wp:anchor distT="191770" distB="88900" distL="0" distR="0" simplePos="0" relativeHeight="125829380" behindDoc="0" locked="0" layoutInCell="1" allowOverlap="1" wp14:anchorId="312DB167" wp14:editId="312DB168">
                <wp:simplePos x="0" y="0"/>
                <wp:positionH relativeFrom="page">
                  <wp:posOffset>3890010</wp:posOffset>
                </wp:positionH>
                <wp:positionV relativeFrom="paragraph">
                  <wp:posOffset>191770</wp:posOffset>
                </wp:positionV>
                <wp:extent cx="267970" cy="274320"/>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267970" cy="274320"/>
                        </a:xfrm>
                        <a:prstGeom prst="rect">
                          <a:avLst/>
                        </a:prstGeom>
                        <a:noFill/>
                      </wps:spPr>
                      <wps:txbx>
                        <w:txbxContent>
                          <w:p w14:paraId="312DB171" w14:textId="77777777" w:rsidR="00C31C99" w:rsidRDefault="00816B42">
                            <w:pPr>
                              <w:pStyle w:val="Nagwek10"/>
                              <w:keepNext/>
                              <w:keepLines/>
                            </w:pPr>
                            <w:bookmarkStart w:id="98" w:name="bookmark0"/>
                            <w:bookmarkStart w:id="99" w:name="bookmark1"/>
                            <w:bookmarkStart w:id="100" w:name="bookmark2"/>
                            <w:r>
                              <w:rPr>
                                <w:rFonts w:ascii="Arial" w:eastAsia="Arial" w:hAnsi="Arial" w:cs="Arial"/>
                                <w:sz w:val="34"/>
                                <w:szCs w:val="34"/>
                              </w:rPr>
                              <w:t>&lt;</w:t>
                            </w:r>
                            <w:r>
                              <w:t>5</w:t>
                            </w:r>
                            <w:bookmarkEnd w:id="98"/>
                            <w:bookmarkEnd w:id="99"/>
                            <w:bookmarkEnd w:id="100"/>
                          </w:p>
                        </w:txbxContent>
                      </wps:txbx>
                      <wps:bodyPr wrap="none" lIns="0" tIns="0" rIns="0" bIns="0"/>
                    </wps:wsp>
                  </a:graphicData>
                </a:graphic>
              </wp:anchor>
            </w:drawing>
          </mc:Choice>
          <mc:Fallback>
            <w:pict>
              <v:shape w14:anchorId="312DB167" id="Shape 3" o:spid="_x0000_s1027" type="#_x0000_t202" style="position:absolute;margin-left:306.3pt;margin-top:15.1pt;width:21.1pt;height:21.6pt;z-index:125829380;visibility:visible;mso-wrap-style:none;mso-wrap-distance-left:0;mso-wrap-distance-top:15.1pt;mso-wrap-distance-right:0;mso-wrap-distance-bottom:7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" filled="f" stroked="f">
                <v:textbox inset="0,0,0,0">
                  <w:txbxContent>
                    <w:p w14:paraId="312DB171" w14:textId="77777777" w:rsidR="00C31C99" w:rsidRDefault="00816B42">
                      <w:pPr>
                        <w:pStyle w:val="Nagwek10"/>
                        <w:keepNext/>
                        <w:keepLines/>
                      </w:pPr>
                      <w:bookmarkStart w:id="101" w:name="bookmark0"/>
                      <w:bookmarkStart w:id="102" w:name="bookmark1"/>
                      <w:bookmarkStart w:id="103" w:name="bookmark2"/>
                      <w:r>
                        <w:rPr>
                          <w:rFonts w:ascii="Arial" w:eastAsia="Arial" w:hAnsi="Arial" w:cs="Arial"/>
                          <w:sz w:val="34"/>
                          <w:szCs w:val="34"/>
                        </w:rPr>
                        <w:t>&lt;</w:t>
                      </w:r>
                      <w:r>
                        <w:t>5</w:t>
                      </w:r>
                      <w:bookmarkEnd w:id="101"/>
                      <w:bookmarkEnd w:id="102"/>
                      <w:bookmarkEnd w:id="103"/>
                    </w:p>
                  </w:txbxContent>
                </v:textbox>
                <w10:wrap type="topAndBottom" anchorx="page"/>
              </v:shape>
            </w:pict>
          </mc:Fallback>
        </mc:AlternateContent>
      </w:r>
    </w:p>
    <w:p w14:paraId="312DB07D" w14:textId="77777777" w:rsidR="00C31C99" w:rsidRDefault="00816B42">
      <w:pPr>
        <w:pStyle w:val="Teksttreci0"/>
        <w:spacing w:after="0"/>
        <w:ind w:firstLine="0"/>
      </w:pPr>
      <w:r>
        <w:t>D</w:t>
      </w:r>
      <w:r>
        <w:rPr>
          <w:sz w:val="13"/>
          <w:szCs w:val="13"/>
        </w:rPr>
        <w:t xml:space="preserve">15 </w:t>
      </w:r>
      <w:r>
        <w:t xml:space="preserve">- wymiar boku oczka sita, przez które przechodzi 15% </w:t>
      </w:r>
      <w:proofErr w:type="spellStart"/>
      <w:r>
        <w:t>ziarn</w:t>
      </w:r>
      <w:proofErr w:type="spellEnd"/>
      <w:r>
        <w:t xml:space="preserve"> warstwy odsączającej, w milimetrach, D</w:t>
      </w:r>
      <w:r>
        <w:rPr>
          <w:sz w:val="13"/>
          <w:szCs w:val="13"/>
        </w:rPr>
        <w:t>85</w:t>
      </w:r>
      <w:r>
        <w:t xml:space="preserve">- wymiar boku oczka sita przez które przechodzi 85% </w:t>
      </w:r>
      <w:proofErr w:type="spellStart"/>
      <w:r>
        <w:t>ziarn</w:t>
      </w:r>
      <w:proofErr w:type="spellEnd"/>
      <w:r>
        <w:t xml:space="preserve"> gruntu podłoża, w milimetrach.</w:t>
      </w:r>
    </w:p>
    <w:p w14:paraId="312DB07E" w14:textId="77777777" w:rsidR="00C31C99" w:rsidRDefault="00816B42">
      <w:pPr>
        <w:pStyle w:val="Teksttreci0"/>
        <w:spacing w:after="120"/>
        <w:jc w:val="both"/>
      </w:pPr>
      <w:r>
        <w:t>Podbudowa powinna być wytyczona w sposób umożliwiający jej wykonanie zgodnie z dokumentacją projektową lub według zaleceń Inspektora Nadzoru, z tolerancjami określonymi w niniejszych specyfikacjach.</w:t>
      </w:r>
    </w:p>
    <w:p w14:paraId="312DB07F" w14:textId="77777777" w:rsidR="00C31C99" w:rsidRDefault="00816B42">
      <w:pPr>
        <w:pStyle w:val="Teksttreci0"/>
        <w:spacing w:after="120"/>
        <w:jc w:val="both"/>
      </w:pPr>
      <w:r>
        <w:t>Paliki lub szpilki do prawidłowego ukształtowania podbudowy powinny być wcześniej przygotowane.</w:t>
      </w:r>
    </w:p>
    <w:p w14:paraId="312DB080" w14:textId="77777777" w:rsidR="00C31C99" w:rsidRDefault="00816B42">
      <w:pPr>
        <w:pStyle w:val="Teksttreci0"/>
        <w:spacing w:after="120"/>
        <w:jc w:val="both"/>
      </w:pPr>
      <w:r>
        <w:t>Paliki lub szpilki powinny być ustawione w osi drogi i w rzędach równoległych do osi drogi, lub w inny sposób zaakceptowany przez Inspektora Nadzoru.</w:t>
      </w:r>
    </w:p>
    <w:p w14:paraId="312DB081" w14:textId="77777777" w:rsidR="00C31C99" w:rsidRDefault="00816B42">
      <w:pPr>
        <w:pStyle w:val="Teksttreci0"/>
        <w:spacing w:after="180"/>
        <w:jc w:val="both"/>
      </w:pPr>
      <w:r>
        <w:lastRenderedPageBreak/>
        <w:t>Rozmieszczenie palików lub szpilek powinno umożliwiać naciągnięcie sznurków lub linek do wytyczenia robót w odstępach nie większych niż co 10 m.</w:t>
      </w:r>
    </w:p>
    <w:p w14:paraId="312DB082" w14:textId="77777777" w:rsidR="00C31C99" w:rsidRDefault="00816B42">
      <w:pPr>
        <w:pStyle w:val="Nagwek50"/>
        <w:keepNext/>
        <w:keepLines/>
        <w:numPr>
          <w:ilvl w:val="1"/>
          <w:numId w:val="1"/>
        </w:numPr>
        <w:tabs>
          <w:tab w:val="left" w:pos="418"/>
        </w:tabs>
        <w:spacing w:after="180"/>
        <w:jc w:val="both"/>
      </w:pPr>
      <w:bookmarkStart w:id="104" w:name="bookmark109"/>
      <w:bookmarkStart w:id="105" w:name="bookmark107"/>
      <w:bookmarkStart w:id="106" w:name="bookmark108"/>
      <w:bookmarkStart w:id="107" w:name="bookmark110"/>
      <w:bookmarkEnd w:id="104"/>
      <w:r>
        <w:t>Wbudowywanie i zagęszczanie kruszywa</w:t>
      </w:r>
      <w:bookmarkEnd w:id="105"/>
      <w:bookmarkEnd w:id="106"/>
      <w:bookmarkEnd w:id="107"/>
    </w:p>
    <w:p w14:paraId="312DB083" w14:textId="77777777" w:rsidR="00C31C99" w:rsidRDefault="00816B42">
      <w:pPr>
        <w:pStyle w:val="Teksttreci0"/>
        <w:spacing w:after="60"/>
        <w:jc w:val="both"/>
      </w:pPr>
      <w:r>
        <w:t xml:space="preserve">Minimalna grubość warstwy podbudowy z tłucznia nie może być po zagęszczeniu mniejsza od 1,5-krotnego wymiaru największych </w:t>
      </w:r>
      <w:proofErr w:type="spellStart"/>
      <w:r>
        <w:t>ziarn</w:t>
      </w:r>
      <w:proofErr w:type="spellEnd"/>
      <w:r>
        <w:t xml:space="preserve"> tłucznia. Maksymalna grubość warstwy podbudowy po zagęszczeniu nie może przekraczać 20 cm.</w:t>
      </w:r>
    </w:p>
    <w:p w14:paraId="312DB084" w14:textId="77777777" w:rsidR="00C31C99" w:rsidRDefault="00816B42">
      <w:pPr>
        <w:pStyle w:val="Teksttreci0"/>
        <w:spacing w:after="60"/>
        <w:jc w:val="both"/>
      </w:pPr>
      <w:r>
        <w:t>Kruszywo grube powinno być rozłożone w warstwie o jednakowej grubości, przy użyciu układarki albo równiarki. Grubość rozłożonej warstwy luźnego kruszywa powinna być taka, aby po jej zagęszczeniu i zaklinowaniu osiągnęła grubość projektowaną.</w:t>
      </w:r>
    </w:p>
    <w:p w14:paraId="312DB085" w14:textId="77777777" w:rsidR="00C31C99" w:rsidRDefault="00816B42">
      <w:pPr>
        <w:pStyle w:val="Teksttreci0"/>
        <w:spacing w:after="60"/>
        <w:jc w:val="both"/>
      </w:pPr>
      <w:r>
        <w:t xml:space="preserve">Kruszywo grube po rozłożeniu powinno być przywałowane dwoma przejściami walca statycznego, gładkiego o nacisku jednostkowym nie mniejszym niż 30 </w:t>
      </w:r>
      <w:proofErr w:type="spellStart"/>
      <w:r>
        <w:t>kN</w:t>
      </w:r>
      <w:proofErr w:type="spellEnd"/>
      <w:r>
        <w:t>/m. Zagęszczanie podbudowy o 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14:paraId="312DB086" w14:textId="77777777" w:rsidR="00C31C99" w:rsidRDefault="00816B42">
      <w:pPr>
        <w:pStyle w:val="Teksttreci0"/>
        <w:spacing w:after="60"/>
        <w:jc w:val="both"/>
      </w:pPr>
      <w:r>
        <w:t xml:space="preserve">W przypadku wykonywania podbudowy zasadniczej, po przywałowaniu kruszywa grubego należy rozłożyć kruszywo drobne w równej warstwie, w celu zaklinowania kruszywa grubego. Do zagęszczania należy użyć walca wibracyjnego o nacisku jednostkowym co najmniej 18 </w:t>
      </w:r>
      <w:proofErr w:type="spellStart"/>
      <w:r>
        <w:t>kN</w:t>
      </w:r>
      <w:proofErr w:type="spellEnd"/>
      <w:r>
        <w:t xml:space="preserve">/m, albo płytową zagęszczarką wibracyjną o nacisku jednostkowym co najmniej 16 </w:t>
      </w:r>
      <w:proofErr w:type="spellStart"/>
      <w:r>
        <w:t>kN</w:t>
      </w:r>
      <w:proofErr w:type="spellEnd"/>
      <w:r>
        <w:t>/m</w:t>
      </w:r>
      <w:r>
        <w:rPr>
          <w:vertAlign w:val="superscript"/>
        </w:rPr>
        <w:t>2</w:t>
      </w:r>
      <w:r>
        <w:t>.</w:t>
      </w:r>
    </w:p>
    <w:p w14:paraId="312DB087" w14:textId="77777777" w:rsidR="00C31C99" w:rsidRDefault="00816B42">
      <w:pPr>
        <w:pStyle w:val="Teksttreci0"/>
        <w:spacing w:after="60"/>
        <w:jc w:val="both"/>
      </w:pPr>
      <w:r>
        <w:t xml:space="preserve">Grubość warstwy luźnego kruszywa drobnego powinna być taka, aby wszystkie przestrzenie warstwy kruszywa grubego zostały wypełnione kruszywem drobnym. Jeżeli to konieczne, operacje rozkładania i </w:t>
      </w:r>
      <w:proofErr w:type="spellStart"/>
      <w:r>
        <w:t>wwibrowywanie</w:t>
      </w:r>
      <w:proofErr w:type="spellEnd"/>
      <w:r>
        <w:t xml:space="preserve"> kruszywa drobnego należy powtarzać aż do chwili, gdy kruszywo drobne przestanie penetrować warstwę kruszywa grubego.</w:t>
      </w:r>
    </w:p>
    <w:p w14:paraId="312DB088" w14:textId="77777777" w:rsidR="00C31C99" w:rsidRDefault="00816B42">
      <w:pPr>
        <w:pStyle w:val="Teksttreci0"/>
        <w:spacing w:after="60"/>
        <w:jc w:val="both"/>
      </w:pPr>
      <w:r>
        <w:t>Po zagęszczeniu cały nadmiar kruszywa drobnego należy usunąć z podbudowy szczotkami tak, aby ziarna kruszywa grubego wystawały nad powierzchnię od 3 do 6 mm.</w:t>
      </w:r>
    </w:p>
    <w:p w14:paraId="312DB089" w14:textId="77777777" w:rsidR="00C31C99" w:rsidRDefault="00816B42">
      <w:pPr>
        <w:pStyle w:val="Teksttreci0"/>
        <w:spacing w:after="320"/>
        <w:jc w:val="both"/>
      </w:pPr>
      <w:r>
        <w:t xml:space="preserve">Następnie warstwa powinna być przywałowana walcem statycznym gładkim o nacisku jednostkowym nie mniejszym niż 50 </w:t>
      </w:r>
      <w:proofErr w:type="spellStart"/>
      <w:r>
        <w:t>kN</w:t>
      </w:r>
      <w:proofErr w:type="spellEnd"/>
      <w:r>
        <w:t>/m, albo walcem ogumionym w celu dogęszczenia kruszywa poluzowanego w czasie szczotkowania.</w:t>
      </w:r>
    </w:p>
    <w:p w14:paraId="312DB08A" w14:textId="77777777" w:rsidR="00C31C99" w:rsidRDefault="00816B42">
      <w:pPr>
        <w:pStyle w:val="Nagwek40"/>
        <w:keepNext/>
        <w:keepLines/>
        <w:numPr>
          <w:ilvl w:val="0"/>
          <w:numId w:val="1"/>
        </w:numPr>
        <w:tabs>
          <w:tab w:val="left" w:pos="315"/>
        </w:tabs>
        <w:spacing w:after="260"/>
        <w:jc w:val="both"/>
      </w:pPr>
      <w:bookmarkStart w:id="108" w:name="bookmark113"/>
      <w:bookmarkStart w:id="109" w:name="bookmark111"/>
      <w:bookmarkStart w:id="110" w:name="bookmark112"/>
      <w:bookmarkStart w:id="111" w:name="bookmark114"/>
      <w:bookmarkEnd w:id="108"/>
      <w:r>
        <w:t>KONTROLA JAKOŚCI ROBÓT</w:t>
      </w:r>
      <w:bookmarkEnd w:id="109"/>
      <w:bookmarkEnd w:id="110"/>
      <w:bookmarkEnd w:id="111"/>
    </w:p>
    <w:p w14:paraId="312DB08B" w14:textId="77777777" w:rsidR="00C31C99" w:rsidRDefault="00816B42">
      <w:pPr>
        <w:pStyle w:val="Nagwek50"/>
        <w:keepNext/>
        <w:keepLines/>
        <w:numPr>
          <w:ilvl w:val="1"/>
          <w:numId w:val="1"/>
        </w:numPr>
        <w:tabs>
          <w:tab w:val="left" w:pos="418"/>
        </w:tabs>
        <w:spacing w:after="260"/>
        <w:jc w:val="both"/>
      </w:pPr>
      <w:bookmarkStart w:id="112" w:name="bookmark117"/>
      <w:bookmarkStart w:id="113" w:name="bookmark115"/>
      <w:bookmarkStart w:id="114" w:name="bookmark116"/>
      <w:bookmarkStart w:id="115" w:name="bookmark118"/>
      <w:bookmarkEnd w:id="112"/>
      <w:r>
        <w:t>Ogólne zasady kontroli jakości robót</w:t>
      </w:r>
      <w:bookmarkEnd w:id="113"/>
      <w:bookmarkEnd w:id="114"/>
      <w:bookmarkEnd w:id="115"/>
    </w:p>
    <w:p w14:paraId="312DB08C" w14:textId="77777777" w:rsidR="00C31C99" w:rsidRDefault="00816B42">
      <w:pPr>
        <w:pStyle w:val="Teksttreci0"/>
        <w:spacing w:after="260"/>
        <w:jc w:val="both"/>
      </w:pPr>
      <w:r>
        <w:t>Ogólne zasady kontroli jakości robót podano w SST D-M-00.00.00 „Wymagania ogólne” pkt 6.</w:t>
      </w:r>
    </w:p>
    <w:p w14:paraId="312DB08D" w14:textId="77777777" w:rsidR="00C31C99" w:rsidRDefault="00816B42">
      <w:pPr>
        <w:pStyle w:val="Nagwek50"/>
        <w:keepNext/>
        <w:keepLines/>
        <w:numPr>
          <w:ilvl w:val="1"/>
          <w:numId w:val="1"/>
        </w:numPr>
        <w:tabs>
          <w:tab w:val="left" w:pos="418"/>
        </w:tabs>
        <w:jc w:val="both"/>
      </w:pPr>
      <w:bookmarkStart w:id="116" w:name="bookmark121"/>
      <w:bookmarkStart w:id="117" w:name="bookmark119"/>
      <w:bookmarkStart w:id="118" w:name="bookmark120"/>
      <w:bookmarkStart w:id="119" w:name="bookmark122"/>
      <w:bookmarkEnd w:id="116"/>
      <w:r>
        <w:t>Badania przed przystąpieniem do robót</w:t>
      </w:r>
      <w:bookmarkEnd w:id="117"/>
      <w:bookmarkEnd w:id="118"/>
      <w:bookmarkEnd w:id="119"/>
    </w:p>
    <w:p w14:paraId="312DB08E" w14:textId="77777777" w:rsidR="00C31C99" w:rsidRDefault="00816B42">
      <w:pPr>
        <w:pStyle w:val="Teksttreci0"/>
        <w:spacing w:after="60"/>
        <w:jc w:val="both"/>
      </w:pPr>
      <w:r>
        <w:t>Przed przystąpieniem do robót Wykonawca powinien wykonać badania kruszyw przeznaczonych do wykonania robót i przedstawić wyniki tych badań Inżynierowi w celu akceptacji.</w:t>
      </w:r>
    </w:p>
    <w:p w14:paraId="312DB08F" w14:textId="77777777" w:rsidR="00C31C99" w:rsidRDefault="00816B42">
      <w:pPr>
        <w:pStyle w:val="Teksttreci0"/>
        <w:spacing w:after="260"/>
        <w:jc w:val="both"/>
      </w:pPr>
      <w:r>
        <w:t>Badania te powinny obejmować wszystkie właściwości kruszywa określone w pkt 2.3 i tablicach 1 i 2 niniejszych SST.</w:t>
      </w:r>
    </w:p>
    <w:p w14:paraId="312DB090" w14:textId="77777777" w:rsidR="00C31C99" w:rsidRDefault="00816B42">
      <w:pPr>
        <w:pStyle w:val="Nagwek50"/>
        <w:keepNext/>
        <w:keepLines/>
        <w:numPr>
          <w:ilvl w:val="1"/>
          <w:numId w:val="1"/>
        </w:numPr>
        <w:tabs>
          <w:tab w:val="left" w:pos="418"/>
        </w:tabs>
        <w:jc w:val="both"/>
      </w:pPr>
      <w:bookmarkStart w:id="120" w:name="bookmark125"/>
      <w:bookmarkStart w:id="121" w:name="bookmark126"/>
      <w:bookmarkEnd w:id="120"/>
      <w:r>
        <w:t>Badania w czasie robót</w:t>
      </w:r>
      <w:bookmarkEnd w:id="121"/>
    </w:p>
    <w:p w14:paraId="312DB091" w14:textId="77777777" w:rsidR="00C31C99" w:rsidRDefault="00816B42">
      <w:pPr>
        <w:pStyle w:val="Nagwek50"/>
        <w:keepNext/>
        <w:keepLines/>
        <w:numPr>
          <w:ilvl w:val="2"/>
          <w:numId w:val="1"/>
        </w:numPr>
        <w:tabs>
          <w:tab w:val="left" w:pos="937"/>
        </w:tabs>
        <w:ind w:firstLine="360"/>
        <w:jc w:val="both"/>
      </w:pPr>
      <w:bookmarkStart w:id="122" w:name="bookmark127"/>
      <w:bookmarkStart w:id="123" w:name="bookmark123"/>
      <w:bookmarkStart w:id="124" w:name="bookmark124"/>
      <w:bookmarkStart w:id="125" w:name="bookmark128"/>
      <w:bookmarkEnd w:id="122"/>
      <w:r>
        <w:t>Częstotliwość oraz zakres badań i pomiarów</w:t>
      </w:r>
      <w:bookmarkEnd w:id="123"/>
      <w:bookmarkEnd w:id="124"/>
      <w:bookmarkEnd w:id="125"/>
    </w:p>
    <w:p w14:paraId="312DB092" w14:textId="77777777" w:rsidR="00C31C99" w:rsidRDefault="00816B42">
      <w:pPr>
        <w:pStyle w:val="Teksttreci0"/>
        <w:spacing w:after="120"/>
        <w:ind w:firstLine="740"/>
        <w:jc w:val="both"/>
      </w:pPr>
      <w:r>
        <w:t>Częstotliwość oraz zakres badań podano w tablicy 3.</w:t>
      </w:r>
      <w:r>
        <w:br w:type="page"/>
      </w:r>
    </w:p>
    <w:p w14:paraId="312DB093" w14:textId="77777777" w:rsidR="00C31C99" w:rsidRDefault="00816B42">
      <w:pPr>
        <w:pStyle w:val="Podpistabeli0"/>
      </w:pPr>
      <w:r>
        <w:lastRenderedPageBreak/>
        <w:t>Tablica 3. Częstotliwość oraz zakres badań przy budowie podbudowy z tłucznia kamiennego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4"/>
        <w:gridCol w:w="4253"/>
        <w:gridCol w:w="1632"/>
        <w:gridCol w:w="1992"/>
      </w:tblGrid>
      <w:tr w:rsidR="00C31C99" w14:paraId="312DB097" w14:textId="77777777">
        <w:trPr>
          <w:trHeight w:hRule="exact" w:val="250"/>
          <w:jc w:val="center"/>
        </w:trPr>
        <w:tc>
          <w:tcPr>
            <w:tcW w:w="504" w:type="dxa"/>
            <w:vMerge w:val="restart"/>
            <w:tcBorders>
              <w:top w:val="single" w:sz="4" w:space="0" w:color="auto"/>
              <w:left w:val="single" w:sz="4" w:space="0" w:color="auto"/>
            </w:tcBorders>
            <w:shd w:val="clear" w:color="auto" w:fill="FFFFFF"/>
            <w:vAlign w:val="center"/>
          </w:tcPr>
          <w:p w14:paraId="312DB094" w14:textId="77777777" w:rsidR="00C31C99" w:rsidRDefault="00816B42">
            <w:pPr>
              <w:pStyle w:val="Inne0"/>
              <w:spacing w:after="0"/>
              <w:ind w:firstLine="0"/>
            </w:pPr>
            <w:r>
              <w:rPr>
                <w:b/>
                <w:bCs/>
              </w:rPr>
              <w:t>Lp.</w:t>
            </w:r>
          </w:p>
        </w:tc>
        <w:tc>
          <w:tcPr>
            <w:tcW w:w="4253" w:type="dxa"/>
            <w:vMerge w:val="restart"/>
            <w:tcBorders>
              <w:top w:val="single" w:sz="4" w:space="0" w:color="auto"/>
              <w:left w:val="single" w:sz="4" w:space="0" w:color="auto"/>
            </w:tcBorders>
            <w:shd w:val="clear" w:color="auto" w:fill="FFFFFF"/>
            <w:vAlign w:val="center"/>
          </w:tcPr>
          <w:p w14:paraId="312DB095" w14:textId="77777777" w:rsidR="00C31C99" w:rsidRDefault="00816B42">
            <w:pPr>
              <w:pStyle w:val="Inne0"/>
              <w:spacing w:after="0"/>
              <w:ind w:firstLine="0"/>
              <w:jc w:val="center"/>
            </w:pPr>
            <w:r>
              <w:rPr>
                <w:b/>
                <w:bCs/>
              </w:rPr>
              <w:t>Wyszczególnienie badań</w:t>
            </w:r>
          </w:p>
        </w:tc>
        <w:tc>
          <w:tcPr>
            <w:tcW w:w="3624" w:type="dxa"/>
            <w:gridSpan w:val="2"/>
            <w:tcBorders>
              <w:top w:val="single" w:sz="4" w:space="0" w:color="auto"/>
              <w:left w:val="single" w:sz="4" w:space="0" w:color="auto"/>
              <w:right w:val="single" w:sz="4" w:space="0" w:color="auto"/>
            </w:tcBorders>
            <w:shd w:val="clear" w:color="auto" w:fill="FFFFFF"/>
            <w:vAlign w:val="bottom"/>
          </w:tcPr>
          <w:p w14:paraId="312DB096" w14:textId="77777777" w:rsidR="00C31C99" w:rsidRDefault="00816B42">
            <w:pPr>
              <w:pStyle w:val="Inne0"/>
              <w:spacing w:after="0"/>
              <w:ind w:firstLine="0"/>
              <w:jc w:val="center"/>
            </w:pPr>
            <w:r>
              <w:rPr>
                <w:b/>
                <w:bCs/>
              </w:rPr>
              <w:t>Częstotliwość badań</w:t>
            </w:r>
          </w:p>
        </w:tc>
      </w:tr>
      <w:tr w:rsidR="00C31C99" w14:paraId="312DB09C" w14:textId="77777777">
        <w:trPr>
          <w:trHeight w:hRule="exact" w:val="1090"/>
          <w:jc w:val="center"/>
        </w:trPr>
        <w:tc>
          <w:tcPr>
            <w:tcW w:w="504" w:type="dxa"/>
            <w:vMerge/>
            <w:tcBorders>
              <w:left w:val="single" w:sz="4" w:space="0" w:color="auto"/>
            </w:tcBorders>
            <w:shd w:val="clear" w:color="auto" w:fill="FFFFFF"/>
            <w:vAlign w:val="center"/>
          </w:tcPr>
          <w:p w14:paraId="312DB098" w14:textId="77777777" w:rsidR="00C31C99" w:rsidRDefault="00C31C99"/>
        </w:tc>
        <w:tc>
          <w:tcPr>
            <w:tcW w:w="4253" w:type="dxa"/>
            <w:vMerge/>
            <w:tcBorders>
              <w:left w:val="single" w:sz="4" w:space="0" w:color="auto"/>
            </w:tcBorders>
            <w:shd w:val="clear" w:color="auto" w:fill="FFFFFF"/>
            <w:vAlign w:val="center"/>
          </w:tcPr>
          <w:p w14:paraId="312DB099" w14:textId="77777777" w:rsidR="00C31C99" w:rsidRDefault="00C31C99"/>
        </w:tc>
        <w:tc>
          <w:tcPr>
            <w:tcW w:w="1632" w:type="dxa"/>
            <w:tcBorders>
              <w:top w:val="single" w:sz="4" w:space="0" w:color="auto"/>
              <w:left w:val="single" w:sz="4" w:space="0" w:color="auto"/>
            </w:tcBorders>
            <w:shd w:val="clear" w:color="auto" w:fill="FFFFFF"/>
            <w:vAlign w:val="bottom"/>
          </w:tcPr>
          <w:p w14:paraId="312DB09A" w14:textId="77777777" w:rsidR="00C31C99" w:rsidRDefault="00816B42">
            <w:pPr>
              <w:pStyle w:val="Inne0"/>
              <w:spacing w:after="0"/>
              <w:ind w:firstLine="0"/>
              <w:jc w:val="center"/>
            </w:pPr>
            <w:r>
              <w:rPr>
                <w:b/>
                <w:bCs/>
              </w:rPr>
              <w:t>Minimalne ilości badań na dziennej działce roboczej</w:t>
            </w:r>
          </w:p>
        </w:tc>
        <w:tc>
          <w:tcPr>
            <w:tcW w:w="1992" w:type="dxa"/>
            <w:tcBorders>
              <w:top w:val="single" w:sz="4" w:space="0" w:color="auto"/>
              <w:left w:val="single" w:sz="4" w:space="0" w:color="auto"/>
              <w:right w:val="single" w:sz="4" w:space="0" w:color="auto"/>
            </w:tcBorders>
            <w:shd w:val="clear" w:color="auto" w:fill="FFFFFF"/>
            <w:vAlign w:val="center"/>
          </w:tcPr>
          <w:p w14:paraId="312DB09B" w14:textId="77777777" w:rsidR="00C31C99" w:rsidRDefault="00816B42">
            <w:pPr>
              <w:pStyle w:val="Inne0"/>
              <w:spacing w:after="0"/>
              <w:ind w:firstLine="0"/>
              <w:jc w:val="center"/>
            </w:pPr>
            <w:r>
              <w:rPr>
                <w:b/>
                <w:bCs/>
              </w:rPr>
              <w:t>Maksymalna po</w:t>
            </w:r>
            <w:r>
              <w:rPr>
                <w:b/>
                <w:bCs/>
              </w:rPr>
              <w:softHyphen/>
              <w:t>wierzchnia podbudowy na jedno badanie (m</w:t>
            </w:r>
            <w:r>
              <w:rPr>
                <w:b/>
                <w:bCs/>
                <w:vertAlign w:val="superscript"/>
              </w:rPr>
              <w:t>2</w:t>
            </w:r>
            <w:r>
              <w:rPr>
                <w:b/>
                <w:bCs/>
              </w:rPr>
              <w:t>)</w:t>
            </w:r>
          </w:p>
        </w:tc>
      </w:tr>
      <w:tr w:rsidR="00C31C99" w14:paraId="312DB0A4" w14:textId="77777777">
        <w:trPr>
          <w:trHeight w:hRule="exact" w:val="854"/>
          <w:jc w:val="center"/>
        </w:trPr>
        <w:tc>
          <w:tcPr>
            <w:tcW w:w="504" w:type="dxa"/>
            <w:tcBorders>
              <w:top w:val="single" w:sz="4" w:space="0" w:color="auto"/>
              <w:left w:val="single" w:sz="4" w:space="0" w:color="auto"/>
            </w:tcBorders>
            <w:shd w:val="clear" w:color="auto" w:fill="FFFFFF"/>
            <w:vAlign w:val="center"/>
          </w:tcPr>
          <w:p w14:paraId="312DB09D" w14:textId="77777777" w:rsidR="00C31C99" w:rsidRDefault="00816B42">
            <w:pPr>
              <w:pStyle w:val="Inne0"/>
              <w:spacing w:after="40"/>
              <w:ind w:firstLine="160"/>
            </w:pPr>
            <w:r>
              <w:t>1</w:t>
            </w:r>
          </w:p>
          <w:p w14:paraId="312DB09E" w14:textId="77777777" w:rsidR="00C31C99" w:rsidRDefault="00816B42">
            <w:pPr>
              <w:pStyle w:val="Inne0"/>
              <w:spacing w:after="0"/>
              <w:ind w:firstLine="160"/>
            </w:pPr>
            <w:r>
              <w:t>2</w:t>
            </w:r>
          </w:p>
          <w:p w14:paraId="312DB09F" w14:textId="77777777" w:rsidR="00C31C99" w:rsidRDefault="00816B42">
            <w:pPr>
              <w:pStyle w:val="Inne0"/>
              <w:spacing w:after="0"/>
              <w:ind w:firstLine="160"/>
            </w:pPr>
            <w:r>
              <w:t>3</w:t>
            </w:r>
          </w:p>
        </w:tc>
        <w:tc>
          <w:tcPr>
            <w:tcW w:w="4253" w:type="dxa"/>
            <w:tcBorders>
              <w:top w:val="single" w:sz="4" w:space="0" w:color="auto"/>
              <w:left w:val="single" w:sz="4" w:space="0" w:color="auto"/>
            </w:tcBorders>
            <w:shd w:val="clear" w:color="auto" w:fill="FFFFFF"/>
            <w:vAlign w:val="center"/>
          </w:tcPr>
          <w:p w14:paraId="312DB0A0" w14:textId="77777777" w:rsidR="00C31C99" w:rsidRDefault="00816B42">
            <w:pPr>
              <w:pStyle w:val="Inne0"/>
              <w:spacing w:after="0"/>
              <w:ind w:firstLine="0"/>
            </w:pPr>
            <w:r>
              <w:t>Uziarnienie kruszyw</w:t>
            </w:r>
          </w:p>
          <w:p w14:paraId="312DB0A1" w14:textId="77777777" w:rsidR="00C31C99" w:rsidRDefault="00816B42">
            <w:pPr>
              <w:pStyle w:val="Inne0"/>
              <w:spacing w:after="0"/>
              <w:ind w:firstLine="0"/>
            </w:pPr>
            <w:r>
              <w:t xml:space="preserve">Zawartość zanieczyszczeń obcych w kruszywie Zawartość </w:t>
            </w:r>
            <w:proofErr w:type="spellStart"/>
            <w:r>
              <w:t>ziarn</w:t>
            </w:r>
            <w:proofErr w:type="spellEnd"/>
            <w:r>
              <w:t xml:space="preserve"> nieforemnych w kruszywie</w:t>
            </w:r>
          </w:p>
        </w:tc>
        <w:tc>
          <w:tcPr>
            <w:tcW w:w="1632" w:type="dxa"/>
            <w:tcBorders>
              <w:top w:val="single" w:sz="4" w:space="0" w:color="auto"/>
              <w:left w:val="single" w:sz="4" w:space="0" w:color="auto"/>
            </w:tcBorders>
            <w:shd w:val="clear" w:color="auto" w:fill="FFFFFF"/>
            <w:vAlign w:val="center"/>
          </w:tcPr>
          <w:p w14:paraId="312DB0A2" w14:textId="77777777" w:rsidR="00C31C99" w:rsidRDefault="00816B42">
            <w:pPr>
              <w:pStyle w:val="Inne0"/>
              <w:spacing w:after="0"/>
              <w:ind w:firstLine="900"/>
              <w:jc w:val="both"/>
            </w:pPr>
            <w:r>
              <w:t>2</w:t>
            </w:r>
          </w:p>
        </w:tc>
        <w:tc>
          <w:tcPr>
            <w:tcW w:w="1992" w:type="dxa"/>
            <w:tcBorders>
              <w:top w:val="single" w:sz="4" w:space="0" w:color="auto"/>
              <w:left w:val="single" w:sz="4" w:space="0" w:color="auto"/>
              <w:right w:val="single" w:sz="4" w:space="0" w:color="auto"/>
            </w:tcBorders>
            <w:shd w:val="clear" w:color="auto" w:fill="FFFFFF"/>
            <w:vAlign w:val="center"/>
          </w:tcPr>
          <w:p w14:paraId="312DB0A3" w14:textId="77777777" w:rsidR="00C31C99" w:rsidRDefault="00816B42">
            <w:pPr>
              <w:pStyle w:val="Inne0"/>
              <w:spacing w:after="0"/>
              <w:ind w:firstLine="960"/>
            </w:pPr>
            <w:r>
              <w:t>600</w:t>
            </w:r>
          </w:p>
        </w:tc>
      </w:tr>
      <w:tr w:rsidR="00C31C99" w14:paraId="312DB0AE" w14:textId="77777777">
        <w:trPr>
          <w:trHeight w:hRule="exact" w:val="1085"/>
          <w:jc w:val="center"/>
        </w:trPr>
        <w:tc>
          <w:tcPr>
            <w:tcW w:w="504" w:type="dxa"/>
            <w:tcBorders>
              <w:top w:val="single" w:sz="4" w:space="0" w:color="auto"/>
              <w:left w:val="single" w:sz="4" w:space="0" w:color="auto"/>
              <w:bottom w:val="single" w:sz="4" w:space="0" w:color="auto"/>
            </w:tcBorders>
            <w:shd w:val="clear" w:color="auto" w:fill="FFFFFF"/>
            <w:vAlign w:val="center"/>
          </w:tcPr>
          <w:p w14:paraId="312DB0A5" w14:textId="77777777" w:rsidR="00C31C99" w:rsidRDefault="00816B42">
            <w:pPr>
              <w:pStyle w:val="Inne0"/>
              <w:spacing w:after="0"/>
              <w:ind w:firstLine="160"/>
            </w:pPr>
            <w:r>
              <w:t>4</w:t>
            </w:r>
          </w:p>
          <w:p w14:paraId="312DB0A6" w14:textId="77777777" w:rsidR="00C31C99" w:rsidRDefault="00816B42">
            <w:pPr>
              <w:pStyle w:val="Inne0"/>
              <w:spacing w:after="0"/>
              <w:ind w:firstLine="160"/>
            </w:pPr>
            <w:r>
              <w:t>5</w:t>
            </w:r>
          </w:p>
          <w:p w14:paraId="312DB0A7" w14:textId="77777777" w:rsidR="00C31C99" w:rsidRDefault="00816B42">
            <w:pPr>
              <w:pStyle w:val="Inne0"/>
              <w:spacing w:after="0"/>
              <w:ind w:firstLine="160"/>
            </w:pPr>
            <w:r>
              <w:t>6</w:t>
            </w:r>
          </w:p>
          <w:p w14:paraId="312DB0A8" w14:textId="77777777" w:rsidR="00C31C99" w:rsidRDefault="00816B42">
            <w:pPr>
              <w:pStyle w:val="Inne0"/>
              <w:spacing w:after="0"/>
              <w:ind w:firstLine="160"/>
            </w:pPr>
            <w:r>
              <w:t>7</w:t>
            </w:r>
          </w:p>
        </w:tc>
        <w:tc>
          <w:tcPr>
            <w:tcW w:w="4253" w:type="dxa"/>
            <w:tcBorders>
              <w:top w:val="single" w:sz="4" w:space="0" w:color="auto"/>
              <w:left w:val="single" w:sz="4" w:space="0" w:color="auto"/>
              <w:bottom w:val="single" w:sz="4" w:space="0" w:color="auto"/>
            </w:tcBorders>
            <w:shd w:val="clear" w:color="auto" w:fill="FFFFFF"/>
            <w:vAlign w:val="center"/>
          </w:tcPr>
          <w:p w14:paraId="312DB0A9" w14:textId="77777777" w:rsidR="00C31C99" w:rsidRDefault="00816B42">
            <w:pPr>
              <w:pStyle w:val="Inne0"/>
              <w:spacing w:after="0"/>
              <w:ind w:firstLine="0"/>
            </w:pPr>
            <w:r>
              <w:t>Ścieralność kruszywa</w:t>
            </w:r>
          </w:p>
          <w:p w14:paraId="312DB0AA" w14:textId="77777777" w:rsidR="00C31C99" w:rsidRDefault="00816B42">
            <w:pPr>
              <w:pStyle w:val="Inne0"/>
              <w:spacing w:after="0"/>
              <w:ind w:firstLine="0"/>
            </w:pPr>
            <w:r>
              <w:t>Nasiąkliwość kruszywa</w:t>
            </w:r>
          </w:p>
          <w:p w14:paraId="312DB0AB" w14:textId="77777777" w:rsidR="00C31C99" w:rsidRDefault="00816B42">
            <w:pPr>
              <w:pStyle w:val="Inne0"/>
              <w:spacing w:after="0"/>
              <w:ind w:firstLine="0"/>
            </w:pPr>
            <w:r>
              <w:t>Odporność kruszywa na działanie mrozu Zawartość zanieczyszczeń organicznych</w:t>
            </w:r>
          </w:p>
        </w:tc>
        <w:tc>
          <w:tcPr>
            <w:tcW w:w="362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2DB0AC" w14:textId="77777777" w:rsidR="00C31C99" w:rsidRDefault="00816B42">
            <w:pPr>
              <w:pStyle w:val="Inne0"/>
              <w:spacing w:after="0"/>
              <w:ind w:firstLine="0"/>
              <w:jc w:val="center"/>
            </w:pPr>
            <w:r>
              <w:t>6000</w:t>
            </w:r>
          </w:p>
          <w:p w14:paraId="312DB0AD" w14:textId="77777777" w:rsidR="00C31C99" w:rsidRDefault="00816B42">
            <w:pPr>
              <w:pStyle w:val="Inne0"/>
              <w:spacing w:after="0"/>
              <w:ind w:firstLine="0"/>
              <w:jc w:val="center"/>
            </w:pPr>
            <w:r>
              <w:t>i przy każdej zmianie źródła pobierania materiałów</w:t>
            </w:r>
          </w:p>
        </w:tc>
      </w:tr>
    </w:tbl>
    <w:p w14:paraId="312DB0AF" w14:textId="77777777" w:rsidR="00C31C99" w:rsidRDefault="00C31C99">
      <w:pPr>
        <w:spacing w:after="219" w:line="1" w:lineRule="exact"/>
      </w:pPr>
    </w:p>
    <w:p w14:paraId="312DB0B0" w14:textId="77777777" w:rsidR="00C31C99" w:rsidRDefault="00816B42">
      <w:pPr>
        <w:pStyle w:val="Nagwek50"/>
        <w:keepNext/>
        <w:keepLines/>
        <w:numPr>
          <w:ilvl w:val="2"/>
          <w:numId w:val="1"/>
        </w:numPr>
        <w:tabs>
          <w:tab w:val="left" w:pos="918"/>
        </w:tabs>
        <w:spacing w:after="60"/>
        <w:ind w:firstLine="300"/>
        <w:jc w:val="both"/>
      </w:pPr>
      <w:bookmarkStart w:id="126" w:name="bookmark131"/>
      <w:bookmarkStart w:id="127" w:name="bookmark129"/>
      <w:bookmarkStart w:id="128" w:name="bookmark130"/>
      <w:bookmarkStart w:id="129" w:name="bookmark132"/>
      <w:bookmarkEnd w:id="126"/>
      <w:r>
        <w:t>Badania właściwości kruszywa</w:t>
      </w:r>
      <w:bookmarkEnd w:id="127"/>
      <w:bookmarkEnd w:id="128"/>
      <w:bookmarkEnd w:id="129"/>
    </w:p>
    <w:p w14:paraId="312DB0B1" w14:textId="77777777" w:rsidR="00C31C99" w:rsidRDefault="00816B42">
      <w:pPr>
        <w:pStyle w:val="Teksttreci0"/>
        <w:spacing w:after="60"/>
        <w:jc w:val="both"/>
      </w:pPr>
      <w:r>
        <w:t>Próbki należy pobierać w sposób losowy z rozłożonej warstwy, przed jej zagęszczeniem. Wyniki badań powinny być na bieżąco przekazywane Inspektorowi Nadzoru.</w:t>
      </w:r>
    </w:p>
    <w:p w14:paraId="312DB0B2" w14:textId="77777777" w:rsidR="00C31C99" w:rsidRDefault="00816B42">
      <w:pPr>
        <w:pStyle w:val="Teksttreci0"/>
        <w:spacing w:after="180"/>
        <w:jc w:val="both"/>
      </w:pPr>
      <w:r>
        <w:t>Badania pełne kruszywa, obejmujące ocenę wszystkich właściwości określonych w pkt 2.3 powinny być wykonywane przez Wykonawcę z częstotliwością gwarantującą zachowanie jakości robót i zawsze w przypadku zmiany źródła pobierania materiałów oraz na polecenie Inżyniera. Próbki do badań pełnych powinny być pobierane przez Wykonawcę w sposób losowy, w obecności Inspektora Nadzoru.</w:t>
      </w:r>
    </w:p>
    <w:p w14:paraId="312DB0B3" w14:textId="77777777" w:rsidR="00C31C99" w:rsidRDefault="00816B42">
      <w:pPr>
        <w:pStyle w:val="Nagwek50"/>
        <w:keepNext/>
        <w:keepLines/>
        <w:numPr>
          <w:ilvl w:val="1"/>
          <w:numId w:val="1"/>
        </w:numPr>
        <w:tabs>
          <w:tab w:val="left" w:pos="464"/>
        </w:tabs>
        <w:jc w:val="both"/>
      </w:pPr>
      <w:bookmarkStart w:id="130" w:name="bookmark135"/>
      <w:bookmarkStart w:id="131" w:name="bookmark133"/>
      <w:bookmarkStart w:id="132" w:name="bookmark134"/>
      <w:bookmarkStart w:id="133" w:name="bookmark136"/>
      <w:bookmarkEnd w:id="130"/>
      <w:r>
        <w:t>Wymagania dotyczące nośności i cech geometrycznych podbudowy</w:t>
      </w:r>
      <w:bookmarkEnd w:id="131"/>
      <w:bookmarkEnd w:id="132"/>
      <w:bookmarkEnd w:id="133"/>
    </w:p>
    <w:p w14:paraId="312DB0B4" w14:textId="77777777" w:rsidR="00C31C99" w:rsidRDefault="00816B42">
      <w:pPr>
        <w:pStyle w:val="Teksttreci0"/>
        <w:numPr>
          <w:ilvl w:val="2"/>
          <w:numId w:val="1"/>
        </w:numPr>
        <w:tabs>
          <w:tab w:val="left" w:pos="913"/>
        </w:tabs>
        <w:spacing w:after="120"/>
        <w:jc w:val="both"/>
      </w:pPr>
      <w:bookmarkStart w:id="134" w:name="bookmark137"/>
      <w:bookmarkEnd w:id="134"/>
      <w:r>
        <w:t>Częstotliwość oraz zakres pomiarów</w:t>
      </w:r>
    </w:p>
    <w:p w14:paraId="312DB0B5" w14:textId="77777777" w:rsidR="00C31C99" w:rsidRDefault="00816B42">
      <w:pPr>
        <w:pStyle w:val="Teksttreci0"/>
        <w:spacing w:after="120"/>
        <w:ind w:firstLine="780"/>
        <w:jc w:val="both"/>
      </w:pPr>
      <w:r>
        <w:t>Częstotliwość oraz zakres pomiarów podano w tablicy 4.</w:t>
      </w:r>
    </w:p>
    <w:p w14:paraId="312DB0B6" w14:textId="77777777" w:rsidR="00C31C99" w:rsidRDefault="00816B42">
      <w:pPr>
        <w:pStyle w:val="Teksttreci0"/>
        <w:spacing w:after="220"/>
        <w:ind w:firstLine="0"/>
        <w:jc w:val="both"/>
      </w:pPr>
      <w:r>
        <w:rPr>
          <w:b/>
          <w:bCs/>
        </w:rPr>
        <w:t>Tablica 4. Częstotliwość oraz zakres pomiarów wykonanej podbudowy z tłucznia kamiennego</w:t>
      </w:r>
    </w:p>
    <w:tbl>
      <w:tblPr>
        <w:tblOverlap w:val="never"/>
        <w:tblW w:w="0" w:type="auto"/>
        <w:jc w:val="center"/>
        <w:tblLayout w:type="fixed"/>
        <w:tblCellMar>
          <w:left w:w="10" w:type="dxa"/>
          <w:right w:w="10" w:type="dxa"/>
        </w:tblCellMar>
        <w:tblLook w:val="04A0" w:firstRow="1" w:lastRow="0" w:firstColumn="1" w:lastColumn="0" w:noHBand="0" w:noVBand="1"/>
      </w:tblPr>
      <w:tblGrid>
        <w:gridCol w:w="802"/>
        <w:gridCol w:w="3672"/>
        <w:gridCol w:w="4262"/>
      </w:tblGrid>
      <w:tr w:rsidR="00C31C99" w14:paraId="312DB0BA" w14:textId="77777777">
        <w:trPr>
          <w:trHeight w:hRule="exact" w:val="394"/>
          <w:jc w:val="center"/>
        </w:trPr>
        <w:tc>
          <w:tcPr>
            <w:tcW w:w="802" w:type="dxa"/>
            <w:tcBorders>
              <w:top w:val="single" w:sz="4" w:space="0" w:color="auto"/>
              <w:left w:val="single" w:sz="4" w:space="0" w:color="auto"/>
            </w:tcBorders>
            <w:shd w:val="clear" w:color="auto" w:fill="FFFFFF"/>
            <w:vAlign w:val="center"/>
          </w:tcPr>
          <w:p w14:paraId="312DB0B7" w14:textId="77777777" w:rsidR="00C31C99" w:rsidRDefault="00816B42">
            <w:pPr>
              <w:pStyle w:val="Inne0"/>
              <w:spacing w:after="0"/>
              <w:ind w:firstLine="260"/>
            </w:pPr>
            <w:r>
              <w:rPr>
                <w:b/>
                <w:bCs/>
                <w:vertAlign w:val="superscript"/>
              </w:rPr>
              <w:t>L</w:t>
            </w:r>
            <w:r>
              <w:rPr>
                <w:b/>
                <w:bCs/>
              </w:rPr>
              <w:t>p.</w:t>
            </w:r>
          </w:p>
        </w:tc>
        <w:tc>
          <w:tcPr>
            <w:tcW w:w="3672" w:type="dxa"/>
            <w:tcBorders>
              <w:top w:val="single" w:sz="4" w:space="0" w:color="auto"/>
              <w:left w:val="single" w:sz="4" w:space="0" w:color="auto"/>
            </w:tcBorders>
            <w:shd w:val="clear" w:color="auto" w:fill="FFFFFF"/>
            <w:vAlign w:val="center"/>
          </w:tcPr>
          <w:p w14:paraId="312DB0B8" w14:textId="77777777" w:rsidR="00C31C99" w:rsidRDefault="00816B42">
            <w:pPr>
              <w:pStyle w:val="Inne0"/>
              <w:spacing w:after="0"/>
              <w:ind w:firstLine="280"/>
              <w:jc w:val="both"/>
            </w:pPr>
            <w:r>
              <w:rPr>
                <w:b/>
                <w:bCs/>
              </w:rPr>
              <w:t>Wyszczególnienie badań i pomiarów</w:t>
            </w:r>
          </w:p>
        </w:tc>
        <w:tc>
          <w:tcPr>
            <w:tcW w:w="4262" w:type="dxa"/>
            <w:tcBorders>
              <w:top w:val="single" w:sz="4" w:space="0" w:color="auto"/>
              <w:left w:val="single" w:sz="4" w:space="0" w:color="auto"/>
              <w:right w:val="single" w:sz="4" w:space="0" w:color="auto"/>
            </w:tcBorders>
            <w:shd w:val="clear" w:color="auto" w:fill="FFFFFF"/>
            <w:vAlign w:val="center"/>
          </w:tcPr>
          <w:p w14:paraId="312DB0B9" w14:textId="77777777" w:rsidR="00C31C99" w:rsidRDefault="00816B42">
            <w:pPr>
              <w:pStyle w:val="Inne0"/>
              <w:spacing w:after="0"/>
              <w:ind w:firstLine="620"/>
            </w:pPr>
            <w:r>
              <w:rPr>
                <w:b/>
                <w:bCs/>
              </w:rPr>
              <w:t>Minimalna częstotliwość pomiarów</w:t>
            </w:r>
          </w:p>
        </w:tc>
      </w:tr>
      <w:tr w:rsidR="00C31C99" w14:paraId="312DB0BE" w14:textId="77777777">
        <w:trPr>
          <w:trHeight w:hRule="exact" w:val="389"/>
          <w:jc w:val="center"/>
        </w:trPr>
        <w:tc>
          <w:tcPr>
            <w:tcW w:w="802" w:type="dxa"/>
            <w:tcBorders>
              <w:top w:val="single" w:sz="4" w:space="0" w:color="auto"/>
              <w:left w:val="single" w:sz="4" w:space="0" w:color="auto"/>
            </w:tcBorders>
            <w:shd w:val="clear" w:color="auto" w:fill="FFFFFF"/>
            <w:vAlign w:val="center"/>
          </w:tcPr>
          <w:p w14:paraId="312DB0BB" w14:textId="77777777" w:rsidR="00C31C99" w:rsidRDefault="00816B42">
            <w:pPr>
              <w:pStyle w:val="Inne0"/>
              <w:spacing w:after="0"/>
              <w:ind w:firstLine="360"/>
            </w:pPr>
            <w:r>
              <w:t>1</w:t>
            </w:r>
          </w:p>
        </w:tc>
        <w:tc>
          <w:tcPr>
            <w:tcW w:w="3672" w:type="dxa"/>
            <w:tcBorders>
              <w:top w:val="single" w:sz="4" w:space="0" w:color="auto"/>
              <w:left w:val="single" w:sz="4" w:space="0" w:color="auto"/>
            </w:tcBorders>
            <w:shd w:val="clear" w:color="auto" w:fill="FFFFFF"/>
            <w:vAlign w:val="center"/>
          </w:tcPr>
          <w:p w14:paraId="312DB0BC" w14:textId="77777777" w:rsidR="00C31C99" w:rsidRDefault="00816B42">
            <w:pPr>
              <w:pStyle w:val="Inne0"/>
              <w:spacing w:after="0"/>
              <w:ind w:firstLine="0"/>
            </w:pPr>
            <w:r>
              <w:t>Szerokość podbudowy</w:t>
            </w:r>
          </w:p>
        </w:tc>
        <w:tc>
          <w:tcPr>
            <w:tcW w:w="4262" w:type="dxa"/>
            <w:tcBorders>
              <w:top w:val="single" w:sz="4" w:space="0" w:color="auto"/>
              <w:left w:val="single" w:sz="4" w:space="0" w:color="auto"/>
              <w:right w:val="single" w:sz="4" w:space="0" w:color="auto"/>
            </w:tcBorders>
            <w:shd w:val="clear" w:color="auto" w:fill="FFFFFF"/>
            <w:vAlign w:val="center"/>
          </w:tcPr>
          <w:p w14:paraId="312DB0BD" w14:textId="77777777" w:rsidR="00C31C99" w:rsidRDefault="00816B42">
            <w:pPr>
              <w:pStyle w:val="Inne0"/>
              <w:spacing w:after="0"/>
              <w:ind w:firstLine="0"/>
              <w:jc w:val="both"/>
            </w:pPr>
            <w:r>
              <w:t>10 razy na 1 km</w:t>
            </w:r>
          </w:p>
        </w:tc>
      </w:tr>
      <w:tr w:rsidR="00C31C99" w14:paraId="312DB0C2" w14:textId="77777777">
        <w:trPr>
          <w:trHeight w:hRule="exact" w:val="605"/>
          <w:jc w:val="center"/>
        </w:trPr>
        <w:tc>
          <w:tcPr>
            <w:tcW w:w="802" w:type="dxa"/>
            <w:tcBorders>
              <w:top w:val="single" w:sz="4" w:space="0" w:color="auto"/>
              <w:left w:val="single" w:sz="4" w:space="0" w:color="auto"/>
            </w:tcBorders>
            <w:shd w:val="clear" w:color="auto" w:fill="FFFFFF"/>
            <w:vAlign w:val="center"/>
          </w:tcPr>
          <w:p w14:paraId="312DB0BF" w14:textId="77777777" w:rsidR="00C31C99" w:rsidRDefault="00816B42">
            <w:pPr>
              <w:pStyle w:val="Inne0"/>
              <w:spacing w:after="0"/>
              <w:ind w:firstLine="360"/>
            </w:pPr>
            <w:r>
              <w:t>2</w:t>
            </w:r>
          </w:p>
        </w:tc>
        <w:tc>
          <w:tcPr>
            <w:tcW w:w="3672" w:type="dxa"/>
            <w:tcBorders>
              <w:top w:val="single" w:sz="4" w:space="0" w:color="auto"/>
              <w:left w:val="single" w:sz="4" w:space="0" w:color="auto"/>
            </w:tcBorders>
            <w:shd w:val="clear" w:color="auto" w:fill="FFFFFF"/>
            <w:vAlign w:val="center"/>
          </w:tcPr>
          <w:p w14:paraId="312DB0C0" w14:textId="77777777" w:rsidR="00C31C99" w:rsidRDefault="00816B42">
            <w:pPr>
              <w:pStyle w:val="Inne0"/>
              <w:spacing w:after="0"/>
              <w:ind w:firstLine="0"/>
            </w:pPr>
            <w:r>
              <w:t>Równość podłużna</w:t>
            </w:r>
          </w:p>
        </w:tc>
        <w:tc>
          <w:tcPr>
            <w:tcW w:w="4262" w:type="dxa"/>
            <w:tcBorders>
              <w:top w:val="single" w:sz="4" w:space="0" w:color="auto"/>
              <w:left w:val="single" w:sz="4" w:space="0" w:color="auto"/>
              <w:right w:val="single" w:sz="4" w:space="0" w:color="auto"/>
            </w:tcBorders>
            <w:shd w:val="clear" w:color="auto" w:fill="FFFFFF"/>
            <w:vAlign w:val="center"/>
          </w:tcPr>
          <w:p w14:paraId="312DB0C1" w14:textId="77777777" w:rsidR="00C31C99" w:rsidRDefault="00816B42">
            <w:pPr>
              <w:pStyle w:val="Inne0"/>
              <w:spacing w:after="0"/>
              <w:ind w:firstLine="0"/>
              <w:jc w:val="both"/>
            </w:pPr>
            <w:r>
              <w:t xml:space="preserve">w sposób ciągły </w:t>
            </w:r>
            <w:proofErr w:type="spellStart"/>
            <w:r>
              <w:t>planografem</w:t>
            </w:r>
            <w:proofErr w:type="spellEnd"/>
            <w:r>
              <w:t xml:space="preserve"> albo co 20 m łatą na każdym pasie ruchu</w:t>
            </w:r>
          </w:p>
        </w:tc>
      </w:tr>
      <w:tr w:rsidR="00C31C99" w14:paraId="312DB0C6" w14:textId="77777777">
        <w:trPr>
          <w:trHeight w:hRule="exact" w:val="370"/>
          <w:jc w:val="center"/>
        </w:trPr>
        <w:tc>
          <w:tcPr>
            <w:tcW w:w="802" w:type="dxa"/>
            <w:tcBorders>
              <w:top w:val="single" w:sz="4" w:space="0" w:color="auto"/>
              <w:left w:val="single" w:sz="4" w:space="0" w:color="auto"/>
            </w:tcBorders>
            <w:shd w:val="clear" w:color="auto" w:fill="FFFFFF"/>
            <w:vAlign w:val="center"/>
          </w:tcPr>
          <w:p w14:paraId="312DB0C3" w14:textId="77777777" w:rsidR="00C31C99" w:rsidRDefault="00816B42">
            <w:pPr>
              <w:pStyle w:val="Inne0"/>
              <w:spacing w:after="0"/>
              <w:ind w:firstLine="360"/>
            </w:pPr>
            <w:r>
              <w:t>3</w:t>
            </w:r>
          </w:p>
        </w:tc>
        <w:tc>
          <w:tcPr>
            <w:tcW w:w="3672" w:type="dxa"/>
            <w:tcBorders>
              <w:top w:val="single" w:sz="4" w:space="0" w:color="auto"/>
              <w:left w:val="single" w:sz="4" w:space="0" w:color="auto"/>
            </w:tcBorders>
            <w:shd w:val="clear" w:color="auto" w:fill="FFFFFF"/>
            <w:vAlign w:val="center"/>
          </w:tcPr>
          <w:p w14:paraId="312DB0C4" w14:textId="77777777" w:rsidR="00C31C99" w:rsidRDefault="00816B42">
            <w:pPr>
              <w:pStyle w:val="Inne0"/>
              <w:spacing w:after="0"/>
              <w:ind w:firstLine="0"/>
            </w:pPr>
            <w:r>
              <w:t>Równość poprzeczna</w:t>
            </w:r>
          </w:p>
        </w:tc>
        <w:tc>
          <w:tcPr>
            <w:tcW w:w="4262" w:type="dxa"/>
            <w:tcBorders>
              <w:top w:val="single" w:sz="4" w:space="0" w:color="auto"/>
              <w:left w:val="single" w:sz="4" w:space="0" w:color="auto"/>
              <w:right w:val="single" w:sz="4" w:space="0" w:color="auto"/>
            </w:tcBorders>
            <w:shd w:val="clear" w:color="auto" w:fill="FFFFFF"/>
            <w:vAlign w:val="center"/>
          </w:tcPr>
          <w:p w14:paraId="312DB0C5" w14:textId="77777777" w:rsidR="00C31C99" w:rsidRDefault="00816B42">
            <w:pPr>
              <w:pStyle w:val="Inne0"/>
              <w:spacing w:after="0"/>
              <w:ind w:firstLine="0"/>
              <w:jc w:val="both"/>
            </w:pPr>
            <w:r>
              <w:t>10 razy na 1 km</w:t>
            </w:r>
          </w:p>
        </w:tc>
      </w:tr>
      <w:tr w:rsidR="00C31C99" w14:paraId="312DB0CA" w14:textId="77777777">
        <w:trPr>
          <w:trHeight w:hRule="exact" w:val="370"/>
          <w:jc w:val="center"/>
        </w:trPr>
        <w:tc>
          <w:tcPr>
            <w:tcW w:w="802" w:type="dxa"/>
            <w:tcBorders>
              <w:top w:val="single" w:sz="4" w:space="0" w:color="auto"/>
              <w:left w:val="single" w:sz="4" w:space="0" w:color="auto"/>
            </w:tcBorders>
            <w:shd w:val="clear" w:color="auto" w:fill="FFFFFF"/>
            <w:vAlign w:val="center"/>
          </w:tcPr>
          <w:p w14:paraId="312DB0C7" w14:textId="77777777" w:rsidR="00C31C99" w:rsidRDefault="00816B42">
            <w:pPr>
              <w:pStyle w:val="Inne0"/>
              <w:spacing w:after="0"/>
              <w:ind w:firstLine="360"/>
            </w:pPr>
            <w:r>
              <w:t>4</w:t>
            </w:r>
          </w:p>
        </w:tc>
        <w:tc>
          <w:tcPr>
            <w:tcW w:w="3672" w:type="dxa"/>
            <w:tcBorders>
              <w:top w:val="single" w:sz="4" w:space="0" w:color="auto"/>
              <w:left w:val="single" w:sz="4" w:space="0" w:color="auto"/>
            </w:tcBorders>
            <w:shd w:val="clear" w:color="auto" w:fill="FFFFFF"/>
            <w:vAlign w:val="center"/>
          </w:tcPr>
          <w:p w14:paraId="312DB0C8" w14:textId="77777777" w:rsidR="00C31C99" w:rsidRDefault="00816B42">
            <w:pPr>
              <w:pStyle w:val="Inne0"/>
              <w:spacing w:after="0"/>
              <w:ind w:firstLine="0"/>
            </w:pPr>
            <w:r>
              <w:t>Spadki poprzeczne*</w:t>
            </w:r>
            <w:r>
              <w:rPr>
                <w:vertAlign w:val="superscript"/>
              </w:rPr>
              <w:t>)</w:t>
            </w:r>
          </w:p>
        </w:tc>
        <w:tc>
          <w:tcPr>
            <w:tcW w:w="4262" w:type="dxa"/>
            <w:tcBorders>
              <w:top w:val="single" w:sz="4" w:space="0" w:color="auto"/>
              <w:left w:val="single" w:sz="4" w:space="0" w:color="auto"/>
              <w:right w:val="single" w:sz="4" w:space="0" w:color="auto"/>
            </w:tcBorders>
            <w:shd w:val="clear" w:color="auto" w:fill="FFFFFF"/>
            <w:vAlign w:val="center"/>
          </w:tcPr>
          <w:p w14:paraId="312DB0C9" w14:textId="77777777" w:rsidR="00C31C99" w:rsidRDefault="00816B42">
            <w:pPr>
              <w:pStyle w:val="Inne0"/>
              <w:spacing w:after="0"/>
              <w:ind w:firstLine="0"/>
              <w:jc w:val="both"/>
            </w:pPr>
            <w:r>
              <w:t>10 razy na 1 km</w:t>
            </w:r>
          </w:p>
        </w:tc>
      </w:tr>
      <w:tr w:rsidR="00C31C99" w14:paraId="312DB0CE" w14:textId="77777777">
        <w:trPr>
          <w:trHeight w:hRule="exact" w:val="490"/>
          <w:jc w:val="center"/>
        </w:trPr>
        <w:tc>
          <w:tcPr>
            <w:tcW w:w="802" w:type="dxa"/>
            <w:tcBorders>
              <w:top w:val="single" w:sz="4" w:space="0" w:color="auto"/>
              <w:left w:val="single" w:sz="4" w:space="0" w:color="auto"/>
            </w:tcBorders>
            <w:shd w:val="clear" w:color="auto" w:fill="FFFFFF"/>
            <w:vAlign w:val="bottom"/>
          </w:tcPr>
          <w:p w14:paraId="312DB0CB" w14:textId="77777777" w:rsidR="00C31C99" w:rsidRDefault="00816B42">
            <w:pPr>
              <w:pStyle w:val="Inne0"/>
              <w:spacing w:after="0"/>
              <w:ind w:firstLine="360"/>
            </w:pPr>
            <w:r>
              <w:t>5</w:t>
            </w:r>
          </w:p>
        </w:tc>
        <w:tc>
          <w:tcPr>
            <w:tcW w:w="3672" w:type="dxa"/>
            <w:tcBorders>
              <w:top w:val="single" w:sz="4" w:space="0" w:color="auto"/>
              <w:left w:val="single" w:sz="4" w:space="0" w:color="auto"/>
            </w:tcBorders>
            <w:shd w:val="clear" w:color="auto" w:fill="FFFFFF"/>
            <w:vAlign w:val="bottom"/>
          </w:tcPr>
          <w:p w14:paraId="312DB0CC" w14:textId="77777777" w:rsidR="00C31C99" w:rsidRDefault="00816B42">
            <w:pPr>
              <w:pStyle w:val="Inne0"/>
              <w:spacing w:after="0"/>
              <w:ind w:firstLine="0"/>
            </w:pPr>
            <w:r>
              <w:t>Rzędne wysokościowe</w:t>
            </w:r>
          </w:p>
        </w:tc>
        <w:tc>
          <w:tcPr>
            <w:tcW w:w="4262" w:type="dxa"/>
            <w:tcBorders>
              <w:top w:val="single" w:sz="4" w:space="0" w:color="auto"/>
              <w:left w:val="single" w:sz="4" w:space="0" w:color="auto"/>
              <w:right w:val="single" w:sz="4" w:space="0" w:color="auto"/>
            </w:tcBorders>
            <w:shd w:val="clear" w:color="auto" w:fill="FFFFFF"/>
            <w:vAlign w:val="center"/>
          </w:tcPr>
          <w:p w14:paraId="312DB0CD" w14:textId="77777777" w:rsidR="00C31C99" w:rsidRDefault="00816B42">
            <w:pPr>
              <w:pStyle w:val="Inne0"/>
              <w:spacing w:after="0"/>
              <w:ind w:firstLine="0"/>
              <w:jc w:val="both"/>
            </w:pPr>
            <w:r>
              <w:t>co 100 m w osi jezdni i na jej krawędziach</w:t>
            </w:r>
          </w:p>
        </w:tc>
      </w:tr>
      <w:tr w:rsidR="00C31C99" w14:paraId="312DB0D2" w14:textId="77777777">
        <w:trPr>
          <w:trHeight w:hRule="exact" w:val="370"/>
          <w:jc w:val="center"/>
        </w:trPr>
        <w:tc>
          <w:tcPr>
            <w:tcW w:w="802" w:type="dxa"/>
            <w:tcBorders>
              <w:top w:val="single" w:sz="4" w:space="0" w:color="auto"/>
              <w:left w:val="single" w:sz="4" w:space="0" w:color="auto"/>
            </w:tcBorders>
            <w:shd w:val="clear" w:color="auto" w:fill="FFFFFF"/>
            <w:vAlign w:val="center"/>
          </w:tcPr>
          <w:p w14:paraId="312DB0CF" w14:textId="77777777" w:rsidR="00C31C99" w:rsidRDefault="00816B42">
            <w:pPr>
              <w:pStyle w:val="Inne0"/>
              <w:spacing w:after="0"/>
              <w:ind w:firstLine="360"/>
            </w:pPr>
            <w:r>
              <w:t>6</w:t>
            </w:r>
          </w:p>
        </w:tc>
        <w:tc>
          <w:tcPr>
            <w:tcW w:w="3672" w:type="dxa"/>
            <w:tcBorders>
              <w:top w:val="single" w:sz="4" w:space="0" w:color="auto"/>
              <w:left w:val="single" w:sz="4" w:space="0" w:color="auto"/>
            </w:tcBorders>
            <w:shd w:val="clear" w:color="auto" w:fill="FFFFFF"/>
            <w:vAlign w:val="center"/>
          </w:tcPr>
          <w:p w14:paraId="312DB0D0" w14:textId="77777777" w:rsidR="00C31C99" w:rsidRDefault="00816B42">
            <w:pPr>
              <w:pStyle w:val="Inne0"/>
              <w:spacing w:after="0"/>
              <w:ind w:firstLine="0"/>
              <w:rPr>
                <w:sz w:val="13"/>
                <w:szCs w:val="13"/>
              </w:rPr>
            </w:pPr>
            <w:r>
              <w:t>Ukształtowanie osi w planie*</w:t>
            </w:r>
            <w:r>
              <w:rPr>
                <w:sz w:val="13"/>
                <w:szCs w:val="13"/>
              </w:rPr>
              <w:t>)</w:t>
            </w:r>
          </w:p>
        </w:tc>
        <w:tc>
          <w:tcPr>
            <w:tcW w:w="4262" w:type="dxa"/>
            <w:tcBorders>
              <w:top w:val="single" w:sz="4" w:space="0" w:color="auto"/>
              <w:left w:val="single" w:sz="4" w:space="0" w:color="auto"/>
              <w:right w:val="single" w:sz="4" w:space="0" w:color="auto"/>
            </w:tcBorders>
            <w:shd w:val="clear" w:color="auto" w:fill="FFFFFF"/>
            <w:vAlign w:val="center"/>
          </w:tcPr>
          <w:p w14:paraId="312DB0D1" w14:textId="77777777" w:rsidR="00C31C99" w:rsidRDefault="00816B42">
            <w:pPr>
              <w:pStyle w:val="Inne0"/>
              <w:spacing w:after="0"/>
              <w:ind w:firstLine="0"/>
              <w:jc w:val="both"/>
            </w:pPr>
            <w:r>
              <w:t>co 100 m</w:t>
            </w:r>
          </w:p>
        </w:tc>
      </w:tr>
      <w:tr w:rsidR="00C31C99" w14:paraId="312DB0D9" w14:textId="77777777">
        <w:trPr>
          <w:trHeight w:hRule="exact" w:val="1190"/>
          <w:jc w:val="center"/>
        </w:trPr>
        <w:tc>
          <w:tcPr>
            <w:tcW w:w="802" w:type="dxa"/>
            <w:tcBorders>
              <w:top w:val="single" w:sz="4" w:space="0" w:color="auto"/>
              <w:left w:val="single" w:sz="4" w:space="0" w:color="auto"/>
            </w:tcBorders>
            <w:shd w:val="clear" w:color="auto" w:fill="FFFFFF"/>
          </w:tcPr>
          <w:p w14:paraId="312DB0D3" w14:textId="77777777" w:rsidR="00C31C99" w:rsidRDefault="00816B42">
            <w:pPr>
              <w:pStyle w:val="Inne0"/>
              <w:spacing w:after="0"/>
              <w:ind w:firstLine="360"/>
            </w:pPr>
            <w:r>
              <w:t>7</w:t>
            </w:r>
          </w:p>
        </w:tc>
        <w:tc>
          <w:tcPr>
            <w:tcW w:w="3672" w:type="dxa"/>
            <w:tcBorders>
              <w:top w:val="single" w:sz="4" w:space="0" w:color="auto"/>
              <w:left w:val="single" w:sz="4" w:space="0" w:color="auto"/>
            </w:tcBorders>
            <w:shd w:val="clear" w:color="auto" w:fill="FFFFFF"/>
          </w:tcPr>
          <w:p w14:paraId="312DB0D4" w14:textId="77777777" w:rsidR="00C31C99" w:rsidRDefault="00816B42">
            <w:pPr>
              <w:pStyle w:val="Inne0"/>
              <w:spacing w:after="0"/>
              <w:ind w:firstLine="0"/>
            </w:pPr>
            <w:r>
              <w:t>Grubość podbudowy</w:t>
            </w:r>
          </w:p>
        </w:tc>
        <w:tc>
          <w:tcPr>
            <w:tcW w:w="4262" w:type="dxa"/>
            <w:tcBorders>
              <w:top w:val="single" w:sz="4" w:space="0" w:color="auto"/>
              <w:left w:val="single" w:sz="4" w:space="0" w:color="auto"/>
              <w:right w:val="single" w:sz="4" w:space="0" w:color="auto"/>
            </w:tcBorders>
            <w:shd w:val="clear" w:color="auto" w:fill="FFFFFF"/>
            <w:vAlign w:val="bottom"/>
          </w:tcPr>
          <w:p w14:paraId="312DB0D5" w14:textId="77777777" w:rsidR="00C31C99" w:rsidRDefault="00816B42">
            <w:pPr>
              <w:pStyle w:val="Inne0"/>
              <w:spacing w:after="0"/>
              <w:ind w:firstLine="0"/>
              <w:jc w:val="both"/>
            </w:pPr>
            <w:r>
              <w:t>Podczas budowy:</w:t>
            </w:r>
          </w:p>
          <w:p w14:paraId="312DB0D6" w14:textId="77777777" w:rsidR="00C31C99" w:rsidRDefault="00816B42">
            <w:pPr>
              <w:pStyle w:val="Inne0"/>
              <w:spacing w:after="0"/>
              <w:ind w:firstLine="0"/>
              <w:jc w:val="both"/>
            </w:pPr>
            <w:r>
              <w:t>w 3 punktach na każdej działce roboczej, lecz nie rzadziej niż raz na 400 m</w:t>
            </w:r>
            <w:r>
              <w:rPr>
                <w:vertAlign w:val="superscript"/>
              </w:rPr>
              <w:t>2</w:t>
            </w:r>
          </w:p>
          <w:p w14:paraId="312DB0D7" w14:textId="77777777" w:rsidR="00C31C99" w:rsidRDefault="00816B42">
            <w:pPr>
              <w:pStyle w:val="Inne0"/>
              <w:spacing w:after="0"/>
              <w:ind w:firstLine="0"/>
              <w:jc w:val="both"/>
            </w:pPr>
            <w:r>
              <w:t>Przed odbiorem:</w:t>
            </w:r>
          </w:p>
          <w:p w14:paraId="312DB0D8" w14:textId="77777777" w:rsidR="00C31C99" w:rsidRDefault="00816B42">
            <w:pPr>
              <w:pStyle w:val="Inne0"/>
              <w:spacing w:after="0"/>
              <w:ind w:firstLine="0"/>
              <w:jc w:val="both"/>
            </w:pPr>
            <w:r>
              <w:t>w 3 punktach, lecz nie rzadziej niż raz na 2000 m</w:t>
            </w:r>
            <w:r>
              <w:rPr>
                <w:vertAlign w:val="superscript"/>
              </w:rPr>
              <w:t>2</w:t>
            </w:r>
          </w:p>
        </w:tc>
      </w:tr>
      <w:tr w:rsidR="00C31C99" w14:paraId="312DB0DD" w14:textId="77777777">
        <w:trPr>
          <w:trHeight w:hRule="exact" w:val="379"/>
          <w:jc w:val="center"/>
        </w:trPr>
        <w:tc>
          <w:tcPr>
            <w:tcW w:w="802" w:type="dxa"/>
            <w:tcBorders>
              <w:top w:val="single" w:sz="4" w:space="0" w:color="auto"/>
              <w:left w:val="single" w:sz="4" w:space="0" w:color="auto"/>
              <w:bottom w:val="single" w:sz="4" w:space="0" w:color="auto"/>
            </w:tcBorders>
            <w:shd w:val="clear" w:color="auto" w:fill="FFFFFF"/>
            <w:vAlign w:val="center"/>
          </w:tcPr>
          <w:p w14:paraId="312DB0DA" w14:textId="77777777" w:rsidR="00C31C99" w:rsidRDefault="00816B42">
            <w:pPr>
              <w:pStyle w:val="Inne0"/>
              <w:spacing w:after="0"/>
              <w:ind w:firstLine="360"/>
            </w:pPr>
            <w:r>
              <w:t>8</w:t>
            </w:r>
          </w:p>
        </w:tc>
        <w:tc>
          <w:tcPr>
            <w:tcW w:w="3672" w:type="dxa"/>
            <w:tcBorders>
              <w:top w:val="single" w:sz="4" w:space="0" w:color="auto"/>
              <w:left w:val="single" w:sz="4" w:space="0" w:color="auto"/>
              <w:bottom w:val="single" w:sz="4" w:space="0" w:color="auto"/>
            </w:tcBorders>
            <w:shd w:val="clear" w:color="auto" w:fill="FFFFFF"/>
            <w:vAlign w:val="center"/>
          </w:tcPr>
          <w:p w14:paraId="312DB0DB" w14:textId="77777777" w:rsidR="00C31C99" w:rsidRDefault="00816B42">
            <w:pPr>
              <w:pStyle w:val="Inne0"/>
              <w:spacing w:after="0"/>
              <w:ind w:firstLine="0"/>
            </w:pPr>
            <w:r>
              <w:t>Nośność podbudowy</w:t>
            </w:r>
          </w:p>
        </w:tc>
        <w:tc>
          <w:tcPr>
            <w:tcW w:w="4262" w:type="dxa"/>
            <w:tcBorders>
              <w:top w:val="single" w:sz="4" w:space="0" w:color="auto"/>
              <w:left w:val="single" w:sz="4" w:space="0" w:color="auto"/>
              <w:bottom w:val="single" w:sz="4" w:space="0" w:color="auto"/>
              <w:right w:val="single" w:sz="4" w:space="0" w:color="auto"/>
            </w:tcBorders>
            <w:shd w:val="clear" w:color="auto" w:fill="FFFFFF"/>
            <w:vAlign w:val="center"/>
          </w:tcPr>
          <w:p w14:paraId="312DB0DC" w14:textId="77777777" w:rsidR="00C31C99" w:rsidRDefault="00816B42">
            <w:pPr>
              <w:pStyle w:val="Inne0"/>
              <w:spacing w:after="0"/>
              <w:ind w:firstLine="0"/>
              <w:jc w:val="both"/>
            </w:pPr>
            <w:r>
              <w:t>nie rzadziej niż raz na 3000 m</w:t>
            </w:r>
            <w:r>
              <w:rPr>
                <w:vertAlign w:val="superscript"/>
              </w:rPr>
              <w:t>2</w:t>
            </w:r>
          </w:p>
        </w:tc>
      </w:tr>
    </w:tbl>
    <w:p w14:paraId="312DB0DE" w14:textId="77777777" w:rsidR="00C31C99" w:rsidRDefault="00C31C99">
      <w:pPr>
        <w:spacing w:after="339" w:line="1" w:lineRule="exact"/>
      </w:pPr>
    </w:p>
    <w:p w14:paraId="312DB0DF" w14:textId="77777777" w:rsidR="00C31C99" w:rsidRDefault="00816B42">
      <w:pPr>
        <w:pStyle w:val="Teksttreci0"/>
        <w:spacing w:after="220"/>
        <w:ind w:left="300" w:hanging="300"/>
        <w:jc w:val="both"/>
      </w:pPr>
      <w:r>
        <w:t>*) Dodatkowe pomiary spadków poprzecznych i ukształtowanie osi w planie należy wykonać w punktach głównych łuków poziomych.</w:t>
      </w:r>
    </w:p>
    <w:p w14:paraId="312DB0E0" w14:textId="77777777" w:rsidR="00C31C99" w:rsidRDefault="00816B42">
      <w:pPr>
        <w:pStyle w:val="Nagwek50"/>
        <w:keepNext/>
        <w:keepLines/>
        <w:numPr>
          <w:ilvl w:val="2"/>
          <w:numId w:val="1"/>
        </w:numPr>
        <w:tabs>
          <w:tab w:val="left" w:pos="918"/>
        </w:tabs>
        <w:ind w:firstLine="300"/>
        <w:jc w:val="both"/>
      </w:pPr>
      <w:bookmarkStart w:id="135" w:name="bookmark140"/>
      <w:bookmarkStart w:id="136" w:name="bookmark138"/>
      <w:bookmarkStart w:id="137" w:name="bookmark139"/>
      <w:bookmarkStart w:id="138" w:name="bookmark141"/>
      <w:bookmarkEnd w:id="135"/>
      <w:r>
        <w:t>Szerokość podbudowy</w:t>
      </w:r>
      <w:bookmarkEnd w:id="136"/>
      <w:bookmarkEnd w:id="137"/>
      <w:bookmarkEnd w:id="138"/>
    </w:p>
    <w:p w14:paraId="312DB0E1" w14:textId="77777777" w:rsidR="00C31C99" w:rsidRDefault="00816B42">
      <w:pPr>
        <w:pStyle w:val="Teksttreci0"/>
        <w:spacing w:after="0"/>
        <w:jc w:val="both"/>
      </w:pPr>
      <w:r>
        <w:t>Szerokość podbudowy nie może różnić się od szerokości projektowanej o więcej niż +10 cm, -5 cm.</w:t>
      </w:r>
    </w:p>
    <w:p w14:paraId="312DB0E2" w14:textId="77777777" w:rsidR="00C31C99" w:rsidRDefault="00816B42">
      <w:pPr>
        <w:pStyle w:val="Teksttreci0"/>
        <w:spacing w:after="120"/>
        <w:jc w:val="both"/>
      </w:pPr>
      <w:r>
        <w:t>Na jezdniach bez krawężników szerokość podbudowy powinna być większa od szerokości warstwy wyżej leżącej o co najmniej 25 cm lub o wartość wskazaną w dokumentacji projektowej.</w:t>
      </w:r>
      <w:r>
        <w:br w:type="page"/>
      </w:r>
    </w:p>
    <w:p w14:paraId="312DB0E3" w14:textId="77777777" w:rsidR="00C31C99" w:rsidRDefault="00816B42">
      <w:pPr>
        <w:pStyle w:val="Nagwek50"/>
        <w:keepNext/>
        <w:keepLines/>
        <w:numPr>
          <w:ilvl w:val="2"/>
          <w:numId w:val="1"/>
        </w:numPr>
        <w:tabs>
          <w:tab w:val="left" w:pos="932"/>
        </w:tabs>
        <w:spacing w:after="100"/>
        <w:ind w:firstLine="300"/>
      </w:pPr>
      <w:bookmarkStart w:id="139" w:name="bookmark144"/>
      <w:bookmarkStart w:id="140" w:name="bookmark142"/>
      <w:bookmarkStart w:id="141" w:name="bookmark143"/>
      <w:bookmarkStart w:id="142" w:name="bookmark145"/>
      <w:bookmarkEnd w:id="139"/>
      <w:r>
        <w:lastRenderedPageBreak/>
        <w:t>Równość podbudowy</w:t>
      </w:r>
      <w:bookmarkEnd w:id="140"/>
      <w:bookmarkEnd w:id="141"/>
      <w:bookmarkEnd w:id="142"/>
    </w:p>
    <w:p w14:paraId="312DB0E4" w14:textId="77777777" w:rsidR="00C31C99" w:rsidRDefault="00816B42">
      <w:pPr>
        <w:pStyle w:val="Teksttreci0"/>
        <w:spacing w:after="0"/>
        <w:jc w:val="both"/>
      </w:pPr>
      <w:r>
        <w:t xml:space="preserve">Nierówności podłużne podbudowy należy mierzyć 4-metrową łatą lub </w:t>
      </w:r>
      <w:proofErr w:type="spellStart"/>
      <w:r>
        <w:t>planografem</w:t>
      </w:r>
      <w:proofErr w:type="spellEnd"/>
      <w:r>
        <w:t>, zgodnie z normą BN- 68/8931-04 [11].</w:t>
      </w:r>
    </w:p>
    <w:p w14:paraId="312DB0E5" w14:textId="77777777" w:rsidR="00C31C99" w:rsidRDefault="00816B42">
      <w:pPr>
        <w:pStyle w:val="Teksttreci0"/>
        <w:spacing w:after="220"/>
        <w:jc w:val="both"/>
      </w:pPr>
      <w:r>
        <w:t>Nierówności poprzeczne podbudowy należy mierzyć 4-metrową łatą.</w:t>
      </w:r>
    </w:p>
    <w:p w14:paraId="312DB0E6" w14:textId="77777777" w:rsidR="00C31C99" w:rsidRDefault="00816B42">
      <w:pPr>
        <w:pStyle w:val="Teksttreci0"/>
        <w:spacing w:after="0"/>
        <w:jc w:val="both"/>
      </w:pPr>
      <w:r>
        <w:t>Nierówności podbudowy nie mogą przekraczać:</w:t>
      </w:r>
    </w:p>
    <w:p w14:paraId="312DB0E7" w14:textId="77777777" w:rsidR="00C31C99" w:rsidRDefault="00816B42">
      <w:pPr>
        <w:pStyle w:val="Teksttreci0"/>
        <w:numPr>
          <w:ilvl w:val="0"/>
          <w:numId w:val="4"/>
        </w:numPr>
        <w:tabs>
          <w:tab w:val="left" w:pos="553"/>
        </w:tabs>
        <w:jc w:val="both"/>
      </w:pPr>
      <w:bookmarkStart w:id="143" w:name="bookmark146"/>
      <w:bookmarkEnd w:id="143"/>
      <w:r>
        <w:t>12 mm dla podbudowy zasadniczej,</w:t>
      </w:r>
    </w:p>
    <w:p w14:paraId="312DB0E8" w14:textId="77777777" w:rsidR="00C31C99" w:rsidRDefault="00816B42">
      <w:pPr>
        <w:pStyle w:val="Nagwek50"/>
        <w:keepNext/>
        <w:keepLines/>
        <w:numPr>
          <w:ilvl w:val="2"/>
          <w:numId w:val="1"/>
        </w:numPr>
        <w:tabs>
          <w:tab w:val="left" w:pos="932"/>
        </w:tabs>
        <w:spacing w:after="100"/>
        <w:ind w:firstLine="300"/>
        <w:jc w:val="both"/>
      </w:pPr>
      <w:bookmarkStart w:id="144" w:name="bookmark149"/>
      <w:bookmarkStart w:id="145" w:name="bookmark147"/>
      <w:bookmarkStart w:id="146" w:name="bookmark148"/>
      <w:bookmarkStart w:id="147" w:name="bookmark150"/>
      <w:bookmarkEnd w:id="144"/>
      <w:r>
        <w:t>Spadki poprzeczne podbudowy</w:t>
      </w:r>
      <w:bookmarkEnd w:id="145"/>
      <w:bookmarkEnd w:id="146"/>
      <w:bookmarkEnd w:id="147"/>
    </w:p>
    <w:p w14:paraId="312DB0E9" w14:textId="77777777" w:rsidR="00C31C99" w:rsidRDefault="00816B42">
      <w:pPr>
        <w:pStyle w:val="Teksttreci0"/>
        <w:spacing w:line="262" w:lineRule="auto"/>
        <w:jc w:val="both"/>
      </w:pPr>
      <w:r>
        <w:t xml:space="preserve">Spadki poprzeczne podbudowy na prostych i łukach powinny być zgodne z dokumentacją projektową z tolerancją </w:t>
      </w:r>
      <w:r>
        <w:rPr>
          <w:sz w:val="22"/>
          <w:szCs w:val="22"/>
        </w:rPr>
        <w:t xml:space="preserve">± </w:t>
      </w:r>
      <w:r>
        <w:t>0,5 %.</w:t>
      </w:r>
    </w:p>
    <w:p w14:paraId="312DB0EA" w14:textId="77777777" w:rsidR="00C31C99" w:rsidRDefault="00816B42">
      <w:pPr>
        <w:pStyle w:val="Teksttreci0"/>
        <w:numPr>
          <w:ilvl w:val="2"/>
          <w:numId w:val="1"/>
        </w:numPr>
        <w:tabs>
          <w:tab w:val="left" w:pos="932"/>
        </w:tabs>
        <w:jc w:val="both"/>
      </w:pPr>
      <w:bookmarkStart w:id="148" w:name="bookmark151"/>
      <w:bookmarkEnd w:id="148"/>
      <w:r>
        <w:t>Rzędne wysokościowe podbudowy</w:t>
      </w:r>
    </w:p>
    <w:p w14:paraId="312DB0EB" w14:textId="77777777" w:rsidR="00C31C99" w:rsidRDefault="00816B42">
      <w:pPr>
        <w:pStyle w:val="Teksttreci0"/>
        <w:jc w:val="both"/>
      </w:pPr>
      <w:r>
        <w:t>Różnice pomiędzy rzędnymi wysokościowymi podbudowy i rzędnymi projektowanymi nie powinny przekraczać + 1 cm, -2 cm.</w:t>
      </w:r>
    </w:p>
    <w:p w14:paraId="312DB0EC" w14:textId="77777777" w:rsidR="00C31C99" w:rsidRDefault="00816B42">
      <w:pPr>
        <w:pStyle w:val="Nagwek50"/>
        <w:keepNext/>
        <w:keepLines/>
        <w:numPr>
          <w:ilvl w:val="2"/>
          <w:numId w:val="1"/>
        </w:numPr>
        <w:tabs>
          <w:tab w:val="left" w:pos="932"/>
        </w:tabs>
        <w:spacing w:after="100"/>
        <w:ind w:firstLine="300"/>
        <w:jc w:val="both"/>
      </w:pPr>
      <w:bookmarkStart w:id="149" w:name="bookmark154"/>
      <w:bookmarkStart w:id="150" w:name="bookmark152"/>
      <w:bookmarkStart w:id="151" w:name="bookmark153"/>
      <w:bookmarkStart w:id="152" w:name="bookmark155"/>
      <w:bookmarkEnd w:id="149"/>
      <w:r>
        <w:t>Ukształtowanie osi w planie</w:t>
      </w:r>
      <w:bookmarkEnd w:id="150"/>
      <w:bookmarkEnd w:id="151"/>
      <w:bookmarkEnd w:id="152"/>
    </w:p>
    <w:p w14:paraId="312DB0ED" w14:textId="77777777" w:rsidR="00C31C99" w:rsidRDefault="00816B42">
      <w:pPr>
        <w:pStyle w:val="Teksttreci0"/>
        <w:spacing w:line="257" w:lineRule="auto"/>
        <w:jc w:val="both"/>
      </w:pPr>
      <w:r>
        <w:t xml:space="preserve">Oś podbudowy w planie nie może być przesunięta w stosunku do osi projektowanej o więcej niż 3 cm dla autostrad i dróg ekspresowych lub o więcej niż </w:t>
      </w:r>
      <w:r>
        <w:rPr>
          <w:sz w:val="22"/>
          <w:szCs w:val="22"/>
        </w:rPr>
        <w:t xml:space="preserve">± </w:t>
      </w:r>
      <w:r>
        <w:t>5 cm dla pozostałych dróg.</w:t>
      </w:r>
    </w:p>
    <w:p w14:paraId="312DB0EE" w14:textId="77777777" w:rsidR="00C31C99" w:rsidRDefault="00816B42">
      <w:pPr>
        <w:pStyle w:val="Nagwek50"/>
        <w:keepNext/>
        <w:keepLines/>
        <w:numPr>
          <w:ilvl w:val="2"/>
          <w:numId w:val="1"/>
        </w:numPr>
        <w:tabs>
          <w:tab w:val="left" w:pos="932"/>
        </w:tabs>
        <w:spacing w:after="100"/>
        <w:ind w:firstLine="300"/>
      </w:pPr>
      <w:bookmarkStart w:id="153" w:name="bookmark158"/>
      <w:bookmarkStart w:id="154" w:name="bookmark156"/>
      <w:bookmarkStart w:id="155" w:name="bookmark157"/>
      <w:bookmarkStart w:id="156" w:name="bookmark159"/>
      <w:bookmarkEnd w:id="153"/>
      <w:r>
        <w:t>Grubość podbudowy</w:t>
      </w:r>
      <w:bookmarkEnd w:id="154"/>
      <w:bookmarkEnd w:id="155"/>
      <w:bookmarkEnd w:id="156"/>
    </w:p>
    <w:p w14:paraId="312DB0EF" w14:textId="77777777" w:rsidR="00C31C99" w:rsidRDefault="00816B42">
      <w:pPr>
        <w:pStyle w:val="Teksttreci0"/>
        <w:spacing w:after="0"/>
      </w:pPr>
      <w:r>
        <w:t>Grubość podbudowy nie może różnić się od grubości projektowanej o więcej niż:</w:t>
      </w:r>
    </w:p>
    <w:p w14:paraId="312DB0F0" w14:textId="77777777" w:rsidR="00C31C99" w:rsidRDefault="00816B42">
      <w:pPr>
        <w:pStyle w:val="Teksttreci0"/>
        <w:numPr>
          <w:ilvl w:val="0"/>
          <w:numId w:val="4"/>
        </w:numPr>
        <w:tabs>
          <w:tab w:val="left" w:pos="553"/>
        </w:tabs>
      </w:pPr>
      <w:bookmarkStart w:id="157" w:name="bookmark160"/>
      <w:bookmarkEnd w:id="157"/>
      <w:r>
        <w:t xml:space="preserve">dla podbudowy zasadniczej </w:t>
      </w:r>
      <w:r>
        <w:rPr>
          <w:sz w:val="22"/>
          <w:szCs w:val="22"/>
        </w:rPr>
        <w:t xml:space="preserve">± </w:t>
      </w:r>
      <w:r>
        <w:t>2 cm,</w:t>
      </w:r>
    </w:p>
    <w:p w14:paraId="312DB0F1" w14:textId="77777777" w:rsidR="00C31C99" w:rsidRDefault="00816B42">
      <w:pPr>
        <w:pStyle w:val="Nagwek50"/>
        <w:keepNext/>
        <w:keepLines/>
        <w:numPr>
          <w:ilvl w:val="2"/>
          <w:numId w:val="1"/>
        </w:numPr>
        <w:tabs>
          <w:tab w:val="left" w:pos="932"/>
        </w:tabs>
        <w:spacing w:after="0"/>
        <w:ind w:firstLine="300"/>
      </w:pPr>
      <w:bookmarkStart w:id="158" w:name="bookmark163"/>
      <w:bookmarkStart w:id="159" w:name="bookmark161"/>
      <w:bookmarkStart w:id="160" w:name="bookmark162"/>
      <w:bookmarkStart w:id="161" w:name="bookmark164"/>
      <w:bookmarkEnd w:id="158"/>
      <w:r>
        <w:t>Nośność podbudowy</w:t>
      </w:r>
      <w:bookmarkEnd w:id="159"/>
      <w:bookmarkEnd w:id="160"/>
      <w:bookmarkEnd w:id="161"/>
    </w:p>
    <w:p w14:paraId="312DB0F2" w14:textId="77777777" w:rsidR="00C31C99" w:rsidRDefault="00816B42">
      <w:pPr>
        <w:pStyle w:val="Teksttreci0"/>
        <w:spacing w:after="0"/>
      </w:pPr>
      <w:r>
        <w:t>Pomiary nośności podbudowy należy wykonać zgodnie z BN-64/8931-02 [10].</w:t>
      </w:r>
    </w:p>
    <w:p w14:paraId="312DB0F3" w14:textId="77777777" w:rsidR="00C31C99" w:rsidRDefault="00816B42">
      <w:pPr>
        <w:pStyle w:val="Teksttreci0"/>
        <w:spacing w:after="360"/>
      </w:pPr>
      <w:r>
        <w:t>Podbudowa zasadnicza powinna spełniać wymagania dotyczące nośności, podane w tablicy 5.</w:t>
      </w:r>
    </w:p>
    <w:p w14:paraId="312DB0F4" w14:textId="77777777" w:rsidR="00C31C99" w:rsidRDefault="00816B42">
      <w:pPr>
        <w:pStyle w:val="Nagwek50"/>
        <w:keepNext/>
        <w:keepLines/>
        <w:spacing w:after="220"/>
      </w:pPr>
      <w:bookmarkStart w:id="162" w:name="bookmark165"/>
      <w:bookmarkStart w:id="163" w:name="bookmark166"/>
      <w:bookmarkStart w:id="164" w:name="bookmark167"/>
      <w:r>
        <w:t>Tablica 5. Wymagania nośności podbudowy zasadniczej w zależności od kategorii ruchu</w:t>
      </w:r>
      <w:bookmarkEnd w:id="162"/>
      <w:bookmarkEnd w:id="163"/>
      <w:bookmarkEnd w:id="164"/>
    </w:p>
    <w:tbl>
      <w:tblPr>
        <w:tblOverlap w:val="never"/>
        <w:tblW w:w="0" w:type="auto"/>
        <w:jc w:val="center"/>
        <w:tblLayout w:type="fixed"/>
        <w:tblCellMar>
          <w:left w:w="10" w:type="dxa"/>
          <w:right w:w="10" w:type="dxa"/>
        </w:tblCellMar>
        <w:tblLook w:val="04A0" w:firstRow="1" w:lastRow="0" w:firstColumn="1" w:lastColumn="0" w:noHBand="0" w:noVBand="1"/>
      </w:tblPr>
      <w:tblGrid>
        <w:gridCol w:w="2918"/>
        <w:gridCol w:w="2299"/>
        <w:gridCol w:w="2314"/>
      </w:tblGrid>
      <w:tr w:rsidR="00C31C99" w14:paraId="312DB0F7" w14:textId="77777777">
        <w:trPr>
          <w:trHeight w:hRule="exact" w:val="485"/>
          <w:jc w:val="center"/>
        </w:trPr>
        <w:tc>
          <w:tcPr>
            <w:tcW w:w="2918" w:type="dxa"/>
            <w:vMerge w:val="restart"/>
            <w:tcBorders>
              <w:top w:val="single" w:sz="4" w:space="0" w:color="auto"/>
              <w:left w:val="single" w:sz="4" w:space="0" w:color="auto"/>
            </w:tcBorders>
            <w:shd w:val="clear" w:color="auto" w:fill="FFFFFF"/>
            <w:vAlign w:val="center"/>
          </w:tcPr>
          <w:p w14:paraId="312DB0F5" w14:textId="77777777" w:rsidR="00C31C99" w:rsidRDefault="00816B42">
            <w:pPr>
              <w:pStyle w:val="Inne0"/>
              <w:spacing w:after="0"/>
              <w:ind w:firstLine="0"/>
              <w:jc w:val="center"/>
            </w:pPr>
            <w:r>
              <w:rPr>
                <w:b/>
                <w:bCs/>
              </w:rPr>
              <w:t>Kategoria ruchu</w:t>
            </w:r>
          </w:p>
        </w:tc>
        <w:tc>
          <w:tcPr>
            <w:tcW w:w="4613" w:type="dxa"/>
            <w:gridSpan w:val="2"/>
            <w:tcBorders>
              <w:top w:val="single" w:sz="4" w:space="0" w:color="auto"/>
              <w:left w:val="single" w:sz="4" w:space="0" w:color="auto"/>
              <w:right w:val="single" w:sz="4" w:space="0" w:color="auto"/>
            </w:tcBorders>
            <w:shd w:val="clear" w:color="auto" w:fill="FFFFFF"/>
            <w:vAlign w:val="bottom"/>
          </w:tcPr>
          <w:p w14:paraId="312DB0F6" w14:textId="77777777" w:rsidR="00C31C99" w:rsidRDefault="00816B42">
            <w:pPr>
              <w:pStyle w:val="Inne0"/>
              <w:spacing w:after="0"/>
              <w:ind w:firstLine="0"/>
              <w:jc w:val="center"/>
            </w:pPr>
            <w:r>
              <w:rPr>
                <w:b/>
                <w:bCs/>
              </w:rPr>
              <w:t>Minimalny moduł odkształcenia mierzony przy użyciu płyty o średnicy 30 cm (</w:t>
            </w:r>
            <w:proofErr w:type="spellStart"/>
            <w:r>
              <w:rPr>
                <w:b/>
                <w:bCs/>
              </w:rPr>
              <w:t>MPa</w:t>
            </w:r>
            <w:proofErr w:type="spellEnd"/>
            <w:r>
              <w:rPr>
                <w:b/>
                <w:bCs/>
              </w:rPr>
              <w:t>)</w:t>
            </w:r>
          </w:p>
        </w:tc>
      </w:tr>
      <w:tr w:rsidR="00C31C99" w14:paraId="312DB0FB" w14:textId="77777777">
        <w:trPr>
          <w:trHeight w:hRule="exact" w:val="398"/>
          <w:jc w:val="center"/>
        </w:trPr>
        <w:tc>
          <w:tcPr>
            <w:tcW w:w="2918" w:type="dxa"/>
            <w:vMerge/>
            <w:tcBorders>
              <w:left w:val="single" w:sz="4" w:space="0" w:color="auto"/>
            </w:tcBorders>
            <w:shd w:val="clear" w:color="auto" w:fill="FFFFFF"/>
            <w:vAlign w:val="center"/>
          </w:tcPr>
          <w:p w14:paraId="312DB0F8" w14:textId="77777777" w:rsidR="00C31C99" w:rsidRDefault="00C31C99"/>
        </w:tc>
        <w:tc>
          <w:tcPr>
            <w:tcW w:w="2299" w:type="dxa"/>
            <w:tcBorders>
              <w:top w:val="single" w:sz="4" w:space="0" w:color="auto"/>
              <w:left w:val="single" w:sz="4" w:space="0" w:color="auto"/>
            </w:tcBorders>
            <w:shd w:val="clear" w:color="auto" w:fill="FFFFFF"/>
            <w:vAlign w:val="center"/>
          </w:tcPr>
          <w:p w14:paraId="312DB0F9" w14:textId="77777777" w:rsidR="00C31C99" w:rsidRDefault="00816B42">
            <w:pPr>
              <w:pStyle w:val="Inne0"/>
              <w:spacing w:after="0"/>
              <w:ind w:firstLine="0"/>
              <w:jc w:val="center"/>
            </w:pPr>
            <w:r>
              <w:t xml:space="preserve">Pierwotny </w:t>
            </w:r>
            <w:r>
              <w:rPr>
                <w:i/>
                <w:iCs/>
              </w:rPr>
              <w:t>M</w:t>
            </w:r>
          </w:p>
        </w:tc>
        <w:tc>
          <w:tcPr>
            <w:tcW w:w="2314" w:type="dxa"/>
            <w:tcBorders>
              <w:top w:val="single" w:sz="4" w:space="0" w:color="auto"/>
              <w:left w:val="single" w:sz="4" w:space="0" w:color="auto"/>
              <w:right w:val="single" w:sz="4" w:space="0" w:color="auto"/>
            </w:tcBorders>
            <w:shd w:val="clear" w:color="auto" w:fill="FFFFFF"/>
            <w:vAlign w:val="center"/>
          </w:tcPr>
          <w:p w14:paraId="312DB0FA" w14:textId="77777777" w:rsidR="00C31C99" w:rsidRDefault="00816B42">
            <w:pPr>
              <w:pStyle w:val="Inne0"/>
              <w:spacing w:after="0"/>
              <w:ind w:firstLine="0"/>
              <w:jc w:val="center"/>
            </w:pPr>
            <w:r>
              <w:t xml:space="preserve">Wtórny </w:t>
            </w:r>
            <w:r>
              <w:rPr>
                <w:i/>
                <w:iCs/>
              </w:rPr>
              <w:t>M</w:t>
            </w:r>
          </w:p>
        </w:tc>
      </w:tr>
      <w:tr w:rsidR="00C31C99" w14:paraId="312DB0FF" w14:textId="77777777">
        <w:trPr>
          <w:trHeight w:hRule="exact" w:val="317"/>
          <w:jc w:val="center"/>
        </w:trPr>
        <w:tc>
          <w:tcPr>
            <w:tcW w:w="2918" w:type="dxa"/>
            <w:tcBorders>
              <w:top w:val="single" w:sz="4" w:space="0" w:color="auto"/>
              <w:left w:val="single" w:sz="4" w:space="0" w:color="auto"/>
            </w:tcBorders>
            <w:shd w:val="clear" w:color="auto" w:fill="FFFFFF"/>
            <w:vAlign w:val="center"/>
          </w:tcPr>
          <w:p w14:paraId="312DB0FC" w14:textId="77777777" w:rsidR="00C31C99" w:rsidRDefault="00816B42">
            <w:pPr>
              <w:pStyle w:val="Inne0"/>
              <w:spacing w:after="0"/>
              <w:ind w:firstLine="0"/>
            </w:pPr>
            <w:r>
              <w:t>Ruch lekki</w:t>
            </w:r>
          </w:p>
        </w:tc>
        <w:tc>
          <w:tcPr>
            <w:tcW w:w="2299" w:type="dxa"/>
            <w:tcBorders>
              <w:top w:val="single" w:sz="4" w:space="0" w:color="auto"/>
              <w:left w:val="single" w:sz="4" w:space="0" w:color="auto"/>
            </w:tcBorders>
            <w:shd w:val="clear" w:color="auto" w:fill="FFFFFF"/>
            <w:vAlign w:val="center"/>
          </w:tcPr>
          <w:p w14:paraId="312DB0FD" w14:textId="77777777" w:rsidR="00C31C99" w:rsidRDefault="00816B42">
            <w:pPr>
              <w:pStyle w:val="Inne0"/>
              <w:spacing w:after="0"/>
              <w:ind w:firstLine="0"/>
              <w:jc w:val="center"/>
            </w:pPr>
            <w:r>
              <w:t>100</w:t>
            </w:r>
          </w:p>
        </w:tc>
        <w:tc>
          <w:tcPr>
            <w:tcW w:w="2314" w:type="dxa"/>
            <w:tcBorders>
              <w:top w:val="single" w:sz="4" w:space="0" w:color="auto"/>
              <w:left w:val="single" w:sz="4" w:space="0" w:color="auto"/>
              <w:right w:val="single" w:sz="4" w:space="0" w:color="auto"/>
            </w:tcBorders>
            <w:shd w:val="clear" w:color="auto" w:fill="FFFFFF"/>
            <w:vAlign w:val="center"/>
          </w:tcPr>
          <w:p w14:paraId="312DB0FE" w14:textId="77777777" w:rsidR="00C31C99" w:rsidRDefault="00816B42">
            <w:pPr>
              <w:pStyle w:val="Inne0"/>
              <w:spacing w:after="0"/>
              <w:ind w:firstLine="0"/>
              <w:jc w:val="center"/>
            </w:pPr>
            <w:r>
              <w:t>140</w:t>
            </w:r>
          </w:p>
        </w:tc>
      </w:tr>
      <w:tr w:rsidR="00C31C99" w14:paraId="312DB103" w14:textId="77777777">
        <w:trPr>
          <w:trHeight w:hRule="exact" w:val="312"/>
          <w:jc w:val="center"/>
        </w:trPr>
        <w:tc>
          <w:tcPr>
            <w:tcW w:w="2918" w:type="dxa"/>
            <w:tcBorders>
              <w:left w:val="single" w:sz="4" w:space="0" w:color="auto"/>
              <w:bottom w:val="single" w:sz="4" w:space="0" w:color="auto"/>
            </w:tcBorders>
            <w:shd w:val="clear" w:color="auto" w:fill="FFFFFF"/>
            <w:vAlign w:val="center"/>
          </w:tcPr>
          <w:p w14:paraId="312DB100" w14:textId="77777777" w:rsidR="00C31C99" w:rsidRDefault="00816B42">
            <w:pPr>
              <w:pStyle w:val="Inne0"/>
              <w:spacing w:after="0"/>
              <w:ind w:firstLine="0"/>
            </w:pPr>
            <w:r>
              <w:t>Ruch lekko średni i średni</w:t>
            </w:r>
          </w:p>
        </w:tc>
        <w:tc>
          <w:tcPr>
            <w:tcW w:w="2299" w:type="dxa"/>
            <w:tcBorders>
              <w:left w:val="single" w:sz="4" w:space="0" w:color="auto"/>
              <w:bottom w:val="single" w:sz="4" w:space="0" w:color="auto"/>
            </w:tcBorders>
            <w:shd w:val="clear" w:color="auto" w:fill="FFFFFF"/>
            <w:vAlign w:val="center"/>
          </w:tcPr>
          <w:p w14:paraId="312DB101" w14:textId="77777777" w:rsidR="00C31C99" w:rsidRDefault="00816B42">
            <w:pPr>
              <w:pStyle w:val="Inne0"/>
              <w:spacing w:after="0"/>
              <w:ind w:firstLine="0"/>
              <w:jc w:val="center"/>
            </w:pPr>
            <w:r>
              <w:t>100</w:t>
            </w:r>
          </w:p>
        </w:tc>
        <w:tc>
          <w:tcPr>
            <w:tcW w:w="2314" w:type="dxa"/>
            <w:tcBorders>
              <w:left w:val="single" w:sz="4" w:space="0" w:color="auto"/>
              <w:bottom w:val="single" w:sz="4" w:space="0" w:color="auto"/>
              <w:right w:val="single" w:sz="4" w:space="0" w:color="auto"/>
            </w:tcBorders>
            <w:shd w:val="clear" w:color="auto" w:fill="FFFFFF"/>
            <w:vAlign w:val="center"/>
          </w:tcPr>
          <w:p w14:paraId="312DB102" w14:textId="77777777" w:rsidR="00C31C99" w:rsidRDefault="00816B42">
            <w:pPr>
              <w:pStyle w:val="Inne0"/>
              <w:spacing w:after="0"/>
              <w:ind w:firstLine="0"/>
              <w:jc w:val="center"/>
            </w:pPr>
            <w:r>
              <w:t>170</w:t>
            </w:r>
          </w:p>
        </w:tc>
      </w:tr>
    </w:tbl>
    <w:p w14:paraId="312DB104" w14:textId="77777777" w:rsidR="00C31C99" w:rsidRDefault="00C31C99">
      <w:pPr>
        <w:spacing w:after="219" w:line="1" w:lineRule="exact"/>
      </w:pPr>
    </w:p>
    <w:p w14:paraId="312DB105" w14:textId="77777777" w:rsidR="00C31C99" w:rsidRDefault="00816B42">
      <w:pPr>
        <w:pStyle w:val="Teksttreci0"/>
        <w:jc w:val="both"/>
      </w:pPr>
      <w:r>
        <w:t xml:space="preserve">Pierwotny moduł odkształcenia podbudowy pomocniczej mierzony płytą o średnicy 30 cm, powinien być większy od 50 </w:t>
      </w:r>
      <w:proofErr w:type="spellStart"/>
      <w:r>
        <w:t>MPa</w:t>
      </w:r>
      <w:proofErr w:type="spellEnd"/>
      <w:r>
        <w:t>.</w:t>
      </w:r>
    </w:p>
    <w:p w14:paraId="312DB106" w14:textId="72F61517" w:rsidR="00C31C99" w:rsidRDefault="00816B42">
      <w:pPr>
        <w:pStyle w:val="Teksttreci0"/>
        <w:spacing w:after="0" w:line="377" w:lineRule="auto"/>
        <w:jc w:val="both"/>
      </w:pPr>
      <w:r>
        <w:t>Zagęszczenie podbudowy należy uznać za prawidłowe, gdy stosunek wtórnego modułu odkształcenia do pierwotnego modułu odkształcenia</w:t>
      </w:r>
      <w:r w:rsidR="00BF2FDE">
        <w:t xml:space="preserve"> </w:t>
      </w:r>
      <w:r>
        <w:t>jest nie większy od 2,2.</w:t>
      </w:r>
    </w:p>
    <w:p w14:paraId="312DB107" w14:textId="71873301" w:rsidR="00C31C99" w:rsidRDefault="00C31C99">
      <w:pPr>
        <w:spacing w:line="1" w:lineRule="exact"/>
      </w:pPr>
    </w:p>
    <w:p w14:paraId="312DB108" w14:textId="77777777" w:rsidR="00C31C99" w:rsidRDefault="00816B42">
      <w:pPr>
        <w:pStyle w:val="Nagwek50"/>
        <w:keepNext/>
        <w:keepLines/>
        <w:spacing w:after="180"/>
        <w:jc w:val="both"/>
      </w:pPr>
      <w:bookmarkStart w:id="165" w:name="bookmark170"/>
      <w:r>
        <w:t>6.5. Zasady postępowania z wadliwie wykonanymi odcinkami podbudowy</w:t>
      </w:r>
      <w:bookmarkEnd w:id="165"/>
    </w:p>
    <w:p w14:paraId="312DB109" w14:textId="77777777" w:rsidR="00C31C99" w:rsidRDefault="00816B42">
      <w:pPr>
        <w:pStyle w:val="Nagwek50"/>
        <w:keepNext/>
        <w:keepLines/>
        <w:numPr>
          <w:ilvl w:val="0"/>
          <w:numId w:val="14"/>
        </w:numPr>
        <w:tabs>
          <w:tab w:val="left" w:pos="862"/>
        </w:tabs>
        <w:spacing w:after="180"/>
        <w:ind w:firstLine="300"/>
        <w:jc w:val="both"/>
      </w:pPr>
      <w:bookmarkStart w:id="166" w:name="bookmark171"/>
      <w:bookmarkStart w:id="167" w:name="bookmark168"/>
      <w:bookmarkStart w:id="168" w:name="bookmark169"/>
      <w:bookmarkStart w:id="169" w:name="bookmark172"/>
      <w:bookmarkEnd w:id="166"/>
      <w:r>
        <w:t>Niewłaściwe cechy geometryczne podbudowy</w:t>
      </w:r>
      <w:bookmarkEnd w:id="167"/>
      <w:bookmarkEnd w:id="168"/>
      <w:bookmarkEnd w:id="169"/>
    </w:p>
    <w:p w14:paraId="312DB10A" w14:textId="77777777" w:rsidR="00C31C99" w:rsidRDefault="00816B42">
      <w:pPr>
        <w:pStyle w:val="Teksttreci0"/>
        <w:spacing w:after="60"/>
        <w:jc w:val="both"/>
      </w:pPr>
      <w:r>
        <w:t>Wszystkie powierzchnie podbudowy, które wykazują większe odchylenia cech geometrycznych od określonych w punkcie 6.4, powinny być naprawione. Wszelkie naprawy i dodatkowe badania i pomiary zostaną wykonane na koszt Wykonawcy.</w:t>
      </w:r>
    </w:p>
    <w:p w14:paraId="312DB10B" w14:textId="77777777" w:rsidR="00C31C99" w:rsidRDefault="00816B42">
      <w:pPr>
        <w:pStyle w:val="Teksttreci0"/>
        <w:spacing w:after="180"/>
        <w:jc w:val="both"/>
      </w:pPr>
      <w:r>
        <w:t>Jeżeli szerokość podbudowy jest mniejsza od szerokości projektowanej o więcej niż 5 cm i nie zapewni to podparcia warstwom wyżej leżącym, to Wykonawca powinien na własny koszt poszerzyć podbudowę przez spulchnienie warstwy na pełną grubość, do połowy szerokości pasa ruchu (lub pasa postojowego czy utwardzonego pobocza), dołożenie materiału i powtórne zagęszczenie.</w:t>
      </w:r>
    </w:p>
    <w:p w14:paraId="312DB10C" w14:textId="77777777" w:rsidR="00C31C99" w:rsidRDefault="00816B42">
      <w:pPr>
        <w:pStyle w:val="Nagwek50"/>
        <w:keepNext/>
        <w:keepLines/>
        <w:numPr>
          <w:ilvl w:val="0"/>
          <w:numId w:val="14"/>
        </w:numPr>
        <w:tabs>
          <w:tab w:val="left" w:pos="952"/>
        </w:tabs>
        <w:spacing w:after="60"/>
        <w:ind w:firstLine="320"/>
        <w:jc w:val="both"/>
      </w:pPr>
      <w:bookmarkStart w:id="170" w:name="bookmark175"/>
      <w:bookmarkStart w:id="171" w:name="bookmark173"/>
      <w:bookmarkStart w:id="172" w:name="bookmark174"/>
      <w:bookmarkStart w:id="173" w:name="bookmark176"/>
      <w:bookmarkEnd w:id="170"/>
      <w:r>
        <w:t>Niewłaściwa grubość</w:t>
      </w:r>
      <w:bookmarkEnd w:id="171"/>
      <w:bookmarkEnd w:id="172"/>
      <w:bookmarkEnd w:id="173"/>
    </w:p>
    <w:p w14:paraId="312DB10D" w14:textId="77777777" w:rsidR="00C31C99" w:rsidRDefault="00816B42">
      <w:pPr>
        <w:pStyle w:val="Teksttreci0"/>
        <w:spacing w:after="60"/>
        <w:ind w:firstLine="320"/>
        <w:jc w:val="both"/>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 Roboty te Wykonawca wykona na własny koszt. Po wykonaniu tych robót nastąpi ponowny pomiar i ocena grubości warstwy. Koszty poniesie Wykonawca.</w:t>
      </w:r>
    </w:p>
    <w:p w14:paraId="312DB10E" w14:textId="77777777" w:rsidR="00C31C99" w:rsidRDefault="00816B42">
      <w:pPr>
        <w:pStyle w:val="Nagwek50"/>
        <w:keepNext/>
        <w:keepLines/>
        <w:numPr>
          <w:ilvl w:val="0"/>
          <w:numId w:val="14"/>
        </w:numPr>
        <w:tabs>
          <w:tab w:val="left" w:pos="952"/>
        </w:tabs>
        <w:spacing w:after="60"/>
        <w:ind w:firstLine="320"/>
        <w:jc w:val="both"/>
      </w:pPr>
      <w:bookmarkStart w:id="174" w:name="bookmark179"/>
      <w:bookmarkStart w:id="175" w:name="bookmark177"/>
      <w:bookmarkStart w:id="176" w:name="bookmark178"/>
      <w:bookmarkStart w:id="177" w:name="bookmark180"/>
      <w:bookmarkEnd w:id="174"/>
      <w:r>
        <w:lastRenderedPageBreak/>
        <w:t>Niewłaściwa nośność podbudowy</w:t>
      </w:r>
      <w:bookmarkEnd w:id="175"/>
      <w:bookmarkEnd w:id="176"/>
      <w:bookmarkEnd w:id="177"/>
    </w:p>
    <w:p w14:paraId="312DB10F" w14:textId="77777777" w:rsidR="00C31C99" w:rsidRDefault="00816B42">
      <w:pPr>
        <w:pStyle w:val="Teksttreci0"/>
        <w:spacing w:after="60"/>
        <w:ind w:firstLine="320"/>
        <w:jc w:val="both"/>
      </w:pPr>
      <w:r>
        <w:t>Jeżeli nośność podbudowy będzie mniejsza od wymaganej, to Wykonawca wykona wszelkie roboty niezbędne do zapewnienia wymaganej nośności, zalecone przez Inżyniera.</w:t>
      </w:r>
    </w:p>
    <w:p w14:paraId="312DB110" w14:textId="77777777" w:rsidR="00C31C99" w:rsidRDefault="00816B42">
      <w:pPr>
        <w:pStyle w:val="Teksttreci0"/>
        <w:spacing w:after="320"/>
        <w:ind w:firstLine="320"/>
        <w:jc w:val="both"/>
      </w:pPr>
      <w:r>
        <w:t>Koszty tych dodatkowych robót poniesie Wykonawca podbudowy tylko wtedy, gdy zaniżenie nośności podbudowy wynikło z niewłaściwego wykonania robót przez Wykonawcę podbudowy.</w:t>
      </w:r>
    </w:p>
    <w:p w14:paraId="312DB111" w14:textId="77777777" w:rsidR="00C31C99" w:rsidRDefault="00816B42">
      <w:pPr>
        <w:pStyle w:val="Nagwek40"/>
        <w:keepNext/>
        <w:keepLines/>
        <w:numPr>
          <w:ilvl w:val="0"/>
          <w:numId w:val="1"/>
        </w:numPr>
        <w:tabs>
          <w:tab w:val="left" w:pos="339"/>
        </w:tabs>
      </w:pPr>
      <w:bookmarkStart w:id="178" w:name="bookmark183"/>
      <w:bookmarkStart w:id="179" w:name="bookmark181"/>
      <w:bookmarkStart w:id="180" w:name="bookmark182"/>
      <w:bookmarkStart w:id="181" w:name="bookmark184"/>
      <w:bookmarkEnd w:id="178"/>
      <w:r>
        <w:t>OBMIAR ROBÓT</w:t>
      </w:r>
      <w:bookmarkEnd w:id="179"/>
      <w:bookmarkEnd w:id="180"/>
      <w:bookmarkEnd w:id="181"/>
    </w:p>
    <w:p w14:paraId="312DB112" w14:textId="77777777" w:rsidR="00C31C99" w:rsidRDefault="00816B42">
      <w:pPr>
        <w:pStyle w:val="Nagwek50"/>
        <w:keepNext/>
        <w:keepLines/>
        <w:numPr>
          <w:ilvl w:val="1"/>
          <w:numId w:val="1"/>
        </w:numPr>
        <w:tabs>
          <w:tab w:val="left" w:pos="474"/>
        </w:tabs>
        <w:spacing w:after="240"/>
        <w:jc w:val="both"/>
      </w:pPr>
      <w:bookmarkStart w:id="182" w:name="bookmark187"/>
      <w:bookmarkStart w:id="183" w:name="bookmark185"/>
      <w:bookmarkStart w:id="184" w:name="bookmark186"/>
      <w:bookmarkStart w:id="185" w:name="bookmark188"/>
      <w:bookmarkEnd w:id="182"/>
      <w:r>
        <w:t>Ogólne zasady obmiaru robót</w:t>
      </w:r>
      <w:bookmarkEnd w:id="183"/>
      <w:bookmarkEnd w:id="184"/>
      <w:bookmarkEnd w:id="185"/>
    </w:p>
    <w:p w14:paraId="312DB113" w14:textId="77777777" w:rsidR="00C31C99" w:rsidRDefault="00816B42">
      <w:pPr>
        <w:pStyle w:val="Teksttreci0"/>
        <w:spacing w:after="240"/>
        <w:ind w:firstLine="320"/>
        <w:jc w:val="both"/>
      </w:pPr>
      <w:r>
        <w:t>Ogólne zasady obmiaru robót podano w SST D-M-00.00.00 „Wymagania ogólne” pkt 7.</w:t>
      </w:r>
    </w:p>
    <w:p w14:paraId="312DB114" w14:textId="77777777" w:rsidR="00C31C99" w:rsidRDefault="00816B42">
      <w:pPr>
        <w:pStyle w:val="Nagwek50"/>
        <w:keepNext/>
        <w:keepLines/>
        <w:numPr>
          <w:ilvl w:val="1"/>
          <w:numId w:val="1"/>
        </w:numPr>
        <w:tabs>
          <w:tab w:val="left" w:pos="474"/>
        </w:tabs>
        <w:spacing w:after="240"/>
        <w:jc w:val="both"/>
      </w:pPr>
      <w:bookmarkStart w:id="186" w:name="bookmark191"/>
      <w:bookmarkStart w:id="187" w:name="bookmark189"/>
      <w:bookmarkStart w:id="188" w:name="bookmark190"/>
      <w:bookmarkStart w:id="189" w:name="bookmark192"/>
      <w:bookmarkEnd w:id="186"/>
      <w:r>
        <w:t>Jednostka obmiarową</w:t>
      </w:r>
      <w:bookmarkEnd w:id="187"/>
      <w:bookmarkEnd w:id="188"/>
      <w:bookmarkEnd w:id="189"/>
    </w:p>
    <w:p w14:paraId="312DB115" w14:textId="77777777" w:rsidR="00C31C99" w:rsidRDefault="00816B42">
      <w:pPr>
        <w:pStyle w:val="Teksttreci0"/>
        <w:spacing w:after="60"/>
        <w:ind w:firstLine="320"/>
        <w:jc w:val="both"/>
      </w:pPr>
      <w:r>
        <w:t>Jednostką obmiarową jest:</w:t>
      </w:r>
    </w:p>
    <w:p w14:paraId="312DB116" w14:textId="78AD6B27" w:rsidR="00C31C99" w:rsidRDefault="00816B42">
      <w:pPr>
        <w:pStyle w:val="Teksttreci0"/>
        <w:numPr>
          <w:ilvl w:val="0"/>
          <w:numId w:val="4"/>
        </w:numPr>
        <w:tabs>
          <w:tab w:val="left" w:pos="578"/>
        </w:tabs>
        <w:spacing w:after="60"/>
        <w:ind w:firstLine="320"/>
        <w:jc w:val="both"/>
      </w:pPr>
      <w:bookmarkStart w:id="190" w:name="bookmark193"/>
      <w:bookmarkEnd w:id="190"/>
      <w:r>
        <w:t>m</w:t>
      </w:r>
      <w:r>
        <w:rPr>
          <w:vertAlign w:val="superscript"/>
        </w:rPr>
        <w:t>2</w:t>
      </w:r>
      <w:r>
        <w:t xml:space="preserve"> (metr kwadratowy) podbudowy z kruszywa łamanego (tłucznia/klińca) 20-31,5 mm gr 1</w:t>
      </w:r>
      <w:r w:rsidR="00BF2FDE">
        <w:t>0</w:t>
      </w:r>
      <w:r>
        <w:t>-</w:t>
      </w:r>
      <w:r w:rsidR="00BF2FDE">
        <w:t>2</w:t>
      </w:r>
      <w:r>
        <w:t>0 cm</w:t>
      </w:r>
    </w:p>
    <w:p w14:paraId="312DB117" w14:textId="77777777" w:rsidR="00C31C99" w:rsidRDefault="00816B42">
      <w:pPr>
        <w:pStyle w:val="Teksttreci0"/>
        <w:numPr>
          <w:ilvl w:val="0"/>
          <w:numId w:val="4"/>
        </w:numPr>
        <w:tabs>
          <w:tab w:val="left" w:pos="578"/>
        </w:tabs>
        <w:spacing w:after="500"/>
        <w:ind w:firstLine="320"/>
        <w:jc w:val="both"/>
      </w:pPr>
      <w:bookmarkStart w:id="191" w:name="bookmark194"/>
      <w:bookmarkEnd w:id="191"/>
      <w:r>
        <w:t>m</w:t>
      </w:r>
      <w:r>
        <w:rPr>
          <w:vertAlign w:val="superscript"/>
        </w:rPr>
        <w:t>3</w:t>
      </w:r>
      <w:r>
        <w:t xml:space="preserve"> (metr kwadratowy) wyrównanie podbudowy z kruszywa łamanego (klińca) 20-31,5 mm</w:t>
      </w:r>
    </w:p>
    <w:p w14:paraId="312DB118" w14:textId="77777777" w:rsidR="00C31C99" w:rsidRDefault="00816B42">
      <w:pPr>
        <w:pStyle w:val="Nagwek40"/>
        <w:keepNext/>
        <w:keepLines/>
        <w:numPr>
          <w:ilvl w:val="0"/>
          <w:numId w:val="1"/>
        </w:numPr>
        <w:tabs>
          <w:tab w:val="left" w:pos="344"/>
        </w:tabs>
      </w:pPr>
      <w:bookmarkStart w:id="192" w:name="bookmark197"/>
      <w:bookmarkStart w:id="193" w:name="bookmark195"/>
      <w:bookmarkStart w:id="194" w:name="bookmark196"/>
      <w:bookmarkStart w:id="195" w:name="bookmark198"/>
      <w:bookmarkEnd w:id="192"/>
      <w:r>
        <w:t>ODBIÓR ROBÓT</w:t>
      </w:r>
      <w:bookmarkEnd w:id="193"/>
      <w:bookmarkEnd w:id="194"/>
      <w:bookmarkEnd w:id="195"/>
    </w:p>
    <w:p w14:paraId="312DB119" w14:textId="77777777" w:rsidR="00C31C99" w:rsidRDefault="00816B42">
      <w:pPr>
        <w:pStyle w:val="Teksttreci0"/>
        <w:spacing w:after="0"/>
        <w:ind w:firstLine="320"/>
        <w:jc w:val="both"/>
      </w:pPr>
      <w:r>
        <w:t>Ogólne zasady odbioru robót podano w SST DM-00.00.00 „Wymagania ogólne” pkt 8.</w:t>
      </w:r>
    </w:p>
    <w:p w14:paraId="312DB11A" w14:textId="77777777" w:rsidR="00C31C99" w:rsidRDefault="00816B42">
      <w:pPr>
        <w:pStyle w:val="Teksttreci0"/>
        <w:spacing w:after="120"/>
        <w:ind w:firstLine="760"/>
        <w:jc w:val="both"/>
      </w:pPr>
      <w:r>
        <w:t>Roboty uznaje się za zgodne z dokumentacją projektową, SST i wymaganiami Inspektora Nadzoru, jeżeli wszystkie pomiary i badania z zachowaniem tolerancji wg pkt 6 dały wyniki pozytywne.</w:t>
      </w:r>
    </w:p>
    <w:p w14:paraId="312DB11B" w14:textId="77777777" w:rsidR="00C31C99" w:rsidRDefault="00816B42">
      <w:pPr>
        <w:pStyle w:val="Teksttreci0"/>
        <w:spacing w:after="360"/>
        <w:ind w:firstLine="0"/>
        <w:jc w:val="both"/>
      </w:pPr>
      <w:r>
        <w:t>Odbioru robót związanych z wykonaniem podbudowy z kruszywa łamanego stabilizowanego mechanicznie dokonuje się na zasadach odbioru robót zanikających i ulegających zakryciu.</w:t>
      </w:r>
    </w:p>
    <w:p w14:paraId="312DB11C" w14:textId="77777777" w:rsidR="00C31C99" w:rsidRDefault="00816B42">
      <w:pPr>
        <w:pStyle w:val="Nagwek40"/>
        <w:keepNext/>
        <w:keepLines/>
        <w:numPr>
          <w:ilvl w:val="0"/>
          <w:numId w:val="1"/>
        </w:numPr>
        <w:tabs>
          <w:tab w:val="left" w:pos="344"/>
        </w:tabs>
        <w:jc w:val="both"/>
      </w:pPr>
      <w:bookmarkStart w:id="196" w:name="bookmark201"/>
      <w:bookmarkStart w:id="197" w:name="bookmark199"/>
      <w:bookmarkStart w:id="198" w:name="bookmark200"/>
      <w:bookmarkStart w:id="199" w:name="bookmark202"/>
      <w:bookmarkEnd w:id="196"/>
      <w:r>
        <w:t>PODSTAWA PŁATNOŚCI</w:t>
      </w:r>
      <w:bookmarkEnd w:id="197"/>
      <w:bookmarkEnd w:id="198"/>
      <w:bookmarkEnd w:id="199"/>
    </w:p>
    <w:p w14:paraId="312DB11D" w14:textId="77777777" w:rsidR="00C31C99" w:rsidRDefault="00816B42">
      <w:pPr>
        <w:pStyle w:val="Nagwek50"/>
        <w:keepNext/>
        <w:keepLines/>
        <w:numPr>
          <w:ilvl w:val="1"/>
          <w:numId w:val="1"/>
        </w:numPr>
        <w:tabs>
          <w:tab w:val="left" w:pos="478"/>
        </w:tabs>
        <w:spacing w:after="240"/>
        <w:jc w:val="both"/>
      </w:pPr>
      <w:bookmarkStart w:id="200" w:name="bookmark205"/>
      <w:bookmarkStart w:id="201" w:name="bookmark203"/>
      <w:bookmarkStart w:id="202" w:name="bookmark204"/>
      <w:bookmarkStart w:id="203" w:name="bookmark206"/>
      <w:bookmarkEnd w:id="200"/>
      <w:r>
        <w:t>Ogólne ustalenia dotyczące podstawy płatności</w:t>
      </w:r>
      <w:bookmarkEnd w:id="201"/>
      <w:bookmarkEnd w:id="202"/>
      <w:bookmarkEnd w:id="203"/>
    </w:p>
    <w:p w14:paraId="312DB11E" w14:textId="77777777" w:rsidR="00C31C99" w:rsidRDefault="00816B42">
      <w:pPr>
        <w:pStyle w:val="Teksttreci0"/>
        <w:spacing w:after="240"/>
        <w:ind w:firstLine="320"/>
        <w:jc w:val="both"/>
      </w:pPr>
      <w:r>
        <w:t>Ogólne ustalenia dotyczące podstawy płatności podano w SST DM-00.00.00 „Wymagania ogólne” pkt 9.</w:t>
      </w:r>
    </w:p>
    <w:p w14:paraId="312DB11F" w14:textId="77777777" w:rsidR="00C31C99" w:rsidRDefault="00816B42">
      <w:pPr>
        <w:pStyle w:val="Nagwek50"/>
        <w:keepNext/>
        <w:keepLines/>
        <w:numPr>
          <w:ilvl w:val="1"/>
          <w:numId w:val="1"/>
        </w:numPr>
        <w:tabs>
          <w:tab w:val="left" w:pos="478"/>
        </w:tabs>
        <w:spacing w:after="60"/>
        <w:jc w:val="both"/>
      </w:pPr>
      <w:bookmarkStart w:id="204" w:name="bookmark209"/>
      <w:bookmarkStart w:id="205" w:name="bookmark207"/>
      <w:bookmarkStart w:id="206" w:name="bookmark208"/>
      <w:bookmarkStart w:id="207" w:name="bookmark210"/>
      <w:bookmarkEnd w:id="204"/>
      <w:r>
        <w:t>Cena jednostki obmiarowej</w:t>
      </w:r>
      <w:bookmarkEnd w:id="205"/>
      <w:bookmarkEnd w:id="206"/>
      <w:bookmarkEnd w:id="207"/>
    </w:p>
    <w:p w14:paraId="312DB120" w14:textId="77777777" w:rsidR="00C31C99" w:rsidRDefault="00816B42">
      <w:pPr>
        <w:pStyle w:val="Teksttreci0"/>
        <w:spacing w:after="0"/>
        <w:ind w:firstLine="320"/>
        <w:jc w:val="both"/>
      </w:pPr>
      <w:r>
        <w:t>Cena wykonania 1 m</w:t>
      </w:r>
      <w:r>
        <w:rPr>
          <w:vertAlign w:val="superscript"/>
        </w:rPr>
        <w:t>2</w:t>
      </w:r>
      <w:r>
        <w:t xml:space="preserve"> podbudowy tłuczniowej obejmuje:</w:t>
      </w:r>
    </w:p>
    <w:p w14:paraId="312DB121" w14:textId="77777777" w:rsidR="00C31C99" w:rsidRDefault="00816B42">
      <w:pPr>
        <w:pStyle w:val="Teksttreci0"/>
        <w:numPr>
          <w:ilvl w:val="0"/>
          <w:numId w:val="4"/>
        </w:numPr>
        <w:tabs>
          <w:tab w:val="left" w:pos="901"/>
        </w:tabs>
        <w:spacing w:after="0" w:line="223" w:lineRule="auto"/>
        <w:ind w:firstLine="600"/>
        <w:jc w:val="both"/>
      </w:pPr>
      <w:bookmarkStart w:id="208" w:name="bookmark211"/>
      <w:bookmarkEnd w:id="208"/>
      <w:r>
        <w:t>prace pomiarowe i roboty przygotowawcze,</w:t>
      </w:r>
    </w:p>
    <w:p w14:paraId="312DB122" w14:textId="77777777" w:rsidR="00C31C99" w:rsidRDefault="00816B42">
      <w:pPr>
        <w:pStyle w:val="Teksttreci0"/>
        <w:numPr>
          <w:ilvl w:val="0"/>
          <w:numId w:val="4"/>
        </w:numPr>
        <w:tabs>
          <w:tab w:val="left" w:pos="901"/>
        </w:tabs>
        <w:spacing w:after="0" w:line="223" w:lineRule="auto"/>
        <w:ind w:firstLine="600"/>
        <w:jc w:val="both"/>
      </w:pPr>
      <w:bookmarkStart w:id="209" w:name="bookmark212"/>
      <w:bookmarkEnd w:id="209"/>
      <w:r>
        <w:t>oznakowanie robót,</w:t>
      </w:r>
    </w:p>
    <w:p w14:paraId="312DB123" w14:textId="77777777" w:rsidR="00C31C99" w:rsidRDefault="00816B42">
      <w:pPr>
        <w:pStyle w:val="Teksttreci0"/>
        <w:numPr>
          <w:ilvl w:val="0"/>
          <w:numId w:val="4"/>
        </w:numPr>
        <w:tabs>
          <w:tab w:val="left" w:pos="901"/>
        </w:tabs>
        <w:spacing w:after="0" w:line="223" w:lineRule="auto"/>
        <w:ind w:firstLine="600"/>
        <w:jc w:val="both"/>
      </w:pPr>
      <w:bookmarkStart w:id="210" w:name="bookmark213"/>
      <w:bookmarkEnd w:id="210"/>
      <w:r>
        <w:t>przygotowanie podłoża,</w:t>
      </w:r>
    </w:p>
    <w:p w14:paraId="312DB124" w14:textId="77777777" w:rsidR="00C31C99" w:rsidRDefault="00816B42">
      <w:pPr>
        <w:pStyle w:val="Teksttreci0"/>
        <w:numPr>
          <w:ilvl w:val="0"/>
          <w:numId w:val="4"/>
        </w:numPr>
        <w:tabs>
          <w:tab w:val="left" w:pos="901"/>
        </w:tabs>
        <w:spacing w:after="0" w:line="223" w:lineRule="auto"/>
        <w:ind w:firstLine="600"/>
        <w:jc w:val="both"/>
      </w:pPr>
      <w:bookmarkStart w:id="211" w:name="bookmark214"/>
      <w:bookmarkEnd w:id="211"/>
      <w:r>
        <w:t>dostarczenie materiałów na miejsce wbudowania,</w:t>
      </w:r>
    </w:p>
    <w:p w14:paraId="312DB125" w14:textId="77777777" w:rsidR="00C31C99" w:rsidRDefault="00816B42">
      <w:pPr>
        <w:pStyle w:val="Teksttreci0"/>
        <w:numPr>
          <w:ilvl w:val="0"/>
          <w:numId w:val="4"/>
        </w:numPr>
        <w:tabs>
          <w:tab w:val="left" w:pos="901"/>
        </w:tabs>
        <w:spacing w:after="0" w:line="223" w:lineRule="auto"/>
        <w:ind w:firstLine="600"/>
        <w:jc w:val="both"/>
      </w:pPr>
      <w:bookmarkStart w:id="212" w:name="bookmark215"/>
      <w:bookmarkEnd w:id="212"/>
      <w:r>
        <w:t>rozłożenie kruszywa,</w:t>
      </w:r>
    </w:p>
    <w:p w14:paraId="312DB126" w14:textId="77777777" w:rsidR="00C31C99" w:rsidRDefault="00816B42">
      <w:pPr>
        <w:pStyle w:val="Teksttreci0"/>
        <w:numPr>
          <w:ilvl w:val="0"/>
          <w:numId w:val="4"/>
        </w:numPr>
        <w:tabs>
          <w:tab w:val="left" w:pos="901"/>
        </w:tabs>
        <w:spacing w:after="0" w:line="223" w:lineRule="auto"/>
        <w:ind w:firstLine="600"/>
        <w:jc w:val="both"/>
      </w:pPr>
      <w:bookmarkStart w:id="213" w:name="bookmark216"/>
      <w:bookmarkEnd w:id="213"/>
      <w:r>
        <w:t>zagęszczenie warstw z zaklinowaniem,</w:t>
      </w:r>
    </w:p>
    <w:p w14:paraId="312DB127" w14:textId="77777777" w:rsidR="00C31C99" w:rsidRDefault="00816B42">
      <w:pPr>
        <w:pStyle w:val="Teksttreci0"/>
        <w:numPr>
          <w:ilvl w:val="0"/>
          <w:numId w:val="4"/>
        </w:numPr>
        <w:tabs>
          <w:tab w:val="left" w:pos="901"/>
        </w:tabs>
        <w:spacing w:after="0" w:line="223" w:lineRule="auto"/>
        <w:ind w:firstLine="600"/>
        <w:jc w:val="both"/>
      </w:pPr>
      <w:bookmarkStart w:id="214" w:name="bookmark217"/>
      <w:bookmarkEnd w:id="214"/>
      <w:r>
        <w:t>przeprowadzenie pomiarów i badań laboratoryjnych określonych w specyfikacji technicznej,</w:t>
      </w:r>
    </w:p>
    <w:p w14:paraId="312DB128" w14:textId="77777777" w:rsidR="00C31C99" w:rsidRDefault="00816B42">
      <w:pPr>
        <w:pStyle w:val="Teksttreci0"/>
        <w:numPr>
          <w:ilvl w:val="0"/>
          <w:numId w:val="4"/>
        </w:numPr>
        <w:tabs>
          <w:tab w:val="left" w:pos="901"/>
        </w:tabs>
        <w:spacing w:after="0" w:line="223" w:lineRule="auto"/>
        <w:ind w:firstLine="600"/>
        <w:jc w:val="both"/>
      </w:pPr>
      <w:bookmarkStart w:id="215" w:name="bookmark218"/>
      <w:bookmarkEnd w:id="215"/>
      <w:r>
        <w:t>utrzymanie podbudowy w czasie robót.</w:t>
      </w:r>
    </w:p>
    <w:p w14:paraId="312DB129" w14:textId="77777777" w:rsidR="00C31C99" w:rsidRDefault="00816B42">
      <w:pPr>
        <w:pStyle w:val="Teksttreci0"/>
        <w:spacing w:after="0"/>
        <w:ind w:firstLine="320"/>
        <w:jc w:val="both"/>
      </w:pPr>
      <w:r>
        <w:t>Cena wykonania 1 m</w:t>
      </w:r>
      <w:r>
        <w:rPr>
          <w:vertAlign w:val="superscript"/>
        </w:rPr>
        <w:t>3</w:t>
      </w:r>
      <w:r>
        <w:t xml:space="preserve"> wyrównania podbudowy tłuczniowej obejmuje:</w:t>
      </w:r>
    </w:p>
    <w:p w14:paraId="312DB12A" w14:textId="77777777" w:rsidR="00C31C99" w:rsidRDefault="00816B42">
      <w:pPr>
        <w:pStyle w:val="Teksttreci0"/>
        <w:numPr>
          <w:ilvl w:val="0"/>
          <w:numId w:val="4"/>
        </w:numPr>
        <w:tabs>
          <w:tab w:val="left" w:pos="901"/>
        </w:tabs>
        <w:spacing w:after="0" w:line="223" w:lineRule="auto"/>
        <w:ind w:firstLine="600"/>
        <w:jc w:val="both"/>
      </w:pPr>
      <w:bookmarkStart w:id="216" w:name="bookmark219"/>
      <w:bookmarkEnd w:id="216"/>
      <w:r>
        <w:t>prace pomiarowe i roboty przygotowawcze,</w:t>
      </w:r>
    </w:p>
    <w:p w14:paraId="312DB12B" w14:textId="77777777" w:rsidR="00C31C99" w:rsidRDefault="00816B42">
      <w:pPr>
        <w:pStyle w:val="Teksttreci0"/>
        <w:numPr>
          <w:ilvl w:val="0"/>
          <w:numId w:val="4"/>
        </w:numPr>
        <w:tabs>
          <w:tab w:val="left" w:pos="901"/>
        </w:tabs>
        <w:spacing w:after="0" w:line="223" w:lineRule="auto"/>
        <w:ind w:firstLine="600"/>
        <w:jc w:val="both"/>
      </w:pPr>
      <w:bookmarkStart w:id="217" w:name="bookmark220"/>
      <w:bookmarkEnd w:id="217"/>
      <w:r>
        <w:t>oznakowanie robót,</w:t>
      </w:r>
    </w:p>
    <w:p w14:paraId="312DB12C" w14:textId="77777777" w:rsidR="00C31C99" w:rsidRDefault="00816B42">
      <w:pPr>
        <w:pStyle w:val="Teksttreci0"/>
        <w:numPr>
          <w:ilvl w:val="0"/>
          <w:numId w:val="4"/>
        </w:numPr>
        <w:tabs>
          <w:tab w:val="left" w:pos="901"/>
        </w:tabs>
        <w:spacing w:after="0" w:line="223" w:lineRule="auto"/>
        <w:ind w:firstLine="600"/>
        <w:jc w:val="both"/>
      </w:pPr>
      <w:bookmarkStart w:id="218" w:name="bookmark221"/>
      <w:bookmarkEnd w:id="218"/>
      <w:r>
        <w:t>przygotowanie podłoża,</w:t>
      </w:r>
    </w:p>
    <w:p w14:paraId="312DB12D" w14:textId="77777777" w:rsidR="00C31C99" w:rsidRDefault="00816B42">
      <w:pPr>
        <w:pStyle w:val="Teksttreci0"/>
        <w:numPr>
          <w:ilvl w:val="0"/>
          <w:numId w:val="4"/>
        </w:numPr>
        <w:tabs>
          <w:tab w:val="left" w:pos="901"/>
        </w:tabs>
        <w:spacing w:after="0" w:line="223" w:lineRule="auto"/>
        <w:ind w:firstLine="600"/>
        <w:jc w:val="both"/>
      </w:pPr>
      <w:bookmarkStart w:id="219" w:name="bookmark222"/>
      <w:bookmarkEnd w:id="219"/>
      <w:r>
        <w:t>dostarczenie materiałów na miejsce wbudowania,</w:t>
      </w:r>
    </w:p>
    <w:p w14:paraId="312DB12E" w14:textId="77777777" w:rsidR="00C31C99" w:rsidRDefault="00816B42">
      <w:pPr>
        <w:pStyle w:val="Teksttreci0"/>
        <w:numPr>
          <w:ilvl w:val="0"/>
          <w:numId w:val="4"/>
        </w:numPr>
        <w:tabs>
          <w:tab w:val="left" w:pos="901"/>
        </w:tabs>
        <w:spacing w:after="0" w:line="223" w:lineRule="auto"/>
        <w:ind w:firstLine="600"/>
        <w:jc w:val="both"/>
      </w:pPr>
      <w:bookmarkStart w:id="220" w:name="bookmark223"/>
      <w:bookmarkEnd w:id="220"/>
      <w:r>
        <w:t>rozłożenie kruszywa,</w:t>
      </w:r>
    </w:p>
    <w:p w14:paraId="312DB12F" w14:textId="77777777" w:rsidR="00C31C99" w:rsidRDefault="00816B42">
      <w:pPr>
        <w:pStyle w:val="Teksttreci0"/>
        <w:numPr>
          <w:ilvl w:val="0"/>
          <w:numId w:val="4"/>
        </w:numPr>
        <w:tabs>
          <w:tab w:val="left" w:pos="901"/>
        </w:tabs>
        <w:spacing w:after="60" w:line="223" w:lineRule="auto"/>
        <w:ind w:firstLine="600"/>
        <w:jc w:val="both"/>
      </w:pPr>
      <w:bookmarkStart w:id="221" w:name="bookmark224"/>
      <w:bookmarkEnd w:id="221"/>
      <w:r>
        <w:t>zagęszczenie warstw z zaklinowaniem,</w:t>
      </w:r>
      <w:r>
        <w:br w:type="page"/>
      </w:r>
    </w:p>
    <w:p w14:paraId="312DB130" w14:textId="77777777" w:rsidR="00C31C99" w:rsidRDefault="00816B42">
      <w:pPr>
        <w:pStyle w:val="Teksttreci0"/>
        <w:numPr>
          <w:ilvl w:val="0"/>
          <w:numId w:val="4"/>
        </w:numPr>
        <w:tabs>
          <w:tab w:val="left" w:pos="881"/>
        </w:tabs>
        <w:spacing w:after="0"/>
        <w:ind w:firstLine="580"/>
      </w:pPr>
      <w:bookmarkStart w:id="222" w:name="bookmark225"/>
      <w:bookmarkEnd w:id="222"/>
      <w:r>
        <w:lastRenderedPageBreak/>
        <w:t xml:space="preserve">przeprowadzenie pomiarów i badań </w:t>
      </w:r>
      <w:proofErr w:type="spellStart"/>
      <w:r>
        <w:t>laboratory</w:t>
      </w:r>
      <w:proofErr w:type="spellEnd"/>
      <w:r>
        <w:t xml:space="preserve">] </w:t>
      </w:r>
      <w:proofErr w:type="spellStart"/>
      <w:r>
        <w:t>nych</w:t>
      </w:r>
      <w:proofErr w:type="spellEnd"/>
      <w:r>
        <w:t xml:space="preserve"> określonych w </w:t>
      </w:r>
      <w:proofErr w:type="spellStart"/>
      <w:r>
        <w:t>specyfikacj</w:t>
      </w:r>
      <w:proofErr w:type="spellEnd"/>
      <w:r>
        <w:t xml:space="preserve"> i technicznej,</w:t>
      </w:r>
    </w:p>
    <w:p w14:paraId="312DB131" w14:textId="77777777" w:rsidR="00C31C99" w:rsidRDefault="00816B42">
      <w:pPr>
        <w:pStyle w:val="Teksttreci0"/>
        <w:numPr>
          <w:ilvl w:val="0"/>
          <w:numId w:val="4"/>
        </w:numPr>
        <w:tabs>
          <w:tab w:val="left" w:pos="881"/>
        </w:tabs>
        <w:spacing w:after="240"/>
        <w:ind w:firstLine="580"/>
      </w:pPr>
      <w:bookmarkStart w:id="223" w:name="bookmark226"/>
      <w:bookmarkEnd w:id="223"/>
      <w:r>
        <w:t>utrzymanie podbudowy w czasie robót.</w:t>
      </w:r>
    </w:p>
    <w:p w14:paraId="312DB132" w14:textId="77777777" w:rsidR="00C31C99" w:rsidRDefault="00816B42">
      <w:pPr>
        <w:pStyle w:val="Nagwek40"/>
        <w:keepNext/>
        <w:keepLines/>
        <w:numPr>
          <w:ilvl w:val="0"/>
          <w:numId w:val="1"/>
        </w:numPr>
        <w:tabs>
          <w:tab w:val="left" w:pos="445"/>
        </w:tabs>
        <w:spacing w:after="60" w:line="240" w:lineRule="auto"/>
      </w:pPr>
      <w:bookmarkStart w:id="224" w:name="bookmark229"/>
      <w:bookmarkStart w:id="225" w:name="bookmark227"/>
      <w:bookmarkStart w:id="226" w:name="bookmark228"/>
      <w:bookmarkStart w:id="227" w:name="bookmark230"/>
      <w:bookmarkEnd w:id="224"/>
      <w:r>
        <w:t>PRZEPISY ZWIĄZANE</w:t>
      </w:r>
      <w:bookmarkEnd w:id="225"/>
      <w:bookmarkEnd w:id="226"/>
      <w:bookmarkEnd w:id="227"/>
    </w:p>
    <w:p w14:paraId="312DB133" w14:textId="77777777" w:rsidR="00C31C99" w:rsidRDefault="00816B42">
      <w:pPr>
        <w:pStyle w:val="Nagwek50"/>
        <w:keepNext/>
        <w:keepLines/>
        <w:numPr>
          <w:ilvl w:val="1"/>
          <w:numId w:val="1"/>
        </w:numPr>
        <w:tabs>
          <w:tab w:val="left" w:pos="565"/>
        </w:tabs>
        <w:spacing w:after="140"/>
      </w:pPr>
      <w:bookmarkStart w:id="228" w:name="bookmark233"/>
      <w:bookmarkStart w:id="229" w:name="bookmark231"/>
      <w:bookmarkStart w:id="230" w:name="bookmark232"/>
      <w:bookmarkStart w:id="231" w:name="bookmark234"/>
      <w:bookmarkEnd w:id="228"/>
      <w:r>
        <w:t>Normy</w:t>
      </w:r>
      <w:bookmarkEnd w:id="229"/>
      <w:bookmarkEnd w:id="230"/>
      <w:bookmarkEnd w:id="231"/>
    </w:p>
    <w:tbl>
      <w:tblPr>
        <w:tblOverlap w:val="never"/>
        <w:tblW w:w="0" w:type="auto"/>
        <w:jc w:val="center"/>
        <w:tblLayout w:type="fixed"/>
        <w:tblCellMar>
          <w:left w:w="10" w:type="dxa"/>
          <w:right w:w="10" w:type="dxa"/>
        </w:tblCellMar>
        <w:tblLook w:val="04A0" w:firstRow="1" w:lastRow="0" w:firstColumn="1" w:lastColumn="0" w:noHBand="0" w:noVBand="1"/>
      </w:tblPr>
      <w:tblGrid>
        <w:gridCol w:w="485"/>
        <w:gridCol w:w="1723"/>
        <w:gridCol w:w="6778"/>
      </w:tblGrid>
      <w:tr w:rsidR="00C31C99" w14:paraId="312DB137" w14:textId="77777777">
        <w:trPr>
          <w:trHeight w:hRule="exact" w:val="264"/>
          <w:jc w:val="center"/>
        </w:trPr>
        <w:tc>
          <w:tcPr>
            <w:tcW w:w="485" w:type="dxa"/>
            <w:shd w:val="clear" w:color="auto" w:fill="FFFFFF"/>
          </w:tcPr>
          <w:p w14:paraId="312DB134" w14:textId="77777777" w:rsidR="00C31C99" w:rsidRDefault="00816B42">
            <w:pPr>
              <w:pStyle w:val="Inne0"/>
              <w:spacing w:after="0"/>
              <w:ind w:firstLine="220"/>
            </w:pPr>
            <w:r>
              <w:t>1.</w:t>
            </w:r>
          </w:p>
        </w:tc>
        <w:tc>
          <w:tcPr>
            <w:tcW w:w="1723" w:type="dxa"/>
            <w:shd w:val="clear" w:color="auto" w:fill="FFFFFF"/>
          </w:tcPr>
          <w:p w14:paraId="312DB135" w14:textId="77777777" w:rsidR="00C31C99" w:rsidRDefault="00816B42">
            <w:pPr>
              <w:pStyle w:val="Inne0"/>
              <w:spacing w:after="0"/>
              <w:ind w:firstLine="160"/>
            </w:pPr>
            <w:r>
              <w:t>PN-B-06714-12</w:t>
            </w:r>
          </w:p>
        </w:tc>
        <w:tc>
          <w:tcPr>
            <w:tcW w:w="6778" w:type="dxa"/>
            <w:shd w:val="clear" w:color="auto" w:fill="FFFFFF"/>
          </w:tcPr>
          <w:p w14:paraId="312DB136" w14:textId="77777777" w:rsidR="00C31C99" w:rsidRDefault="00816B42">
            <w:pPr>
              <w:pStyle w:val="Inne0"/>
              <w:spacing w:after="0"/>
              <w:ind w:firstLine="260"/>
              <w:jc w:val="both"/>
            </w:pPr>
            <w:r>
              <w:t>Kruszywa mineralne. Badania. Oznaczanie zawartości zanieczyszczeń obcych</w:t>
            </w:r>
          </w:p>
        </w:tc>
      </w:tr>
      <w:tr w:rsidR="00C31C99" w14:paraId="312DB13B" w14:textId="77777777">
        <w:trPr>
          <w:trHeight w:hRule="exact" w:val="288"/>
          <w:jc w:val="center"/>
        </w:trPr>
        <w:tc>
          <w:tcPr>
            <w:tcW w:w="485" w:type="dxa"/>
            <w:shd w:val="clear" w:color="auto" w:fill="FFFFFF"/>
            <w:vAlign w:val="center"/>
          </w:tcPr>
          <w:p w14:paraId="312DB138" w14:textId="77777777" w:rsidR="00C31C99" w:rsidRDefault="00816B42">
            <w:pPr>
              <w:pStyle w:val="Inne0"/>
              <w:spacing w:after="0"/>
              <w:ind w:firstLine="220"/>
            </w:pPr>
            <w:r>
              <w:t>2.</w:t>
            </w:r>
          </w:p>
        </w:tc>
        <w:tc>
          <w:tcPr>
            <w:tcW w:w="1723" w:type="dxa"/>
            <w:shd w:val="clear" w:color="auto" w:fill="FFFFFF"/>
            <w:vAlign w:val="center"/>
          </w:tcPr>
          <w:p w14:paraId="312DB139" w14:textId="77777777" w:rsidR="00C31C99" w:rsidRDefault="00816B42">
            <w:pPr>
              <w:pStyle w:val="Inne0"/>
              <w:spacing w:after="0"/>
              <w:ind w:firstLine="160"/>
            </w:pPr>
            <w:r>
              <w:t>PN-B-06714-15</w:t>
            </w:r>
          </w:p>
        </w:tc>
        <w:tc>
          <w:tcPr>
            <w:tcW w:w="6778" w:type="dxa"/>
            <w:shd w:val="clear" w:color="auto" w:fill="FFFFFF"/>
            <w:vAlign w:val="center"/>
          </w:tcPr>
          <w:p w14:paraId="312DB13A" w14:textId="77777777" w:rsidR="00C31C99" w:rsidRDefault="00816B42">
            <w:pPr>
              <w:pStyle w:val="Inne0"/>
              <w:spacing w:after="0"/>
              <w:ind w:firstLine="260"/>
              <w:jc w:val="both"/>
            </w:pPr>
            <w:r>
              <w:t>Kruszywa mineralne. Badania. Oznaczanie składu ziarnowego</w:t>
            </w:r>
          </w:p>
        </w:tc>
      </w:tr>
      <w:tr w:rsidR="00C31C99" w14:paraId="312DB13F" w14:textId="77777777">
        <w:trPr>
          <w:trHeight w:hRule="exact" w:val="293"/>
          <w:jc w:val="center"/>
        </w:trPr>
        <w:tc>
          <w:tcPr>
            <w:tcW w:w="485" w:type="dxa"/>
            <w:shd w:val="clear" w:color="auto" w:fill="FFFFFF"/>
            <w:vAlign w:val="center"/>
          </w:tcPr>
          <w:p w14:paraId="312DB13C" w14:textId="77777777" w:rsidR="00C31C99" w:rsidRDefault="00816B42">
            <w:pPr>
              <w:pStyle w:val="Inne0"/>
              <w:spacing w:after="0"/>
              <w:ind w:firstLine="220"/>
            </w:pPr>
            <w:r>
              <w:t>3.</w:t>
            </w:r>
          </w:p>
        </w:tc>
        <w:tc>
          <w:tcPr>
            <w:tcW w:w="1723" w:type="dxa"/>
            <w:shd w:val="clear" w:color="auto" w:fill="FFFFFF"/>
            <w:vAlign w:val="center"/>
          </w:tcPr>
          <w:p w14:paraId="312DB13D" w14:textId="77777777" w:rsidR="00C31C99" w:rsidRDefault="00816B42">
            <w:pPr>
              <w:pStyle w:val="Inne0"/>
              <w:spacing w:after="0"/>
              <w:ind w:firstLine="160"/>
            </w:pPr>
            <w:r>
              <w:t>PN-B-06714-16</w:t>
            </w:r>
          </w:p>
        </w:tc>
        <w:tc>
          <w:tcPr>
            <w:tcW w:w="6778" w:type="dxa"/>
            <w:shd w:val="clear" w:color="auto" w:fill="FFFFFF"/>
            <w:vAlign w:val="center"/>
          </w:tcPr>
          <w:p w14:paraId="312DB13E" w14:textId="77777777" w:rsidR="00C31C99" w:rsidRDefault="00816B42">
            <w:pPr>
              <w:pStyle w:val="Inne0"/>
              <w:spacing w:after="0"/>
              <w:ind w:firstLine="260"/>
              <w:jc w:val="both"/>
            </w:pPr>
            <w:r>
              <w:t xml:space="preserve">Kruszywa mineralne. Badania. Oznaczanie kształtu </w:t>
            </w:r>
            <w:proofErr w:type="spellStart"/>
            <w:r>
              <w:t>ziarn</w:t>
            </w:r>
            <w:proofErr w:type="spellEnd"/>
          </w:p>
        </w:tc>
      </w:tr>
      <w:tr w:rsidR="00C31C99" w14:paraId="312DB143" w14:textId="77777777">
        <w:trPr>
          <w:trHeight w:hRule="exact" w:val="302"/>
          <w:jc w:val="center"/>
        </w:trPr>
        <w:tc>
          <w:tcPr>
            <w:tcW w:w="485" w:type="dxa"/>
            <w:shd w:val="clear" w:color="auto" w:fill="FFFFFF"/>
            <w:vAlign w:val="center"/>
          </w:tcPr>
          <w:p w14:paraId="312DB140" w14:textId="77777777" w:rsidR="00C31C99" w:rsidRDefault="00816B42">
            <w:pPr>
              <w:pStyle w:val="Inne0"/>
              <w:spacing w:after="0"/>
              <w:ind w:firstLine="220"/>
            </w:pPr>
            <w:r>
              <w:t>4.</w:t>
            </w:r>
          </w:p>
        </w:tc>
        <w:tc>
          <w:tcPr>
            <w:tcW w:w="1723" w:type="dxa"/>
            <w:shd w:val="clear" w:color="auto" w:fill="FFFFFF"/>
            <w:vAlign w:val="center"/>
          </w:tcPr>
          <w:p w14:paraId="312DB141" w14:textId="77777777" w:rsidR="00C31C99" w:rsidRDefault="00816B42">
            <w:pPr>
              <w:pStyle w:val="Inne0"/>
              <w:spacing w:after="0"/>
              <w:ind w:firstLine="160"/>
            </w:pPr>
            <w:r>
              <w:t>PN-B-06714-18</w:t>
            </w:r>
          </w:p>
        </w:tc>
        <w:tc>
          <w:tcPr>
            <w:tcW w:w="6778" w:type="dxa"/>
            <w:shd w:val="clear" w:color="auto" w:fill="FFFFFF"/>
            <w:vAlign w:val="center"/>
          </w:tcPr>
          <w:p w14:paraId="312DB142" w14:textId="77777777" w:rsidR="00C31C99" w:rsidRDefault="00816B42">
            <w:pPr>
              <w:pStyle w:val="Inne0"/>
              <w:spacing w:after="0"/>
              <w:ind w:firstLine="260"/>
              <w:jc w:val="both"/>
            </w:pPr>
            <w:r>
              <w:t>Kruszywa mineralne. Badania. Oznaczanie nasiąkliwości</w:t>
            </w:r>
          </w:p>
        </w:tc>
      </w:tr>
      <w:tr w:rsidR="00C31C99" w14:paraId="312DB147" w14:textId="77777777">
        <w:trPr>
          <w:trHeight w:hRule="exact" w:val="538"/>
          <w:jc w:val="center"/>
        </w:trPr>
        <w:tc>
          <w:tcPr>
            <w:tcW w:w="485" w:type="dxa"/>
            <w:shd w:val="clear" w:color="auto" w:fill="FFFFFF"/>
          </w:tcPr>
          <w:p w14:paraId="312DB144" w14:textId="77777777" w:rsidR="00C31C99" w:rsidRDefault="00816B42">
            <w:pPr>
              <w:pStyle w:val="Inne0"/>
              <w:spacing w:after="0"/>
              <w:ind w:firstLine="220"/>
            </w:pPr>
            <w:r>
              <w:t>5.</w:t>
            </w:r>
          </w:p>
        </w:tc>
        <w:tc>
          <w:tcPr>
            <w:tcW w:w="1723" w:type="dxa"/>
            <w:shd w:val="clear" w:color="auto" w:fill="FFFFFF"/>
          </w:tcPr>
          <w:p w14:paraId="312DB145" w14:textId="77777777" w:rsidR="00C31C99" w:rsidRDefault="00816B42">
            <w:pPr>
              <w:pStyle w:val="Inne0"/>
              <w:spacing w:after="0"/>
              <w:ind w:firstLine="160"/>
            </w:pPr>
            <w:r>
              <w:t>PN-B-06714-19</w:t>
            </w:r>
          </w:p>
        </w:tc>
        <w:tc>
          <w:tcPr>
            <w:tcW w:w="6778" w:type="dxa"/>
            <w:shd w:val="clear" w:color="auto" w:fill="FFFFFF"/>
            <w:vAlign w:val="center"/>
          </w:tcPr>
          <w:p w14:paraId="312DB146" w14:textId="77777777" w:rsidR="00C31C99" w:rsidRDefault="00816B42">
            <w:pPr>
              <w:pStyle w:val="Inne0"/>
              <w:spacing w:after="0"/>
              <w:ind w:left="260" w:firstLine="20"/>
            </w:pPr>
            <w:r>
              <w:t>Kruszywa mineralne. Badania. Oznaczanie mrozoodporności metodą bezpośrednią</w:t>
            </w:r>
          </w:p>
        </w:tc>
      </w:tr>
      <w:tr w:rsidR="00C31C99" w14:paraId="312DB14B" w14:textId="77777777">
        <w:trPr>
          <w:trHeight w:hRule="exact" w:val="528"/>
          <w:jc w:val="center"/>
        </w:trPr>
        <w:tc>
          <w:tcPr>
            <w:tcW w:w="485" w:type="dxa"/>
            <w:shd w:val="clear" w:color="auto" w:fill="FFFFFF"/>
          </w:tcPr>
          <w:p w14:paraId="312DB148" w14:textId="77777777" w:rsidR="00C31C99" w:rsidRDefault="00816B42">
            <w:pPr>
              <w:pStyle w:val="Inne0"/>
              <w:spacing w:after="0"/>
              <w:ind w:firstLine="220"/>
            </w:pPr>
            <w:r>
              <w:t>6.</w:t>
            </w:r>
          </w:p>
        </w:tc>
        <w:tc>
          <w:tcPr>
            <w:tcW w:w="1723" w:type="dxa"/>
            <w:shd w:val="clear" w:color="auto" w:fill="FFFFFF"/>
          </w:tcPr>
          <w:p w14:paraId="312DB149" w14:textId="77777777" w:rsidR="00C31C99" w:rsidRDefault="00816B42">
            <w:pPr>
              <w:pStyle w:val="Inne0"/>
              <w:spacing w:after="0"/>
              <w:ind w:firstLine="160"/>
            </w:pPr>
            <w:r>
              <w:t>PN-B-06714-26</w:t>
            </w:r>
          </w:p>
        </w:tc>
        <w:tc>
          <w:tcPr>
            <w:tcW w:w="6778" w:type="dxa"/>
            <w:shd w:val="clear" w:color="auto" w:fill="FFFFFF"/>
            <w:vAlign w:val="center"/>
          </w:tcPr>
          <w:p w14:paraId="312DB14A" w14:textId="77777777" w:rsidR="00C31C99" w:rsidRDefault="00816B42">
            <w:pPr>
              <w:pStyle w:val="Inne0"/>
              <w:spacing w:after="0"/>
              <w:ind w:left="260" w:firstLine="20"/>
            </w:pPr>
            <w:r>
              <w:t>Kruszywa mineralne. Badania. Oznaczanie zawartości zanieczyszczeń organicznych</w:t>
            </w:r>
          </w:p>
        </w:tc>
      </w:tr>
      <w:tr w:rsidR="00C31C99" w14:paraId="312DB14F" w14:textId="77777777">
        <w:trPr>
          <w:trHeight w:hRule="exact" w:val="288"/>
          <w:jc w:val="center"/>
        </w:trPr>
        <w:tc>
          <w:tcPr>
            <w:tcW w:w="485" w:type="dxa"/>
            <w:shd w:val="clear" w:color="auto" w:fill="FFFFFF"/>
            <w:vAlign w:val="center"/>
          </w:tcPr>
          <w:p w14:paraId="312DB14C" w14:textId="77777777" w:rsidR="00C31C99" w:rsidRDefault="00816B42">
            <w:pPr>
              <w:pStyle w:val="Inne0"/>
              <w:spacing w:after="0"/>
              <w:ind w:firstLine="220"/>
            </w:pPr>
            <w:r>
              <w:t>7.</w:t>
            </w:r>
          </w:p>
        </w:tc>
        <w:tc>
          <w:tcPr>
            <w:tcW w:w="1723" w:type="dxa"/>
            <w:shd w:val="clear" w:color="auto" w:fill="FFFFFF"/>
            <w:vAlign w:val="center"/>
          </w:tcPr>
          <w:p w14:paraId="312DB14D" w14:textId="77777777" w:rsidR="00C31C99" w:rsidRDefault="00816B42">
            <w:pPr>
              <w:pStyle w:val="Inne0"/>
              <w:spacing w:after="0"/>
              <w:ind w:firstLine="160"/>
            </w:pPr>
            <w:r>
              <w:t>PN-B-06714-42</w:t>
            </w:r>
          </w:p>
        </w:tc>
        <w:tc>
          <w:tcPr>
            <w:tcW w:w="6778" w:type="dxa"/>
            <w:shd w:val="clear" w:color="auto" w:fill="FFFFFF"/>
            <w:vAlign w:val="center"/>
          </w:tcPr>
          <w:p w14:paraId="312DB14E" w14:textId="77777777" w:rsidR="00C31C99" w:rsidRDefault="00816B42">
            <w:pPr>
              <w:pStyle w:val="Inne0"/>
              <w:spacing w:after="0"/>
              <w:ind w:firstLine="260"/>
            </w:pPr>
            <w:r>
              <w:t>Kruszywa mineralne. Badania. Oznaczanie ścieralności w bębnie Los Angeles</w:t>
            </w:r>
          </w:p>
        </w:tc>
      </w:tr>
      <w:tr w:rsidR="00C31C99" w14:paraId="312DB153" w14:textId="77777777">
        <w:trPr>
          <w:trHeight w:hRule="exact" w:val="298"/>
          <w:jc w:val="center"/>
        </w:trPr>
        <w:tc>
          <w:tcPr>
            <w:tcW w:w="485" w:type="dxa"/>
            <w:shd w:val="clear" w:color="auto" w:fill="FFFFFF"/>
            <w:vAlign w:val="center"/>
          </w:tcPr>
          <w:p w14:paraId="312DB150" w14:textId="77777777" w:rsidR="00C31C99" w:rsidRDefault="00816B42">
            <w:pPr>
              <w:pStyle w:val="Inne0"/>
              <w:spacing w:after="0"/>
              <w:ind w:firstLine="220"/>
            </w:pPr>
            <w:r>
              <w:t>8.</w:t>
            </w:r>
          </w:p>
        </w:tc>
        <w:tc>
          <w:tcPr>
            <w:tcW w:w="1723" w:type="dxa"/>
            <w:shd w:val="clear" w:color="auto" w:fill="FFFFFF"/>
            <w:vAlign w:val="center"/>
          </w:tcPr>
          <w:p w14:paraId="312DB151" w14:textId="77777777" w:rsidR="00C31C99" w:rsidRDefault="00816B42">
            <w:pPr>
              <w:pStyle w:val="Inne0"/>
              <w:spacing w:after="0"/>
              <w:ind w:firstLine="160"/>
            </w:pPr>
            <w:r>
              <w:t>PN-B-11112</w:t>
            </w:r>
          </w:p>
        </w:tc>
        <w:tc>
          <w:tcPr>
            <w:tcW w:w="6778" w:type="dxa"/>
            <w:shd w:val="clear" w:color="auto" w:fill="FFFFFF"/>
            <w:vAlign w:val="center"/>
          </w:tcPr>
          <w:p w14:paraId="312DB152" w14:textId="77777777" w:rsidR="00C31C99" w:rsidRDefault="00816B42">
            <w:pPr>
              <w:pStyle w:val="Inne0"/>
              <w:spacing w:after="0"/>
              <w:ind w:firstLine="260"/>
            </w:pPr>
            <w:r>
              <w:t>Kruszywo mineralne. Kruszywo łamane do nawierzchni drogowych</w:t>
            </w:r>
          </w:p>
        </w:tc>
      </w:tr>
      <w:tr w:rsidR="00C31C99" w14:paraId="312DB157" w14:textId="77777777">
        <w:trPr>
          <w:trHeight w:hRule="exact" w:val="298"/>
          <w:jc w:val="center"/>
        </w:trPr>
        <w:tc>
          <w:tcPr>
            <w:tcW w:w="485" w:type="dxa"/>
            <w:shd w:val="clear" w:color="auto" w:fill="FFFFFF"/>
            <w:vAlign w:val="center"/>
          </w:tcPr>
          <w:p w14:paraId="312DB154" w14:textId="77777777" w:rsidR="00C31C99" w:rsidRDefault="00816B42">
            <w:pPr>
              <w:pStyle w:val="Inne0"/>
              <w:spacing w:after="0"/>
              <w:ind w:firstLine="220"/>
            </w:pPr>
            <w:r>
              <w:t>9.</w:t>
            </w:r>
          </w:p>
        </w:tc>
        <w:tc>
          <w:tcPr>
            <w:tcW w:w="1723" w:type="dxa"/>
            <w:shd w:val="clear" w:color="auto" w:fill="FFFFFF"/>
            <w:vAlign w:val="center"/>
          </w:tcPr>
          <w:p w14:paraId="312DB155" w14:textId="77777777" w:rsidR="00C31C99" w:rsidRDefault="00816B42">
            <w:pPr>
              <w:pStyle w:val="Inne0"/>
              <w:spacing w:after="0"/>
              <w:ind w:firstLine="160"/>
            </w:pPr>
            <w:r>
              <w:t>PN-S-96023</w:t>
            </w:r>
          </w:p>
        </w:tc>
        <w:tc>
          <w:tcPr>
            <w:tcW w:w="6778" w:type="dxa"/>
            <w:shd w:val="clear" w:color="auto" w:fill="FFFFFF"/>
            <w:vAlign w:val="center"/>
          </w:tcPr>
          <w:p w14:paraId="312DB156" w14:textId="77777777" w:rsidR="00C31C99" w:rsidRDefault="00816B42">
            <w:pPr>
              <w:pStyle w:val="Inne0"/>
              <w:spacing w:after="0"/>
              <w:ind w:firstLine="260"/>
            </w:pPr>
            <w:r>
              <w:t>Konstrukcje drogowe. Podbudowa i nawierzchnia z tłucznia kamiennego</w:t>
            </w:r>
          </w:p>
        </w:tc>
      </w:tr>
      <w:tr w:rsidR="00C31C99" w14:paraId="312DB15B" w14:textId="77777777">
        <w:trPr>
          <w:trHeight w:hRule="exact" w:val="533"/>
          <w:jc w:val="center"/>
        </w:trPr>
        <w:tc>
          <w:tcPr>
            <w:tcW w:w="485" w:type="dxa"/>
            <w:shd w:val="clear" w:color="auto" w:fill="FFFFFF"/>
          </w:tcPr>
          <w:p w14:paraId="312DB158" w14:textId="77777777" w:rsidR="00C31C99" w:rsidRDefault="00816B42">
            <w:pPr>
              <w:pStyle w:val="Inne0"/>
              <w:spacing w:after="0"/>
              <w:ind w:firstLine="0"/>
            </w:pPr>
            <w:r>
              <w:t>10.</w:t>
            </w:r>
          </w:p>
        </w:tc>
        <w:tc>
          <w:tcPr>
            <w:tcW w:w="1723" w:type="dxa"/>
            <w:shd w:val="clear" w:color="auto" w:fill="FFFFFF"/>
          </w:tcPr>
          <w:p w14:paraId="312DB159" w14:textId="77777777" w:rsidR="00C31C99" w:rsidRDefault="00816B42">
            <w:pPr>
              <w:pStyle w:val="Inne0"/>
              <w:spacing w:after="0"/>
              <w:ind w:firstLine="160"/>
            </w:pPr>
            <w:r>
              <w:t>BN-64/8931-02</w:t>
            </w:r>
          </w:p>
        </w:tc>
        <w:tc>
          <w:tcPr>
            <w:tcW w:w="6778" w:type="dxa"/>
            <w:shd w:val="clear" w:color="auto" w:fill="FFFFFF"/>
            <w:vAlign w:val="center"/>
          </w:tcPr>
          <w:p w14:paraId="312DB15A" w14:textId="77777777" w:rsidR="00C31C99" w:rsidRDefault="00816B42">
            <w:pPr>
              <w:pStyle w:val="Inne0"/>
              <w:spacing w:after="0"/>
              <w:ind w:left="260" w:firstLine="20"/>
            </w:pPr>
            <w:r>
              <w:t>Drogi samochodowe. Oznaczanie modułu odkształcenia nawierzchni podatnych i podłoża przez obciążenie płytą</w:t>
            </w:r>
          </w:p>
        </w:tc>
      </w:tr>
      <w:tr w:rsidR="00C31C99" w14:paraId="312DB15F" w14:textId="77777777">
        <w:trPr>
          <w:trHeight w:hRule="exact" w:val="259"/>
          <w:jc w:val="center"/>
        </w:trPr>
        <w:tc>
          <w:tcPr>
            <w:tcW w:w="485" w:type="dxa"/>
            <w:shd w:val="clear" w:color="auto" w:fill="FFFFFF"/>
            <w:vAlign w:val="bottom"/>
          </w:tcPr>
          <w:p w14:paraId="312DB15C" w14:textId="77777777" w:rsidR="00C31C99" w:rsidRDefault="00816B42">
            <w:pPr>
              <w:pStyle w:val="Inne0"/>
              <w:spacing w:after="0"/>
              <w:ind w:firstLine="0"/>
            </w:pPr>
            <w:r>
              <w:t>11.</w:t>
            </w:r>
          </w:p>
        </w:tc>
        <w:tc>
          <w:tcPr>
            <w:tcW w:w="1723" w:type="dxa"/>
            <w:shd w:val="clear" w:color="auto" w:fill="FFFFFF"/>
            <w:vAlign w:val="bottom"/>
          </w:tcPr>
          <w:p w14:paraId="312DB15D" w14:textId="77777777" w:rsidR="00C31C99" w:rsidRDefault="00816B42">
            <w:pPr>
              <w:pStyle w:val="Inne0"/>
              <w:spacing w:after="0"/>
              <w:ind w:firstLine="160"/>
            </w:pPr>
            <w:r>
              <w:t>BN-68/8931-04</w:t>
            </w:r>
          </w:p>
        </w:tc>
        <w:tc>
          <w:tcPr>
            <w:tcW w:w="6778" w:type="dxa"/>
            <w:shd w:val="clear" w:color="auto" w:fill="FFFFFF"/>
            <w:vAlign w:val="bottom"/>
          </w:tcPr>
          <w:p w14:paraId="312DB15E" w14:textId="77777777" w:rsidR="00C31C99" w:rsidRDefault="00816B42">
            <w:pPr>
              <w:pStyle w:val="Inne0"/>
              <w:spacing w:after="0"/>
              <w:ind w:firstLine="260"/>
            </w:pPr>
            <w:r>
              <w:t xml:space="preserve">Drogi samochodowe. Pomiar równości nawierzchni </w:t>
            </w:r>
            <w:proofErr w:type="spellStart"/>
            <w:r>
              <w:t>planografem</w:t>
            </w:r>
            <w:proofErr w:type="spellEnd"/>
            <w:r>
              <w:t xml:space="preserve"> i łatą.</w:t>
            </w:r>
          </w:p>
        </w:tc>
      </w:tr>
      <w:tr w:rsidR="00C31C99" w14:paraId="312DB163" w14:textId="77777777">
        <w:trPr>
          <w:trHeight w:hRule="exact" w:val="250"/>
          <w:jc w:val="center"/>
        </w:trPr>
        <w:tc>
          <w:tcPr>
            <w:tcW w:w="485" w:type="dxa"/>
            <w:shd w:val="clear" w:color="auto" w:fill="FFFFFF"/>
          </w:tcPr>
          <w:p w14:paraId="312DB160" w14:textId="77777777" w:rsidR="00C31C99" w:rsidRDefault="00816B42">
            <w:pPr>
              <w:pStyle w:val="Inne0"/>
              <w:spacing w:after="0"/>
              <w:ind w:firstLine="0"/>
            </w:pPr>
            <w:r>
              <w:rPr>
                <w:b/>
                <w:bCs/>
              </w:rPr>
              <w:t>10.2.</w:t>
            </w:r>
          </w:p>
        </w:tc>
        <w:tc>
          <w:tcPr>
            <w:tcW w:w="1723" w:type="dxa"/>
            <w:shd w:val="clear" w:color="auto" w:fill="FFFFFF"/>
          </w:tcPr>
          <w:p w14:paraId="312DB161" w14:textId="77777777" w:rsidR="00C31C99" w:rsidRDefault="00816B42">
            <w:pPr>
              <w:pStyle w:val="Inne0"/>
              <w:spacing w:after="0"/>
              <w:ind w:firstLine="0"/>
            </w:pPr>
            <w:r>
              <w:rPr>
                <w:b/>
                <w:bCs/>
              </w:rPr>
              <w:t>Inne dokumenty</w:t>
            </w:r>
          </w:p>
        </w:tc>
        <w:tc>
          <w:tcPr>
            <w:tcW w:w="6778" w:type="dxa"/>
            <w:shd w:val="clear" w:color="auto" w:fill="FFFFFF"/>
          </w:tcPr>
          <w:p w14:paraId="312DB162" w14:textId="77777777" w:rsidR="00C31C99" w:rsidRDefault="00C31C99">
            <w:pPr>
              <w:rPr>
                <w:sz w:val="10"/>
                <w:szCs w:val="10"/>
              </w:rPr>
            </w:pPr>
          </w:p>
        </w:tc>
      </w:tr>
    </w:tbl>
    <w:p w14:paraId="312DB164" w14:textId="77777777" w:rsidR="00C31C99" w:rsidRDefault="00816B42">
      <w:pPr>
        <w:pStyle w:val="Podpistabeli0"/>
        <w:ind w:left="269"/>
      </w:pPr>
      <w:r>
        <w:rPr>
          <w:b w:val="0"/>
          <w:bCs w:val="0"/>
        </w:rPr>
        <w:t>Nie występują.</w:t>
      </w:r>
    </w:p>
    <w:sectPr w:rsidR="00C31C99">
      <w:pgSz w:w="11900" w:h="16840"/>
      <w:pgMar w:top="1248" w:right="1380" w:bottom="1010" w:left="1372" w:header="820" w:footer="58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675C7" w14:textId="77777777" w:rsidR="00351064" w:rsidRDefault="00351064">
      <w:r>
        <w:separator/>
      </w:r>
    </w:p>
  </w:endnote>
  <w:endnote w:type="continuationSeparator" w:id="0">
    <w:p w14:paraId="27F60E26" w14:textId="77777777" w:rsidR="00351064" w:rsidRDefault="0035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DA5A" w14:textId="77777777" w:rsidR="00351064" w:rsidRDefault="00351064"/>
  </w:footnote>
  <w:footnote w:type="continuationSeparator" w:id="0">
    <w:p w14:paraId="66F72A0D" w14:textId="77777777" w:rsidR="00351064" w:rsidRDefault="0035106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BCF"/>
    <w:multiLevelType w:val="multilevel"/>
    <w:tmpl w:val="2EE0A0DE"/>
    <w:lvl w:ilvl="0">
      <w:start w:val="1"/>
      <w:numFmt w:val="decimal"/>
      <w:lvlText w:val="6.5.%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CE467A"/>
    <w:multiLevelType w:val="multilevel"/>
    <w:tmpl w:val="EA3218C6"/>
    <w:lvl w:ilvl="0">
      <w:start w:val="3"/>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451F26"/>
    <w:multiLevelType w:val="multilevel"/>
    <w:tmpl w:val="58BA6E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33B3A8C"/>
    <w:multiLevelType w:val="multilevel"/>
    <w:tmpl w:val="8C529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EB307C"/>
    <w:multiLevelType w:val="multilevel"/>
    <w:tmpl w:val="9DC89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504E5A"/>
    <w:multiLevelType w:val="multilevel"/>
    <w:tmpl w:val="26E0B90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94535C"/>
    <w:multiLevelType w:val="multilevel"/>
    <w:tmpl w:val="546E59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C33448"/>
    <w:multiLevelType w:val="multilevel"/>
    <w:tmpl w:val="C548FB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91C76C6"/>
    <w:multiLevelType w:val="multilevel"/>
    <w:tmpl w:val="D00612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2E35EB"/>
    <w:multiLevelType w:val="multilevel"/>
    <w:tmpl w:val="48FC71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4E6E9E"/>
    <w:multiLevelType w:val="multilevel"/>
    <w:tmpl w:val="06ECFF0C"/>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D187494"/>
    <w:multiLevelType w:val="multilevel"/>
    <w:tmpl w:val="52F4B8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15670C"/>
    <w:multiLevelType w:val="multilevel"/>
    <w:tmpl w:val="ECF63F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0156CD"/>
    <w:multiLevelType w:val="multilevel"/>
    <w:tmpl w:val="96467E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1"/>
  </w:num>
  <w:num w:numId="4">
    <w:abstractNumId w:val="13"/>
  </w:num>
  <w:num w:numId="5">
    <w:abstractNumId w:val="9"/>
  </w:num>
  <w:num w:numId="6">
    <w:abstractNumId w:val="8"/>
  </w:num>
  <w:num w:numId="7">
    <w:abstractNumId w:val="2"/>
  </w:num>
  <w:num w:numId="8">
    <w:abstractNumId w:val="5"/>
  </w:num>
  <w:num w:numId="9">
    <w:abstractNumId w:val="4"/>
  </w:num>
  <w:num w:numId="10">
    <w:abstractNumId w:val="3"/>
  </w:num>
  <w:num w:numId="11">
    <w:abstractNumId w:val="11"/>
  </w:num>
  <w:num w:numId="12">
    <w:abstractNumId w:val="12"/>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C99"/>
    <w:rsid w:val="0004119E"/>
    <w:rsid w:val="00351064"/>
    <w:rsid w:val="0054111F"/>
    <w:rsid w:val="00770696"/>
    <w:rsid w:val="00816B42"/>
    <w:rsid w:val="00BF2FDE"/>
    <w:rsid w:val="00C31C99"/>
    <w:rsid w:val="00EE5A2A"/>
    <w:rsid w:val="00F11BA0"/>
    <w:rsid w:val="00FA1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DAFF3"/>
  <w15:docId w15:val="{1102AD89-D9B0-4590-A4F3-780106141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
    <w:name w:val="Tekst treści (3)_"/>
    <w:basedOn w:val="Domylnaczcionkaakapitu"/>
    <w:link w:val="Teksttreci30"/>
    <w:rPr>
      <w:rFonts w:ascii="Times New Roman" w:eastAsia="Times New Roman" w:hAnsi="Times New Roman" w:cs="Times New Roman"/>
      <w:b w:val="0"/>
      <w:bCs w:val="0"/>
      <w:i/>
      <w:iCs/>
      <w:smallCaps w:val="0"/>
      <w:strike w:val="0"/>
      <w:sz w:val="14"/>
      <w:szCs w:val="14"/>
      <w:u w:val="single"/>
      <w:shd w:val="clear" w:color="auto" w:fill="auto"/>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iCs/>
      <w:smallCaps/>
      <w:strike w:val="0"/>
      <w:sz w:val="16"/>
      <w:szCs w:val="16"/>
      <w:u w:val="none"/>
      <w:shd w:val="clear" w:color="auto" w:fill="auto"/>
    </w:rPr>
  </w:style>
  <w:style w:type="character" w:customStyle="1" w:styleId="Nagwek1">
    <w:name w:val="Nagłówek #1_"/>
    <w:basedOn w:val="Domylnaczcionkaakapitu"/>
    <w:link w:val="Nagwek10"/>
    <w:rPr>
      <w:rFonts w:ascii="Times New Roman" w:eastAsia="Times New Roman" w:hAnsi="Times New Roman" w:cs="Times New Roman"/>
      <w:b w:val="0"/>
      <w:bCs w:val="0"/>
      <w:i/>
      <w:iCs/>
      <w:smallCaps w:val="0"/>
      <w:strike w:val="0"/>
      <w:sz w:val="36"/>
      <w:szCs w:val="36"/>
      <w:u w:val="none"/>
      <w:shd w:val="clear" w:color="auto" w:fill="auto"/>
    </w:rPr>
  </w:style>
  <w:style w:type="character" w:customStyle="1" w:styleId="Nagwek3">
    <w:name w:val="Nagłówek #3_"/>
    <w:basedOn w:val="Domylnaczcionkaakapitu"/>
    <w:link w:val="Nagwek3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Nagwek4">
    <w:name w:val="Nagłówek #4_"/>
    <w:basedOn w:val="Domylnaczcionkaakapitu"/>
    <w:link w:val="Nagwek4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Nagwek5">
    <w:name w:val="Nagłówek #5_"/>
    <w:basedOn w:val="Domylnaczcionkaakapitu"/>
    <w:link w:val="Nagwek5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Podpistabeli">
    <w:name w:val="Podpis tabeli_"/>
    <w:basedOn w:val="Domylnaczcionkaakapitu"/>
    <w:link w:val="Podpistabeli0"/>
    <w:rPr>
      <w:rFonts w:ascii="Times New Roman" w:eastAsia="Times New Roman" w:hAnsi="Times New Roman" w:cs="Times New Roman"/>
      <w:b/>
      <w:bCs/>
      <w:i w:val="0"/>
      <w:iCs w:val="0"/>
      <w:smallCaps w:val="0"/>
      <w:strike w:val="0"/>
      <w:sz w:val="20"/>
      <w:szCs w:val="20"/>
      <w:u w:val="none"/>
      <w:shd w:val="clear" w:color="auto" w:fill="auto"/>
    </w:rPr>
  </w:style>
  <w:style w:type="paragraph" w:customStyle="1" w:styleId="Teksttreci30">
    <w:name w:val="Tekst treści (3)"/>
    <w:basedOn w:val="Normalny"/>
    <w:link w:val="Teksttreci3"/>
    <w:rPr>
      <w:rFonts w:ascii="Times New Roman" w:eastAsia="Times New Roman" w:hAnsi="Times New Roman" w:cs="Times New Roman"/>
      <w:i/>
      <w:iCs/>
      <w:sz w:val="14"/>
      <w:szCs w:val="14"/>
      <w:u w:val="single"/>
    </w:rPr>
  </w:style>
  <w:style w:type="paragraph" w:customStyle="1" w:styleId="Teksttreci20">
    <w:name w:val="Tekst treści (2)"/>
    <w:basedOn w:val="Normalny"/>
    <w:link w:val="Teksttreci2"/>
    <w:pPr>
      <w:spacing w:line="228" w:lineRule="auto"/>
    </w:pPr>
    <w:rPr>
      <w:rFonts w:ascii="Times New Roman" w:eastAsia="Times New Roman" w:hAnsi="Times New Roman" w:cs="Times New Roman"/>
      <w:i/>
      <w:iCs/>
      <w:smallCaps/>
      <w:sz w:val="16"/>
      <w:szCs w:val="16"/>
    </w:rPr>
  </w:style>
  <w:style w:type="paragraph" w:customStyle="1" w:styleId="Nagwek10">
    <w:name w:val="Nagłówek #1"/>
    <w:basedOn w:val="Normalny"/>
    <w:link w:val="Nagwek1"/>
    <w:pPr>
      <w:jc w:val="center"/>
      <w:outlineLvl w:val="0"/>
    </w:pPr>
    <w:rPr>
      <w:rFonts w:ascii="Times New Roman" w:eastAsia="Times New Roman" w:hAnsi="Times New Roman" w:cs="Times New Roman"/>
      <w:i/>
      <w:iCs/>
      <w:sz w:val="36"/>
      <w:szCs w:val="36"/>
    </w:rPr>
  </w:style>
  <w:style w:type="paragraph" w:customStyle="1" w:styleId="Nagwek30">
    <w:name w:val="Nagłówek #3"/>
    <w:basedOn w:val="Normalny"/>
    <w:link w:val="Nagwek3"/>
    <w:pPr>
      <w:jc w:val="center"/>
      <w:outlineLvl w:val="2"/>
    </w:pPr>
    <w:rPr>
      <w:rFonts w:ascii="Times New Roman" w:eastAsia="Times New Roman" w:hAnsi="Times New Roman" w:cs="Times New Roman"/>
      <w:sz w:val="28"/>
      <w:szCs w:val="28"/>
    </w:rPr>
  </w:style>
  <w:style w:type="paragraph" w:customStyle="1" w:styleId="Nagwek20">
    <w:name w:val="Nagłówek #2"/>
    <w:basedOn w:val="Normalny"/>
    <w:link w:val="Nagwek2"/>
    <w:pPr>
      <w:spacing w:after="240"/>
      <w:ind w:left="1560" w:hanging="1560"/>
      <w:outlineLvl w:val="1"/>
    </w:pPr>
    <w:rPr>
      <w:rFonts w:ascii="Times New Roman" w:eastAsia="Times New Roman" w:hAnsi="Times New Roman" w:cs="Times New Roman"/>
      <w:b/>
      <w:bCs/>
      <w:sz w:val="28"/>
      <w:szCs w:val="28"/>
    </w:rPr>
  </w:style>
  <w:style w:type="paragraph" w:customStyle="1" w:styleId="Nagwek40">
    <w:name w:val="Nagłówek #4"/>
    <w:basedOn w:val="Normalny"/>
    <w:link w:val="Nagwek4"/>
    <w:pPr>
      <w:spacing w:after="240" w:line="223" w:lineRule="auto"/>
      <w:outlineLvl w:val="3"/>
    </w:pPr>
    <w:rPr>
      <w:rFonts w:ascii="Times New Roman" w:eastAsia="Times New Roman" w:hAnsi="Times New Roman" w:cs="Times New Roman"/>
      <w:b/>
      <w:bCs/>
      <w:sz w:val="22"/>
      <w:szCs w:val="22"/>
    </w:rPr>
  </w:style>
  <w:style w:type="paragraph" w:customStyle="1" w:styleId="Nagwek50">
    <w:name w:val="Nagłówek #5"/>
    <w:basedOn w:val="Normalny"/>
    <w:link w:val="Nagwek5"/>
    <w:pPr>
      <w:spacing w:after="120"/>
      <w:outlineLvl w:val="4"/>
    </w:pPr>
    <w:rPr>
      <w:rFonts w:ascii="Times New Roman" w:eastAsia="Times New Roman" w:hAnsi="Times New Roman" w:cs="Times New Roman"/>
      <w:b/>
      <w:bCs/>
      <w:sz w:val="20"/>
      <w:szCs w:val="20"/>
    </w:rPr>
  </w:style>
  <w:style w:type="paragraph" w:customStyle="1" w:styleId="Teksttreci0">
    <w:name w:val="Tekst treści"/>
    <w:basedOn w:val="Normalny"/>
    <w:link w:val="Teksttreci"/>
    <w:pPr>
      <w:spacing w:after="100"/>
      <w:ind w:firstLine="300"/>
    </w:pPr>
    <w:rPr>
      <w:rFonts w:ascii="Times New Roman" w:eastAsia="Times New Roman" w:hAnsi="Times New Roman" w:cs="Times New Roman"/>
      <w:sz w:val="20"/>
      <w:szCs w:val="20"/>
    </w:rPr>
  </w:style>
  <w:style w:type="paragraph" w:customStyle="1" w:styleId="Inne0">
    <w:name w:val="Inne"/>
    <w:basedOn w:val="Normalny"/>
    <w:link w:val="Inne"/>
    <w:pPr>
      <w:spacing w:after="100"/>
      <w:ind w:firstLine="300"/>
    </w:pPr>
    <w:rPr>
      <w:rFonts w:ascii="Times New Roman" w:eastAsia="Times New Roman" w:hAnsi="Times New Roman" w:cs="Times New Roman"/>
      <w:sz w:val="20"/>
      <w:szCs w:val="20"/>
    </w:rPr>
  </w:style>
  <w:style w:type="paragraph" w:customStyle="1" w:styleId="Podpistabeli0">
    <w:name w:val="Podpis tabeli"/>
    <w:basedOn w:val="Normalny"/>
    <w:link w:val="Podpistabeli"/>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1051A-5906-427D-897A-689DF3E94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2569</Words>
  <Characters>15415</Characters>
  <Application>Microsoft Office Word</Application>
  <DocSecurity>0</DocSecurity>
  <Lines>128</Lines>
  <Paragraphs>35</Paragraphs>
  <ScaleCrop>false</ScaleCrop>
  <Company>Colas</Company>
  <LinksUpToDate>false</LinksUpToDate>
  <CharactersWithSpaces>17949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subject/>
  <dc:creator>.</dc:creator>
  <cp:keywords/>
  <cp:lastModifiedBy>KARGOL, Daniel (SGPOL)</cp:lastModifiedBy>
  <cp:revision>9</cp:revision>
  <dcterms:created xsi:type="dcterms:W3CDTF">2021-08-24T08:00:00Z</dcterms:created>
  <dcterms:modified xsi:type="dcterms:W3CDTF">2022-05-05T21:02:00Z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b95ba9-d50e-4074-b623-0a9711dc916f_Enabled">
    <vt:lpwstr>true</vt:lpwstr>
  </property>
  <property fmtid="{D5CDD505-2E9C-101B-9397-08002B2CF9AE}" pid="3" name="MSIP_Label_06b95ba9-d50e-4074-b623-0a9711dc916f_SetDate">
    <vt:lpwstr>2021-08-24T08:11:12Z</vt:lpwstr>
  </property>
  <property fmtid="{D5CDD505-2E9C-101B-9397-08002B2CF9AE}" pid="4" name="MSIP_Label_06b95ba9-d50e-4074-b623-0a9711dc916f_Method">
    <vt:lpwstr>Privileged</vt:lpwstr>
  </property>
  <property fmtid="{D5CDD505-2E9C-101B-9397-08002B2CF9AE}" pid="5" name="MSIP_Label_06b95ba9-d50e-4074-b623-0a9711dc916f_Name">
    <vt:lpwstr>[Public]</vt:lpwstr>
  </property>
  <property fmtid="{D5CDD505-2E9C-101B-9397-08002B2CF9AE}" pid="6" name="MSIP_Label_06b95ba9-d50e-4074-b623-0a9711dc916f_SiteId">
    <vt:lpwstr>be0be093-a2ad-444c-93d9-5626e83beefc</vt:lpwstr>
  </property>
  <property fmtid="{D5CDD505-2E9C-101B-9397-08002B2CF9AE}" pid="7" name="MSIP_Label_06b95ba9-d50e-4074-b623-0a9711dc916f_ActionId">
    <vt:lpwstr>acad893b-ae6d-4ea7-b268-9365780fb95b</vt:lpwstr>
  </property>
  <property fmtid="{D5CDD505-2E9C-101B-9397-08002B2CF9AE}" pid="8" name="MSIP_Label_06b95ba9-d50e-4074-b623-0a9711dc916f_ContentBits">
    <vt:lpwstr>0</vt:lpwstr>
  </property>
</Properties>
</file>