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D8365" w14:textId="02D8D582" w:rsidR="00F0188D" w:rsidRDefault="00327E0D" w:rsidP="001A4F77">
      <w:pPr>
        <w:tabs>
          <w:tab w:val="center" w:pos="6956"/>
        </w:tabs>
        <w:spacing w:after="0" w:line="259" w:lineRule="auto"/>
        <w:ind w:left="0" w:firstLine="0"/>
        <w:jc w:val="center"/>
      </w:pPr>
      <w:bookmarkStart w:id="0" w:name="_Hlk135216952"/>
      <w:r>
        <w:rPr>
          <w:sz w:val="32"/>
          <w:szCs w:val="28"/>
        </w:rPr>
        <w:t xml:space="preserve">Załącznik nr </w:t>
      </w:r>
      <w:proofErr w:type="gramStart"/>
      <w:r w:rsidR="00EB13D0">
        <w:rPr>
          <w:sz w:val="32"/>
          <w:szCs w:val="28"/>
        </w:rPr>
        <w:t>9</w:t>
      </w:r>
      <w:r>
        <w:rPr>
          <w:sz w:val="32"/>
          <w:szCs w:val="28"/>
        </w:rPr>
        <w:t xml:space="preserve"> :</w:t>
      </w:r>
      <w:proofErr w:type="gramEnd"/>
      <w:r>
        <w:rPr>
          <w:sz w:val="32"/>
          <w:szCs w:val="28"/>
        </w:rPr>
        <w:t xml:space="preserve"> </w:t>
      </w:r>
      <w:r w:rsidR="00A3568D">
        <w:rPr>
          <w:sz w:val="32"/>
          <w:szCs w:val="28"/>
        </w:rPr>
        <w:t>Wymogi techniczne dotyczące Prac Modernizacyjnych</w:t>
      </w:r>
    </w:p>
    <w:bookmarkEnd w:id="0"/>
    <w:p w14:paraId="360EAEA8" w14:textId="77777777" w:rsidR="00F0188D" w:rsidRDefault="00F0188D" w:rsidP="00F0188D">
      <w:pPr>
        <w:spacing w:after="12" w:line="259" w:lineRule="auto"/>
        <w:ind w:left="43" w:firstLine="0"/>
        <w:jc w:val="center"/>
      </w:pPr>
      <w:r>
        <w:rPr>
          <w:b/>
        </w:rPr>
        <w:t xml:space="preserve"> </w:t>
      </w:r>
    </w:p>
    <w:p w14:paraId="6C4F4629" w14:textId="77777777" w:rsidR="00F0188D" w:rsidRDefault="00F0188D" w:rsidP="00F0188D">
      <w:pPr>
        <w:pStyle w:val="Nagwek1"/>
        <w:ind w:left="345" w:hanging="360"/>
      </w:pPr>
      <w:r>
        <w:t xml:space="preserve">Wymogi techniczne dotyczące opraw oświetleniowych  </w:t>
      </w:r>
    </w:p>
    <w:p w14:paraId="384378A6" w14:textId="77777777" w:rsidR="00F0188D" w:rsidRDefault="00F0188D" w:rsidP="00F0188D">
      <w:pPr>
        <w:spacing w:after="0" w:line="259" w:lineRule="auto"/>
        <w:ind w:left="0" w:firstLine="0"/>
        <w:jc w:val="left"/>
      </w:pPr>
      <w:r>
        <w:t xml:space="preserve"> </w:t>
      </w:r>
    </w:p>
    <w:p w14:paraId="2ABAA0D9" w14:textId="77777777" w:rsidR="00F0188D" w:rsidRPr="008D2402" w:rsidRDefault="00F0188D" w:rsidP="00F0188D">
      <w:pPr>
        <w:spacing w:after="55" w:line="249" w:lineRule="auto"/>
        <w:ind w:left="-5"/>
        <w:jc w:val="left"/>
      </w:pPr>
      <w:r w:rsidRPr="008D2402">
        <w:t xml:space="preserve">Oprawy oświetleniowe stosowane do modernizacji muszą spełniać poniższe wymagania:  </w:t>
      </w:r>
    </w:p>
    <w:p w14:paraId="18173239" w14:textId="459251F1" w:rsidR="00F0188D" w:rsidRPr="00F0188D" w:rsidRDefault="008C5685" w:rsidP="00F0188D">
      <w:pPr>
        <w:pStyle w:val="Akapitzlist"/>
        <w:numPr>
          <w:ilvl w:val="0"/>
          <w:numId w:val="10"/>
        </w:numPr>
        <w:spacing w:after="55" w:line="249" w:lineRule="auto"/>
      </w:pPr>
      <w:r>
        <w:t>o</w:t>
      </w:r>
      <w:r w:rsidR="00F0188D" w:rsidRPr="00F0188D">
        <w:t>prawa wyposażona w panel z diodami LED który w razie uszkodzenia można wymienić bez konieczności wymiany całej oprawy.</w:t>
      </w:r>
    </w:p>
    <w:p w14:paraId="4CEE71A0" w14:textId="79336F6E" w:rsidR="00F0188D" w:rsidRPr="00F0188D" w:rsidRDefault="008C5685" w:rsidP="00F0188D">
      <w:pPr>
        <w:pStyle w:val="Akapitzlist"/>
        <w:numPr>
          <w:ilvl w:val="0"/>
          <w:numId w:val="10"/>
        </w:numPr>
        <w:spacing w:after="55" w:line="249" w:lineRule="auto"/>
      </w:pPr>
      <w:r>
        <w:t>p</w:t>
      </w:r>
      <w:r w:rsidR="00F0188D" w:rsidRPr="00F0188D">
        <w:t>anel LED wyposażony w kostkę przyłączeniową, która w razie jego awarii umożliwi jego wymianę bez połączeń lutowanych</w:t>
      </w:r>
    </w:p>
    <w:p w14:paraId="7289DFF3" w14:textId="123B3BB6" w:rsidR="00F0188D" w:rsidRPr="00F0188D" w:rsidRDefault="008C5685" w:rsidP="00F0188D">
      <w:pPr>
        <w:pStyle w:val="Akapitzlist"/>
        <w:numPr>
          <w:ilvl w:val="0"/>
          <w:numId w:val="10"/>
        </w:numPr>
        <w:spacing w:after="55" w:line="249" w:lineRule="auto"/>
      </w:pPr>
      <w:r>
        <w:t>k</w:t>
      </w:r>
      <w:r w:rsidR="00F0188D" w:rsidRPr="00F0188D">
        <w:t>ażda dioda na panelu LED powinna posiadać indywidualny element optyczny o takiej samej charakterystyce, żeby w przypadku przepalenia się którejś z diod zmienił się jedynie strumień świetlny emitowany przez oprawę a nie jej rozsył światła (powinna być zachowana równomierność oświetlenia na całej powierzchni oświetlanej drogi).</w:t>
      </w:r>
    </w:p>
    <w:p w14:paraId="2E61671D" w14:textId="765E5536" w:rsidR="00F0188D" w:rsidRPr="00F0188D" w:rsidRDefault="008C5685" w:rsidP="00F0188D">
      <w:pPr>
        <w:pStyle w:val="Akapitzlist"/>
        <w:numPr>
          <w:ilvl w:val="0"/>
          <w:numId w:val="10"/>
        </w:numPr>
        <w:spacing w:after="55" w:line="249" w:lineRule="auto"/>
      </w:pPr>
      <w:r>
        <w:t>k</w:t>
      </w:r>
      <w:r w:rsidR="00F0188D" w:rsidRPr="00F0188D">
        <w:t>orpus i obudowa oprawy wykonane z wysokociśnieniowego odlewu aluminiowego stanowiący równocześnie radiator oprawy; korpus malowany proszkowo;</w:t>
      </w:r>
    </w:p>
    <w:p w14:paraId="69BD847F" w14:textId="354DE982" w:rsidR="00F0188D" w:rsidRPr="00F0188D" w:rsidRDefault="008C5685" w:rsidP="00F0188D">
      <w:pPr>
        <w:pStyle w:val="Akapitzlist"/>
        <w:numPr>
          <w:ilvl w:val="0"/>
          <w:numId w:val="10"/>
        </w:numPr>
        <w:spacing w:after="55" w:line="249" w:lineRule="auto"/>
      </w:pPr>
      <w:r>
        <w:t>k</w:t>
      </w:r>
      <w:r w:rsidR="00F0188D" w:rsidRPr="00F0188D">
        <w:t xml:space="preserve">orpus nie może posiadać zewnętrznego radiatora w postaci użebrowania (gładka powierzchnia górnej części obudowy oprawy, bez użebrowania); konstrukcja korpusu powinna umożliwiać samoczynne oczyszczanie się jego górnej części podczas deszczu, </w:t>
      </w:r>
    </w:p>
    <w:p w14:paraId="2690E87C" w14:textId="0EB642CA" w:rsidR="00F0188D" w:rsidRDefault="008C5685" w:rsidP="00F0188D">
      <w:pPr>
        <w:pStyle w:val="Akapitzlist"/>
        <w:numPr>
          <w:ilvl w:val="0"/>
          <w:numId w:val="10"/>
        </w:numPr>
        <w:spacing w:after="55" w:line="249" w:lineRule="auto"/>
      </w:pPr>
      <w:r>
        <w:t>d</w:t>
      </w:r>
      <w:r w:rsidR="00F0188D" w:rsidRPr="00F0188D">
        <w:t>ostęp do komory osprzętu elektrycznego po zamontowaniu oprawy na wysięgniku w pozycji pracy musi odbywać się od góry.</w:t>
      </w:r>
    </w:p>
    <w:p w14:paraId="6D5F21CE" w14:textId="77777777" w:rsidR="006E2C10" w:rsidRDefault="008C5685" w:rsidP="008C5685">
      <w:pPr>
        <w:pStyle w:val="Akapitzlist"/>
        <w:numPr>
          <w:ilvl w:val="0"/>
          <w:numId w:val="10"/>
        </w:numPr>
      </w:pPr>
      <w:r>
        <w:t>d</w:t>
      </w:r>
      <w:r w:rsidRPr="00E845D5">
        <w:t>ostęp do komory osprzętu elektrycznego odbywa się bez użycia narzędzi</w:t>
      </w:r>
      <w:r w:rsidR="006E2C10">
        <w:t>,</w:t>
      </w:r>
      <w:r w:rsidR="006E2C10" w:rsidRPr="006E2C10">
        <w:t xml:space="preserve"> </w:t>
      </w:r>
    </w:p>
    <w:p w14:paraId="7B9B713B" w14:textId="68690F9D" w:rsidR="008C5685" w:rsidRPr="00E845D5" w:rsidRDefault="006E2C10" w:rsidP="008C5685">
      <w:pPr>
        <w:pStyle w:val="Akapitzlist"/>
        <w:numPr>
          <w:ilvl w:val="0"/>
          <w:numId w:val="10"/>
        </w:numPr>
      </w:pPr>
      <w:r>
        <w:t>b</w:t>
      </w:r>
      <w:r w:rsidRPr="00E845D5">
        <w:t>ez narzędziowe podłączenie oprawy do sieci zasilającej</w:t>
      </w:r>
      <w:r w:rsidR="008C5685" w:rsidRPr="00E845D5">
        <w:t xml:space="preserve"> </w:t>
      </w:r>
    </w:p>
    <w:p w14:paraId="2033A98D" w14:textId="41A787BE" w:rsidR="00F0188D" w:rsidRPr="00F0188D" w:rsidRDefault="008C5685" w:rsidP="00F0188D">
      <w:pPr>
        <w:pStyle w:val="Akapitzlist"/>
        <w:numPr>
          <w:ilvl w:val="0"/>
          <w:numId w:val="10"/>
        </w:numPr>
        <w:spacing w:after="55" w:line="249" w:lineRule="auto"/>
      </w:pPr>
      <w:r>
        <w:t>d</w:t>
      </w:r>
      <w:r w:rsidR="00F0188D" w:rsidRPr="00F0188D">
        <w:t>o zamknięcia/otwarcia komory elektrycznej należy użyć śrub ze stali nierdzewnej zlokalizowanych od dołu oprawy tak aby uniemożliwić gromadzenie się wody i nieczystości z zagłębieniach otworów.</w:t>
      </w:r>
    </w:p>
    <w:p w14:paraId="78FC4B27" w14:textId="6AD0DB2B" w:rsidR="00F0188D" w:rsidRPr="00F0188D" w:rsidRDefault="00F0188D" w:rsidP="00F0188D">
      <w:pPr>
        <w:pStyle w:val="Akapitzlist"/>
        <w:numPr>
          <w:ilvl w:val="0"/>
          <w:numId w:val="10"/>
        </w:numPr>
        <w:spacing w:after="55" w:line="249" w:lineRule="auto"/>
      </w:pPr>
      <w:r>
        <w:t>o</w:t>
      </w:r>
      <w:r w:rsidRPr="00F0188D">
        <w:t xml:space="preserve">prawa o szczelności komory optycznej IP 66, komory osprzętu elektrycznego IP </w:t>
      </w:r>
      <w:proofErr w:type="gramStart"/>
      <w:r w:rsidRPr="00F0188D">
        <w:t>66,</w:t>
      </w:r>
      <w:proofErr w:type="gramEnd"/>
      <w:r w:rsidRPr="00F0188D">
        <w:t xml:space="preserve"> lub dla opraw jednokomorowych IP 66 dla całej oprawy </w:t>
      </w:r>
    </w:p>
    <w:p w14:paraId="01DC1B92" w14:textId="77777777" w:rsidR="00F0188D" w:rsidRPr="00F0188D" w:rsidRDefault="00F0188D" w:rsidP="00F0188D">
      <w:pPr>
        <w:pStyle w:val="Akapitzlist"/>
        <w:numPr>
          <w:ilvl w:val="0"/>
          <w:numId w:val="10"/>
        </w:numPr>
        <w:spacing w:after="55" w:line="249" w:lineRule="auto"/>
      </w:pPr>
      <w:r w:rsidRPr="00F0188D">
        <w:t xml:space="preserve">klosz oprawy wykonany ze szkła hartowanego min. IK 09, </w:t>
      </w:r>
    </w:p>
    <w:p w14:paraId="741A6203" w14:textId="480AA63A" w:rsidR="00F0188D" w:rsidRPr="00F0188D" w:rsidRDefault="00F0188D" w:rsidP="00F0188D">
      <w:pPr>
        <w:pStyle w:val="Akapitzlist"/>
        <w:numPr>
          <w:ilvl w:val="0"/>
          <w:numId w:val="10"/>
        </w:numPr>
        <w:spacing w:after="55" w:line="249" w:lineRule="auto"/>
      </w:pPr>
      <w:r>
        <w:t>o</w:t>
      </w:r>
      <w:r w:rsidRPr="00F0188D">
        <w:t xml:space="preserve">prawy wyposażone w uchwyt o średnicy </w:t>
      </w:r>
      <w:r w:rsidRPr="00F0188D">
        <w:rPr>
          <w:rFonts w:ascii="Cambria Math" w:hAnsi="Cambria Math" w:cs="Cambria Math"/>
        </w:rPr>
        <w:t>∅</w:t>
      </w:r>
      <w:r w:rsidRPr="00F0188D">
        <w:t>48-60mm pozwalający na montaż zarówno na wysięgniku jak i bezpośrednio na słupie. Oprawa posiada możliwość regulacji w zakresie -15 do +15 stopni poprzez konstrukcje oprawy (zaczep) bez konieczności stosowania dodatkowych urządzeń przy montaży na wysięgniku.</w:t>
      </w:r>
    </w:p>
    <w:p w14:paraId="332F1337" w14:textId="636D4BAD" w:rsidR="00F0188D" w:rsidRDefault="00F0188D" w:rsidP="00F0188D">
      <w:pPr>
        <w:pStyle w:val="Akapitzlist"/>
        <w:numPr>
          <w:ilvl w:val="0"/>
          <w:numId w:val="10"/>
        </w:numPr>
        <w:spacing w:after="55" w:line="249" w:lineRule="auto"/>
      </w:pPr>
      <w:r>
        <w:t>t</w:t>
      </w:r>
      <w:r w:rsidRPr="00F0188D">
        <w:t xml:space="preserve">emperatura barwowa użytych diod z zakresu barwy neutralny biały 4000K +/- </w:t>
      </w:r>
      <w:r w:rsidR="001A4F77">
        <w:t>10</w:t>
      </w:r>
      <w:r w:rsidRPr="00F0188D">
        <w:t>%</w:t>
      </w:r>
    </w:p>
    <w:p w14:paraId="1EEFA1E5" w14:textId="0C4D2C33" w:rsidR="00F0188D" w:rsidRDefault="00F0188D" w:rsidP="00F0188D">
      <w:pPr>
        <w:pStyle w:val="Akapitzlist"/>
        <w:numPr>
          <w:ilvl w:val="0"/>
          <w:numId w:val="10"/>
        </w:numPr>
        <w:spacing w:after="55" w:line="249" w:lineRule="auto"/>
      </w:pPr>
      <w:r>
        <w:t xml:space="preserve">prąd sterowania oprawą nie większy niż </w:t>
      </w:r>
      <w:r w:rsidRPr="00F0188D">
        <w:t xml:space="preserve">700 mA, </w:t>
      </w:r>
    </w:p>
    <w:p w14:paraId="3000F4C8" w14:textId="67196854" w:rsidR="00F0188D" w:rsidRPr="00F0188D" w:rsidRDefault="00F0188D" w:rsidP="00F0188D">
      <w:pPr>
        <w:pStyle w:val="Akapitzlist"/>
        <w:numPr>
          <w:ilvl w:val="0"/>
          <w:numId w:val="10"/>
        </w:numPr>
        <w:spacing w:after="55" w:line="249" w:lineRule="auto"/>
      </w:pPr>
      <w:r>
        <w:t>w</w:t>
      </w:r>
      <w:r w:rsidRPr="00F0188D">
        <w:t>ymagany wskaźnik oddawania barw minimum LED Ra≥70,</w:t>
      </w:r>
    </w:p>
    <w:p w14:paraId="2FBB614B" w14:textId="67F60DE2" w:rsidR="00F0188D" w:rsidRPr="00F0188D" w:rsidRDefault="00F0188D" w:rsidP="00F0188D">
      <w:pPr>
        <w:pStyle w:val="Akapitzlist"/>
        <w:numPr>
          <w:ilvl w:val="0"/>
          <w:numId w:val="10"/>
        </w:numPr>
        <w:spacing w:after="55" w:line="249" w:lineRule="auto"/>
      </w:pPr>
      <w:r>
        <w:t>s</w:t>
      </w:r>
      <w:r w:rsidRPr="00F0188D">
        <w:t xml:space="preserve">kuteczność świetlna oprawy (stosunek strumienia świetlnego wychodzącego z oprawy do mocy całkowitej oprawy) nie mniejsza niż 130 lm/W </w:t>
      </w:r>
    </w:p>
    <w:p w14:paraId="42903C68" w14:textId="65454658" w:rsidR="00F0188D" w:rsidRPr="00F0188D" w:rsidRDefault="00F0188D" w:rsidP="00F0188D">
      <w:pPr>
        <w:pStyle w:val="Akapitzlist"/>
        <w:numPr>
          <w:ilvl w:val="0"/>
          <w:numId w:val="10"/>
        </w:numPr>
        <w:spacing w:after="55" w:line="249" w:lineRule="auto"/>
      </w:pPr>
      <w:r>
        <w:t>u</w:t>
      </w:r>
      <w:r w:rsidRPr="00F0188D">
        <w:t>trzymanie strumienia świetlnego w czasie: 90% po 100 000h (zgodnie z IES LM 80 –TM-21) - współczynnik L90B</w:t>
      </w:r>
      <w:r w:rsidR="001A4F77">
        <w:t>1</w:t>
      </w:r>
      <w:r w:rsidRPr="00F0188D">
        <w:t xml:space="preserve">0 </w:t>
      </w:r>
      <w:r w:rsidR="001A4F77">
        <w:t>dla temperatury TC = 105</w:t>
      </w:r>
      <w:r w:rsidR="001A4F77" w:rsidRPr="00E845D5">
        <w:t>°C</w:t>
      </w:r>
    </w:p>
    <w:p w14:paraId="326A4A88" w14:textId="7763ED88" w:rsidR="00F0188D" w:rsidRPr="00F0188D" w:rsidRDefault="00F0188D" w:rsidP="00F0188D">
      <w:pPr>
        <w:pStyle w:val="Akapitzlist"/>
        <w:numPr>
          <w:ilvl w:val="0"/>
          <w:numId w:val="10"/>
        </w:numPr>
        <w:spacing w:after="55" w:line="249" w:lineRule="auto"/>
      </w:pPr>
      <w:r>
        <w:t>u</w:t>
      </w:r>
      <w:r w:rsidRPr="00F0188D">
        <w:t xml:space="preserve">kłady optyczne opraw powinny spełniać wymagania normy PN-EN 62471:2010 „Bezpieczeństwo fotobiologiczne lamp i systemów lampowych.”, </w:t>
      </w:r>
    </w:p>
    <w:p w14:paraId="32BA1AB3" w14:textId="5DB57D39" w:rsidR="00F0188D" w:rsidRPr="00F0188D" w:rsidRDefault="00F0188D" w:rsidP="00F0188D">
      <w:pPr>
        <w:pStyle w:val="Akapitzlist"/>
        <w:numPr>
          <w:ilvl w:val="0"/>
          <w:numId w:val="10"/>
        </w:numPr>
        <w:spacing w:after="55" w:line="249" w:lineRule="auto"/>
      </w:pPr>
      <w:r>
        <w:t>o</w:t>
      </w:r>
      <w:r w:rsidRPr="00F0188D">
        <w:t xml:space="preserve">prawy wykonane w II klasie ochronności elektrycznej, </w:t>
      </w:r>
    </w:p>
    <w:p w14:paraId="289F0FF5" w14:textId="339691A4" w:rsidR="00F0188D" w:rsidRPr="00F0188D" w:rsidRDefault="00F0188D" w:rsidP="00F0188D">
      <w:pPr>
        <w:pStyle w:val="Akapitzlist"/>
        <w:numPr>
          <w:ilvl w:val="0"/>
          <w:numId w:val="10"/>
        </w:numPr>
        <w:spacing w:after="55" w:line="249" w:lineRule="auto"/>
      </w:pPr>
      <w:r>
        <w:t>n</w:t>
      </w:r>
      <w:r w:rsidRPr="00F0188D">
        <w:t xml:space="preserve">apięcie znamionowe 230V 50Hz, współczynnik mocy oprawy </w:t>
      </w:r>
      <w:proofErr w:type="gramStart"/>
      <w:r w:rsidRPr="00F0188D">
        <w:t>cos</w:t>
      </w:r>
      <w:proofErr w:type="gramEnd"/>
      <w:r w:rsidRPr="00F0188D">
        <w:t xml:space="preserve"> fi ≥0,95 (przy maksymalnym obciążeniu), Przy redukcji mocy oprawy o 30% cos(ϕ)≥0,93; </w:t>
      </w:r>
    </w:p>
    <w:p w14:paraId="7933F60E" w14:textId="0AB8AC6A" w:rsidR="00F0188D" w:rsidRPr="00F0188D" w:rsidRDefault="00F0188D" w:rsidP="00F0188D">
      <w:pPr>
        <w:pStyle w:val="Akapitzlist"/>
        <w:numPr>
          <w:ilvl w:val="0"/>
          <w:numId w:val="10"/>
        </w:numPr>
        <w:spacing w:after="55" w:line="249" w:lineRule="auto"/>
      </w:pPr>
      <w:r w:rsidRPr="00F0188D">
        <w:t xml:space="preserve">elektroniczny układ zasilający umożliwiający zaprogramowanie </w:t>
      </w:r>
      <w:r w:rsidR="008C5685">
        <w:t xml:space="preserve">pięciostopniowej </w:t>
      </w:r>
      <w:r w:rsidRPr="00F0188D">
        <w:t xml:space="preserve">autonomicznej redukcji mocy </w:t>
      </w:r>
      <w:r w:rsidR="006E2C10" w:rsidRPr="00E845D5">
        <w:t>i strumienia świetlnego bez zewnętrznego sygnału sterującego, zgodnie z ustalonym wcześniej harmonogramem</w:t>
      </w:r>
    </w:p>
    <w:p w14:paraId="59735EEF" w14:textId="7F1D4EA5" w:rsidR="00F0188D" w:rsidRPr="00F0188D" w:rsidRDefault="00F0188D" w:rsidP="00F0188D">
      <w:pPr>
        <w:pStyle w:val="Akapitzlist"/>
        <w:numPr>
          <w:ilvl w:val="0"/>
          <w:numId w:val="10"/>
        </w:numPr>
        <w:spacing w:after="55" w:line="249" w:lineRule="auto"/>
      </w:pPr>
      <w:r>
        <w:t>u</w:t>
      </w:r>
      <w:r w:rsidRPr="00F0188D">
        <w:t xml:space="preserve">kład zasilania ma posiadać trwałość nie gorszą niż zasilany z niego panel LED tj. 100 000 godzin </w:t>
      </w:r>
    </w:p>
    <w:p w14:paraId="3A0DEDBC" w14:textId="6DD40CFD" w:rsidR="00F0188D" w:rsidRDefault="00F0188D" w:rsidP="00F0188D">
      <w:pPr>
        <w:pStyle w:val="Akapitzlist"/>
        <w:numPr>
          <w:ilvl w:val="0"/>
          <w:numId w:val="10"/>
        </w:numPr>
        <w:spacing w:after="55" w:line="249" w:lineRule="auto"/>
      </w:pPr>
      <w:r w:rsidRPr="00F0188D">
        <w:lastRenderedPageBreak/>
        <w:t>zakres temperatury pracy oprawy: od -40°C do +50°C,</w:t>
      </w:r>
    </w:p>
    <w:p w14:paraId="43662940" w14:textId="77777777" w:rsidR="00F0188D" w:rsidRPr="0043138B" w:rsidRDefault="00F0188D" w:rsidP="00F0188D">
      <w:pPr>
        <w:pStyle w:val="Akapitzlist"/>
        <w:numPr>
          <w:ilvl w:val="0"/>
          <w:numId w:val="10"/>
        </w:numPr>
        <w:spacing w:after="55" w:line="249" w:lineRule="auto"/>
      </w:pPr>
      <w:r w:rsidRPr="0043138B">
        <w:t xml:space="preserve">oprawy muszą posiadać deklaracje zgodności CE oraz certyfikacje na znak ENEC i ENEC Plus, </w:t>
      </w:r>
    </w:p>
    <w:p w14:paraId="26CA4EC7" w14:textId="58705D74" w:rsidR="00157199" w:rsidRPr="00E845D5" w:rsidRDefault="00157199" w:rsidP="00157199">
      <w:pPr>
        <w:pStyle w:val="Akapitzlist"/>
        <w:numPr>
          <w:ilvl w:val="0"/>
          <w:numId w:val="10"/>
        </w:numPr>
      </w:pPr>
      <w:r>
        <w:t>o</w:t>
      </w:r>
      <w:r w:rsidRPr="00E845D5">
        <w:t xml:space="preserve">prawa wyposażona w etykietę z kodem QR wraz z dodatkową naklejką do umieszczenia np. we wnęce słupowej i/lub na projekcie. Kod QR poprzez użycie dedykowanej aplikacji umożliwia uzyskanie pełnej charakterystyki oprawy i dostęp do informacji takich jak: </w:t>
      </w:r>
    </w:p>
    <w:p w14:paraId="3A3CFE29" w14:textId="77777777" w:rsidR="00157199" w:rsidRPr="00E845D5" w:rsidRDefault="00157199" w:rsidP="00157199">
      <w:pPr>
        <w:pStyle w:val="Akapitzlist"/>
        <w:ind w:left="705"/>
      </w:pPr>
      <w:r w:rsidRPr="00E845D5">
        <w:t xml:space="preserve">- parametry fotometryczne, elektryczne oraz mechaniczne </w:t>
      </w:r>
    </w:p>
    <w:p w14:paraId="50EF4AE1" w14:textId="77777777" w:rsidR="00157199" w:rsidRPr="00E845D5" w:rsidRDefault="00157199" w:rsidP="00157199">
      <w:pPr>
        <w:pStyle w:val="Akapitzlist"/>
        <w:ind w:left="705"/>
      </w:pPr>
      <w:r w:rsidRPr="00E845D5">
        <w:t xml:space="preserve">- dokumentacja oprawy, instrukcja montażu </w:t>
      </w:r>
    </w:p>
    <w:p w14:paraId="0718675E" w14:textId="77777777" w:rsidR="00157199" w:rsidRPr="00E845D5" w:rsidRDefault="00157199" w:rsidP="00157199">
      <w:pPr>
        <w:pStyle w:val="Akapitzlist"/>
        <w:ind w:left="705"/>
      </w:pPr>
      <w:r w:rsidRPr="00E845D5">
        <w:t xml:space="preserve">- instrukcja serwisowania w przypadku nieprawidłowego działania oprawy oświetleniowej </w:t>
      </w:r>
    </w:p>
    <w:p w14:paraId="4E423B84" w14:textId="77777777" w:rsidR="00157199" w:rsidRPr="00E845D5" w:rsidRDefault="00157199" w:rsidP="00157199">
      <w:pPr>
        <w:pStyle w:val="Akapitzlist"/>
        <w:ind w:left="705"/>
      </w:pPr>
      <w:r w:rsidRPr="00E845D5">
        <w:t xml:space="preserve">- lista części zamiennych wraz z kodami producenta </w:t>
      </w:r>
    </w:p>
    <w:p w14:paraId="7B74C1AA" w14:textId="2075545B" w:rsidR="00157199" w:rsidRPr="00F0188D" w:rsidRDefault="00157199" w:rsidP="00F0188D">
      <w:pPr>
        <w:pStyle w:val="Akapitzlist"/>
        <w:numPr>
          <w:ilvl w:val="0"/>
          <w:numId w:val="10"/>
        </w:numPr>
        <w:spacing w:after="55" w:line="249" w:lineRule="auto"/>
      </w:pPr>
      <w:r>
        <w:t>z</w:t>
      </w:r>
      <w:r w:rsidRPr="00E845D5">
        <w:t xml:space="preserve">e względów estetycznych i dla ujednolicenia wyglądu instalacji oświetleniowej wymaga się, aby oprawy </w:t>
      </w:r>
      <w:r w:rsidRPr="00F95C24">
        <w:t>danego rodzaju (np. drogowe) o różnych mocach posiadały jednakowy kształt (jedna rodzina opraw) oraz były ujednolicone kształtem do opraw istniejących ledowych zamontowanych na terenie Gminy Kościerzyna.</w:t>
      </w:r>
    </w:p>
    <w:p w14:paraId="79821EEE" w14:textId="1CFDBE77" w:rsidR="00F0188D" w:rsidRDefault="00F0188D" w:rsidP="00F0188D">
      <w:pPr>
        <w:spacing w:after="0" w:line="259" w:lineRule="auto"/>
        <w:ind w:left="360" w:firstLine="0"/>
        <w:jc w:val="left"/>
      </w:pPr>
    </w:p>
    <w:p w14:paraId="6F4795BF" w14:textId="0DC376A6" w:rsidR="00F0188D" w:rsidRDefault="00F0188D" w:rsidP="006E2C10">
      <w:pPr>
        <w:spacing w:after="12" w:line="259" w:lineRule="auto"/>
        <w:ind w:left="360" w:firstLine="0"/>
        <w:jc w:val="left"/>
      </w:pPr>
      <w:r>
        <w:t xml:space="preserve"> </w:t>
      </w:r>
    </w:p>
    <w:p w14:paraId="2848C383" w14:textId="5F995587" w:rsidR="00F0188D" w:rsidRDefault="00F0188D" w:rsidP="00F0188D">
      <w:pPr>
        <w:pStyle w:val="Nagwek1"/>
        <w:ind w:left="345" w:hanging="360"/>
      </w:pPr>
      <w:r>
        <w:t xml:space="preserve">Wymogi techniczne dotyczące uzgodnienia </w:t>
      </w:r>
      <w:r w:rsidR="005D15E1">
        <w:t xml:space="preserve">wymiany </w:t>
      </w:r>
      <w:r>
        <w:t xml:space="preserve">oświetlenia </w:t>
      </w:r>
    </w:p>
    <w:p w14:paraId="0A814DA3" w14:textId="77777777" w:rsidR="00F0188D" w:rsidRDefault="00F0188D" w:rsidP="00F0188D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1D8C1FE9" w14:textId="281DD089" w:rsidR="00F0188D" w:rsidRPr="00FF15CE" w:rsidRDefault="006E2C10" w:rsidP="006E2C10">
      <w:pPr>
        <w:pStyle w:val="Akapitzlist"/>
        <w:numPr>
          <w:ilvl w:val="0"/>
          <w:numId w:val="11"/>
        </w:numPr>
        <w:spacing w:after="92"/>
      </w:pPr>
      <w:r w:rsidRPr="00FF15CE">
        <w:t xml:space="preserve">Wykonawca </w:t>
      </w:r>
      <w:proofErr w:type="gramStart"/>
      <w:r w:rsidR="005D15E1" w:rsidRPr="00FF15CE">
        <w:t xml:space="preserve">na </w:t>
      </w:r>
      <w:r w:rsidRPr="00FF15CE">
        <w:t xml:space="preserve"> majątku</w:t>
      </w:r>
      <w:proofErr w:type="gramEnd"/>
      <w:r w:rsidRPr="00FF15CE">
        <w:t xml:space="preserve"> powiązan</w:t>
      </w:r>
      <w:r w:rsidR="005D15E1" w:rsidRPr="00FF15CE">
        <w:t>ym</w:t>
      </w:r>
      <w:r w:rsidRPr="00FF15CE">
        <w:t xml:space="preserve"> z siecią </w:t>
      </w:r>
      <w:r w:rsidR="00F0188D" w:rsidRPr="00FF15CE">
        <w:t>Energa Oświetlenie</w:t>
      </w:r>
      <w:r w:rsidRPr="00FF15CE">
        <w:t xml:space="preserve"> </w:t>
      </w:r>
      <w:r w:rsidR="00F0188D" w:rsidRPr="00FF15CE">
        <w:rPr>
          <w:rFonts w:eastAsia="Calibri"/>
        </w:rPr>
        <w:t xml:space="preserve"> </w:t>
      </w:r>
      <w:r w:rsidR="005D15E1" w:rsidRPr="00FF15CE">
        <w:t>przed rozpoczęciem prac musi uzgodnić zamiar prowadzenia robót</w:t>
      </w:r>
      <w:r w:rsidRPr="00FF15CE">
        <w:t>.</w:t>
      </w:r>
    </w:p>
    <w:p w14:paraId="689D04E2" w14:textId="77777777" w:rsidR="00F0188D" w:rsidRPr="00FF15CE" w:rsidRDefault="00F0188D" w:rsidP="00F0188D">
      <w:pPr>
        <w:spacing w:after="12" w:line="259" w:lineRule="auto"/>
        <w:ind w:left="360" w:firstLine="0"/>
        <w:jc w:val="left"/>
        <w:rPr>
          <w:color w:val="auto"/>
        </w:rPr>
      </w:pPr>
      <w:r w:rsidRPr="00FF15CE">
        <w:rPr>
          <w:i/>
          <w:color w:val="auto"/>
        </w:rPr>
        <w:t xml:space="preserve"> </w:t>
      </w:r>
    </w:p>
    <w:p w14:paraId="6AD152D3" w14:textId="77777777" w:rsidR="00F0188D" w:rsidRPr="00FF15CE" w:rsidRDefault="00F0188D" w:rsidP="00F0188D">
      <w:pPr>
        <w:pStyle w:val="Nagwek1"/>
        <w:ind w:left="345" w:hanging="360"/>
        <w:rPr>
          <w:color w:val="auto"/>
        </w:rPr>
      </w:pPr>
      <w:r w:rsidRPr="00FF15CE">
        <w:rPr>
          <w:color w:val="auto"/>
        </w:rPr>
        <w:t xml:space="preserve">Wymogi techniczne dotyczące obliczeń fotometrycznych </w:t>
      </w:r>
    </w:p>
    <w:p w14:paraId="7B636B19" w14:textId="77777777" w:rsidR="00F0188D" w:rsidRPr="00FF15CE" w:rsidRDefault="00F0188D" w:rsidP="00F0188D">
      <w:pPr>
        <w:spacing w:after="0" w:line="259" w:lineRule="auto"/>
        <w:ind w:left="360" w:firstLine="0"/>
        <w:jc w:val="left"/>
        <w:rPr>
          <w:color w:val="auto"/>
        </w:rPr>
      </w:pPr>
      <w:r w:rsidRPr="00FF15CE">
        <w:rPr>
          <w:b/>
          <w:i/>
          <w:color w:val="auto"/>
        </w:rPr>
        <w:t xml:space="preserve"> </w:t>
      </w:r>
    </w:p>
    <w:p w14:paraId="3010A76D" w14:textId="6E8EA04F" w:rsidR="00F0188D" w:rsidRPr="00FF15CE" w:rsidRDefault="00336B39" w:rsidP="006E2C10">
      <w:pPr>
        <w:pStyle w:val="Akapitzlist"/>
        <w:numPr>
          <w:ilvl w:val="0"/>
          <w:numId w:val="12"/>
        </w:numPr>
        <w:spacing w:after="0"/>
      </w:pPr>
      <w:r w:rsidRPr="00FF15CE">
        <w:t>O</w:t>
      </w:r>
      <w:r w:rsidR="00F0188D" w:rsidRPr="00FF15CE">
        <w:t>bliczenia fotometryczne dla oświetlenia bez redukcji mocy. Przyjąć współczynnik utrzymania MF=0,85</w:t>
      </w:r>
      <w:r w:rsidR="00F0188D" w:rsidRPr="00FF15CE">
        <w:rPr>
          <w:rFonts w:eastAsia="Calibri"/>
        </w:rPr>
        <w:t xml:space="preserve">. </w:t>
      </w:r>
    </w:p>
    <w:p w14:paraId="09F3D87E" w14:textId="38BDEF46" w:rsidR="00F0188D" w:rsidRPr="00FF15CE" w:rsidRDefault="00F0188D" w:rsidP="006E2C10">
      <w:pPr>
        <w:pStyle w:val="Akapitzlist"/>
        <w:numPr>
          <w:ilvl w:val="0"/>
          <w:numId w:val="12"/>
        </w:numPr>
        <w:spacing w:after="0"/>
      </w:pPr>
      <w:r w:rsidRPr="00FF15CE">
        <w:t>Przyjąć do obliczeń klas</w:t>
      </w:r>
      <w:r w:rsidRPr="00FF15CE">
        <w:rPr>
          <w:rFonts w:eastAsia="Calibri"/>
        </w:rPr>
        <w:t xml:space="preserve">y </w:t>
      </w:r>
      <w:r w:rsidRPr="00FF15CE">
        <w:t xml:space="preserve">oświetlenia dla jezdni i chodników zgodnie z </w:t>
      </w:r>
      <w:r w:rsidR="006E2C10" w:rsidRPr="00FF15CE">
        <w:t>opracowanym audytem oświetlenia ulicznego</w:t>
      </w:r>
      <w:r w:rsidRPr="00FF15CE">
        <w:t>.</w:t>
      </w:r>
      <w:r w:rsidRPr="00FF15CE">
        <w:rPr>
          <w:rFonts w:eastAsia="Calibri"/>
        </w:rPr>
        <w:t xml:space="preserve"> </w:t>
      </w:r>
    </w:p>
    <w:p w14:paraId="69910F71" w14:textId="7EACE818" w:rsidR="00157199" w:rsidRPr="00FF15CE" w:rsidRDefault="008D2402" w:rsidP="008D2402">
      <w:pPr>
        <w:pStyle w:val="Akapitzlist"/>
        <w:numPr>
          <w:ilvl w:val="0"/>
          <w:numId w:val="12"/>
        </w:numPr>
      </w:pPr>
      <w:r w:rsidRPr="00FF15CE">
        <w:t>D</w:t>
      </w:r>
      <w:r w:rsidR="00157199" w:rsidRPr="00FF15CE">
        <w:t xml:space="preserve">ostępność plików fotometrycznych (np. </w:t>
      </w:r>
      <w:proofErr w:type="gramStart"/>
      <w:r w:rsidR="00157199" w:rsidRPr="00FF15CE">
        <w:t>format .Ldt</w:t>
      </w:r>
      <w:proofErr w:type="gramEnd"/>
      <w:r w:rsidR="00157199" w:rsidRPr="00FF15CE">
        <w:t xml:space="preserve">, .les). Pliki zamieszczone na stronie internetowej producenta lub dystrybutora pozwalające wykonać sprawdzające obliczenia fotometryczne w ogólnodostępnych oświetleniowych programach komputerowych (np. Dialux, Relux) </w:t>
      </w:r>
    </w:p>
    <w:p w14:paraId="6AC50FB8" w14:textId="661B7D67" w:rsidR="00F0188D" w:rsidRPr="00FF15CE" w:rsidRDefault="00F0188D" w:rsidP="00F0188D">
      <w:pPr>
        <w:spacing w:after="0" w:line="259" w:lineRule="auto"/>
        <w:ind w:left="0" w:firstLine="0"/>
        <w:jc w:val="left"/>
        <w:rPr>
          <w:color w:val="auto"/>
        </w:rPr>
      </w:pPr>
    </w:p>
    <w:p w14:paraId="14E3E75F" w14:textId="5362FE1E" w:rsidR="008D2402" w:rsidRPr="00FF15CE" w:rsidRDefault="008D2402" w:rsidP="008D2402">
      <w:pPr>
        <w:pStyle w:val="Nagwek1"/>
        <w:ind w:left="345" w:hanging="360"/>
        <w:rPr>
          <w:color w:val="auto"/>
        </w:rPr>
      </w:pPr>
      <w:bookmarkStart w:id="1" w:name="_Toc134617432"/>
      <w:r w:rsidRPr="00FF15CE">
        <w:rPr>
          <w:color w:val="auto"/>
        </w:rPr>
        <w:t>Wymagania dla ofert równoważnych</w:t>
      </w:r>
      <w:bookmarkEnd w:id="1"/>
    </w:p>
    <w:p w14:paraId="17BBB8E4" w14:textId="77777777" w:rsidR="008D2402" w:rsidRPr="00FF15CE" w:rsidRDefault="008D2402" w:rsidP="008D2402">
      <w:pPr>
        <w:rPr>
          <w:color w:val="auto"/>
        </w:rPr>
      </w:pPr>
    </w:p>
    <w:p w14:paraId="108D9598" w14:textId="73B2C4C8" w:rsidR="008D2402" w:rsidRPr="00FF15CE" w:rsidRDefault="008D2402" w:rsidP="008D2402">
      <w:pPr>
        <w:pStyle w:val="Akapitzlist"/>
        <w:numPr>
          <w:ilvl w:val="0"/>
          <w:numId w:val="15"/>
        </w:numPr>
        <w:rPr>
          <w:u w:val="single"/>
        </w:rPr>
      </w:pPr>
      <w:r w:rsidRPr="00FF15CE">
        <w:rPr>
          <w:u w:val="single"/>
        </w:rPr>
        <w:t>Wykonawcy składający ofertę równoważną mus</w:t>
      </w:r>
      <w:r w:rsidR="00592F24" w:rsidRPr="00FF15CE">
        <w:rPr>
          <w:u w:val="single"/>
        </w:rPr>
        <w:t>i wykazać</w:t>
      </w:r>
      <w:r w:rsidR="00D47FA2" w:rsidRPr="00FF15CE">
        <w:rPr>
          <w:u w:val="single"/>
        </w:rPr>
        <w:t>, że oferowane przez niego rozwiązanie spełnia wymagania określone przez Zamawiającego</w:t>
      </w:r>
      <w:r w:rsidRPr="00FF15CE">
        <w:rPr>
          <w:u w:val="single"/>
        </w:rPr>
        <w:t xml:space="preserve">: </w:t>
      </w:r>
    </w:p>
    <w:p w14:paraId="22B098D9" w14:textId="746570C4" w:rsidR="008D2402" w:rsidRPr="00FF15CE" w:rsidRDefault="008D2402" w:rsidP="008D2402">
      <w:pPr>
        <w:pStyle w:val="Akapitzlist"/>
        <w:numPr>
          <w:ilvl w:val="0"/>
          <w:numId w:val="15"/>
        </w:numPr>
      </w:pPr>
      <w:r w:rsidRPr="00FF15CE">
        <w:t xml:space="preserve">W przypadku zastosowania innych opraw oświetleniowych niż przyjęte w dokumentacji należy wykazać, że oprawy oświetleniowe gwarantują wartości parametrów oświetleniowych na poziomie nie mniejszym niż wyliczone w </w:t>
      </w:r>
      <w:proofErr w:type="gramStart"/>
      <w:r w:rsidR="00592F24" w:rsidRPr="00FF15CE">
        <w:t xml:space="preserve">dokumentacji </w:t>
      </w:r>
      <w:r w:rsidRPr="00FF15CE">
        <w:t xml:space="preserve"> Zamawiającego</w:t>
      </w:r>
      <w:proofErr w:type="gramEnd"/>
      <w:r w:rsidRPr="00FF15CE">
        <w:t xml:space="preserve">. Dla wyliczeń należy przyjmować: </w:t>
      </w:r>
    </w:p>
    <w:p w14:paraId="6BE4923F" w14:textId="3408D148" w:rsidR="008D2402" w:rsidRPr="00FF15CE" w:rsidRDefault="008D2402" w:rsidP="008D2402">
      <w:pPr>
        <w:pStyle w:val="Akapitzlist"/>
        <w:numPr>
          <w:ilvl w:val="1"/>
          <w:numId w:val="15"/>
        </w:numPr>
      </w:pPr>
      <w:r w:rsidRPr="00FF15CE">
        <w:t xml:space="preserve">Strumień świetlny w wielkości identycznej jak w dokumentacji Zamawiającego </w:t>
      </w:r>
    </w:p>
    <w:p w14:paraId="3ACB7DC9" w14:textId="186637C2" w:rsidR="008D2402" w:rsidRPr="00FF15CE" w:rsidRDefault="008D2402" w:rsidP="008D2402">
      <w:pPr>
        <w:pStyle w:val="Akapitzlist"/>
        <w:numPr>
          <w:ilvl w:val="1"/>
          <w:numId w:val="15"/>
        </w:numPr>
      </w:pPr>
      <w:r w:rsidRPr="00FF15CE">
        <w:t xml:space="preserve">Pozostałe warunki podane w dokumentacji tj.: </w:t>
      </w:r>
    </w:p>
    <w:p w14:paraId="2BA56E73" w14:textId="77777777" w:rsidR="008D2402" w:rsidRPr="00FF15CE" w:rsidRDefault="008D2402" w:rsidP="008D2402">
      <w:pPr>
        <w:pStyle w:val="Akapitzlist"/>
      </w:pPr>
      <w:r w:rsidRPr="00FF15CE">
        <w:t xml:space="preserve">- parametry drogi, stanowiska, </w:t>
      </w:r>
    </w:p>
    <w:p w14:paraId="048AF0DF" w14:textId="77777777" w:rsidR="008D2402" w:rsidRPr="00FF15CE" w:rsidRDefault="008D2402" w:rsidP="008D2402">
      <w:pPr>
        <w:pStyle w:val="Akapitzlist"/>
      </w:pPr>
      <w:r w:rsidRPr="00FF15CE">
        <w:t xml:space="preserve">- luminancję [L1 i L2] lub natężenie w odniesieniu do obserwatora 1 i 2 (tabele rozkładu luminancji i natężenia w formie liczbowej), </w:t>
      </w:r>
    </w:p>
    <w:p w14:paraId="61474C3D" w14:textId="77777777" w:rsidR="008D2402" w:rsidRPr="00FF15CE" w:rsidRDefault="008D2402" w:rsidP="008D2402">
      <w:pPr>
        <w:pStyle w:val="Akapitzlist"/>
      </w:pPr>
      <w:r w:rsidRPr="00FF15CE">
        <w:t xml:space="preserve">- podsumowanie rezultatów obliczeń luminancji i natężenia, </w:t>
      </w:r>
    </w:p>
    <w:p w14:paraId="0744A6F7" w14:textId="77777777" w:rsidR="008D2402" w:rsidRPr="00FF15CE" w:rsidRDefault="008D2402" w:rsidP="008D2402">
      <w:pPr>
        <w:pStyle w:val="Akapitzlist"/>
      </w:pPr>
      <w:r w:rsidRPr="00FF15CE">
        <w:t xml:space="preserve">- olśnienie [TI], </w:t>
      </w:r>
    </w:p>
    <w:p w14:paraId="6FC60D4C" w14:textId="77777777" w:rsidR="008D2402" w:rsidRPr="00FF15CE" w:rsidRDefault="008D2402" w:rsidP="008D2402">
      <w:pPr>
        <w:pStyle w:val="Akapitzlist"/>
      </w:pPr>
      <w:r w:rsidRPr="00FF15CE">
        <w:t xml:space="preserve">- równomierność oświetlenia [Uo i Ul] </w:t>
      </w:r>
    </w:p>
    <w:p w14:paraId="1BF905F6" w14:textId="77777777" w:rsidR="008D2402" w:rsidRPr="00FF15CE" w:rsidRDefault="008D2402" w:rsidP="008D2402">
      <w:pPr>
        <w:pStyle w:val="Akapitzlist"/>
      </w:pPr>
      <w:r w:rsidRPr="00FF15CE">
        <w:t xml:space="preserve">- współczynnik oświetlenia otoczenia [SR]. </w:t>
      </w:r>
    </w:p>
    <w:p w14:paraId="64035346" w14:textId="08A70008" w:rsidR="008D2402" w:rsidRPr="00FF15CE" w:rsidRDefault="008D2402" w:rsidP="008D2402">
      <w:pPr>
        <w:pStyle w:val="Akapitzlist"/>
        <w:numPr>
          <w:ilvl w:val="1"/>
          <w:numId w:val="15"/>
        </w:numPr>
      </w:pPr>
      <w:r w:rsidRPr="00FF15CE">
        <w:lastRenderedPageBreak/>
        <w:t xml:space="preserve">Ze względu na specyficzną dla opraw oświetleniowych drogowych niepowtarzalność charakterystyk świetlnych zamawiający dopuszcza tolerancje w stosunku do wymaganych dokumentacją parametrów oświetleniowych dróg. Tolerancje dla efektu oświetleniowego uzyskanego za pomocą opraw uznawanych za równoważne podane są poniżej: </w:t>
      </w:r>
    </w:p>
    <w:p w14:paraId="6E9E9199" w14:textId="656D2876" w:rsidR="008D2402" w:rsidRPr="00FF15CE" w:rsidRDefault="008D2402" w:rsidP="008D2402">
      <w:pPr>
        <w:pStyle w:val="Akapitzlist"/>
        <w:numPr>
          <w:ilvl w:val="2"/>
          <w:numId w:val="15"/>
        </w:numPr>
      </w:pPr>
      <w:r w:rsidRPr="00FF15CE">
        <w:t xml:space="preserve">Luminacja L1 i L2 - nie mniej niż w dokumentach zamawiającego. </w:t>
      </w:r>
    </w:p>
    <w:p w14:paraId="54448D5F" w14:textId="4705C6E3" w:rsidR="008D2402" w:rsidRPr="00FF15CE" w:rsidRDefault="008D2402" w:rsidP="008D2402">
      <w:pPr>
        <w:pStyle w:val="Akapitzlist"/>
        <w:numPr>
          <w:ilvl w:val="2"/>
          <w:numId w:val="15"/>
        </w:numPr>
      </w:pPr>
      <w:r w:rsidRPr="00FF15CE">
        <w:t xml:space="preserve">Równomierność Uo1 i Uo2 nie mniej niż 5% niż w </w:t>
      </w:r>
      <w:r w:rsidR="00654B92" w:rsidRPr="00FF15CE">
        <w:t>dokumentach zamawiającego</w:t>
      </w:r>
      <w:r w:rsidRPr="00FF15CE">
        <w:t xml:space="preserve"> </w:t>
      </w:r>
    </w:p>
    <w:p w14:paraId="64F059D7" w14:textId="301DC3DE" w:rsidR="008D2402" w:rsidRPr="00FF15CE" w:rsidRDefault="008D2402" w:rsidP="008D2402">
      <w:pPr>
        <w:pStyle w:val="Akapitzlist"/>
        <w:numPr>
          <w:ilvl w:val="2"/>
          <w:numId w:val="15"/>
        </w:numPr>
      </w:pPr>
      <w:r w:rsidRPr="00FF15CE">
        <w:t xml:space="preserve">Równomierność Ul1 i Ul2 nie mniej niż 1% niż </w:t>
      </w:r>
      <w:r w:rsidR="00654B92" w:rsidRPr="00FF15CE">
        <w:t xml:space="preserve">dokumentach zamawiającego </w:t>
      </w:r>
    </w:p>
    <w:p w14:paraId="73B36F42" w14:textId="1D2E7751" w:rsidR="008D2402" w:rsidRPr="00FF15CE" w:rsidRDefault="008D2402" w:rsidP="008D2402">
      <w:pPr>
        <w:pStyle w:val="Akapitzlist"/>
        <w:numPr>
          <w:ilvl w:val="2"/>
          <w:numId w:val="15"/>
        </w:numPr>
      </w:pPr>
      <w:r w:rsidRPr="00FF15CE">
        <w:t xml:space="preserve">TI nie więcej niż 5 % niż </w:t>
      </w:r>
      <w:r w:rsidR="00654B92" w:rsidRPr="00FF15CE">
        <w:t>w dokumentach zamawiającego.</w:t>
      </w:r>
    </w:p>
    <w:p w14:paraId="45C0353B" w14:textId="6D0DA9AC" w:rsidR="008D2402" w:rsidRPr="00FF15CE" w:rsidRDefault="008D2402" w:rsidP="008D2402">
      <w:pPr>
        <w:pStyle w:val="Akapitzlist"/>
        <w:numPr>
          <w:ilvl w:val="2"/>
          <w:numId w:val="15"/>
        </w:numPr>
      </w:pPr>
      <w:r w:rsidRPr="00FF15CE">
        <w:t xml:space="preserve">SR nie mniej niż 10% w stosunku do wartości w </w:t>
      </w:r>
      <w:r w:rsidR="00654B92" w:rsidRPr="00FF15CE">
        <w:t>dokumentach zamawiającego.</w:t>
      </w:r>
    </w:p>
    <w:p w14:paraId="32254007" w14:textId="684ADDE6" w:rsidR="000A174F" w:rsidRPr="003E2388" w:rsidRDefault="008D2402" w:rsidP="003E2388">
      <w:pPr>
        <w:pStyle w:val="Akapitzlist"/>
        <w:numPr>
          <w:ilvl w:val="2"/>
          <w:numId w:val="15"/>
        </w:numPr>
      </w:pPr>
      <w:r w:rsidRPr="00FF15CE">
        <w:t xml:space="preserve">Kąt zamontowania </w:t>
      </w:r>
      <w:proofErr w:type="gramStart"/>
      <w:r w:rsidRPr="00FF15CE">
        <w:t>opraw-,</w:t>
      </w:r>
      <w:proofErr w:type="gramEnd"/>
      <w:r w:rsidRPr="00FF15CE">
        <w:t xml:space="preserve"> jeśli będzie wymagany inny niż w </w:t>
      </w:r>
      <w:r w:rsidR="00654B92" w:rsidRPr="00FF15CE">
        <w:t>dokumentach zamawiającego</w:t>
      </w:r>
      <w:r w:rsidRPr="00FF15CE">
        <w:t xml:space="preserve"> to oprawa musi posiadać możliwości ustawienia go bez konieczności zmiany wysięgnika.</w:t>
      </w:r>
    </w:p>
    <w:p w14:paraId="24F8FDA8" w14:textId="1CAE4449" w:rsidR="00F0188D" w:rsidRDefault="00F0188D" w:rsidP="00F0188D">
      <w:pPr>
        <w:spacing w:after="12" w:line="259" w:lineRule="auto"/>
        <w:ind w:left="0" w:firstLine="0"/>
        <w:jc w:val="left"/>
      </w:pPr>
    </w:p>
    <w:p w14:paraId="7F27DA96" w14:textId="77777777" w:rsidR="00F0188D" w:rsidRDefault="00F0188D" w:rsidP="00F0188D">
      <w:pPr>
        <w:pStyle w:val="Nagwek1"/>
        <w:ind w:left="345" w:hanging="360"/>
      </w:pPr>
      <w:r>
        <w:t>Wymogi techniczne dotyczące odbioru robót oświetleniowych</w:t>
      </w:r>
      <w:r>
        <w:rPr>
          <w:b w:val="0"/>
        </w:rPr>
        <w:t xml:space="preserve"> </w:t>
      </w:r>
    </w:p>
    <w:p w14:paraId="36F9B46A" w14:textId="77777777" w:rsidR="00F0188D" w:rsidRDefault="00F0188D" w:rsidP="00F0188D">
      <w:pPr>
        <w:spacing w:after="0" w:line="259" w:lineRule="auto"/>
        <w:ind w:left="360" w:firstLine="0"/>
        <w:jc w:val="left"/>
      </w:pPr>
      <w:r>
        <w:t xml:space="preserve"> </w:t>
      </w:r>
    </w:p>
    <w:p w14:paraId="248B0D2B" w14:textId="75CB3115" w:rsidR="00F0188D" w:rsidRPr="00FF15CE" w:rsidRDefault="00F0188D" w:rsidP="00D968FC">
      <w:pPr>
        <w:pStyle w:val="Akapitzlist"/>
        <w:numPr>
          <w:ilvl w:val="0"/>
          <w:numId w:val="13"/>
        </w:numPr>
        <w:spacing w:after="0"/>
        <w:jc w:val="both"/>
      </w:pPr>
      <w:r w:rsidRPr="00FF15CE">
        <w:t xml:space="preserve">Nadzór nad realizacją prac </w:t>
      </w:r>
      <w:r w:rsidR="00D47FA2" w:rsidRPr="00FF15CE">
        <w:t>i odbiór</w:t>
      </w:r>
      <w:r w:rsidRPr="00FF15CE">
        <w:t xml:space="preserve"> końcow</w:t>
      </w:r>
      <w:r w:rsidR="00D47FA2" w:rsidRPr="00FF15CE">
        <w:t xml:space="preserve">y </w:t>
      </w:r>
      <w:r w:rsidRPr="00FF15CE">
        <w:t xml:space="preserve">odbędą się przy udziale przedstawiciela </w:t>
      </w:r>
      <w:r w:rsidR="006E2C10" w:rsidRPr="00FF15CE">
        <w:t xml:space="preserve">Gminy Kościerzyna oraz </w:t>
      </w:r>
      <w:r w:rsidRPr="00FF15CE">
        <w:t>Energa Oświetleni</w:t>
      </w:r>
      <w:r w:rsidR="007E7A93" w:rsidRPr="00FF15CE">
        <w:t>e dla majątku powiązanego</w:t>
      </w:r>
      <w:r w:rsidRPr="00FF15CE">
        <w:t>.</w:t>
      </w:r>
      <w:r w:rsidRPr="00FF15CE">
        <w:rPr>
          <w:rFonts w:eastAsia="Calibri"/>
        </w:rPr>
        <w:t xml:space="preserve"> </w:t>
      </w:r>
    </w:p>
    <w:p w14:paraId="6BC241CB" w14:textId="77777777" w:rsidR="00626BB1" w:rsidRPr="00125E97" w:rsidRDefault="00626BB1" w:rsidP="00D968FC">
      <w:pPr>
        <w:rPr>
          <w:color w:val="FF0000"/>
        </w:rPr>
      </w:pPr>
    </w:p>
    <w:sectPr w:rsidR="00626BB1" w:rsidRPr="00125E97" w:rsidSect="001A4F77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69E5"/>
    <w:multiLevelType w:val="hybridMultilevel"/>
    <w:tmpl w:val="807A493E"/>
    <w:lvl w:ilvl="0" w:tplc="2A74049C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FA5D2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B44C9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361B1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5A8DA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A89CE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90A7B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C0B1D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801B5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C271B7"/>
    <w:multiLevelType w:val="hybridMultilevel"/>
    <w:tmpl w:val="3B1055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1A5C"/>
    <w:multiLevelType w:val="hybridMultilevel"/>
    <w:tmpl w:val="DCB4A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0083"/>
    <w:multiLevelType w:val="hybridMultilevel"/>
    <w:tmpl w:val="167841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F6001"/>
    <w:multiLevelType w:val="hybridMultilevel"/>
    <w:tmpl w:val="970E820A"/>
    <w:lvl w:ilvl="0" w:tplc="3728813E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7417F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9297D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64060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AD92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70A03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7400B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62DC9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9AD3A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360311"/>
    <w:multiLevelType w:val="hybridMultilevel"/>
    <w:tmpl w:val="9B5EE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24FC8"/>
    <w:multiLevelType w:val="hybridMultilevel"/>
    <w:tmpl w:val="161C8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F4B6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E12878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7057A"/>
    <w:multiLevelType w:val="hybridMultilevel"/>
    <w:tmpl w:val="9B28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95D57"/>
    <w:multiLevelType w:val="hybridMultilevel"/>
    <w:tmpl w:val="35BCB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107B8"/>
    <w:multiLevelType w:val="hybridMultilevel"/>
    <w:tmpl w:val="ACE65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77DF8"/>
    <w:multiLevelType w:val="hybridMultilevel"/>
    <w:tmpl w:val="E01C27FA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5D5D128D"/>
    <w:multiLevelType w:val="hybridMultilevel"/>
    <w:tmpl w:val="AE0C8582"/>
    <w:lvl w:ilvl="0" w:tplc="708AE9FA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2F6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F0751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CADFB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B00A1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DC351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862F2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9EF48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9A93C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7B8595A"/>
    <w:multiLevelType w:val="hybridMultilevel"/>
    <w:tmpl w:val="15DCFD8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7C83BC5"/>
    <w:multiLevelType w:val="hybridMultilevel"/>
    <w:tmpl w:val="598602F6"/>
    <w:lvl w:ilvl="0" w:tplc="D592E512">
      <w:start w:val="1"/>
      <w:numFmt w:val="decimal"/>
      <w:pStyle w:val="Nagwek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5C4E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4C9C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AA5D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3826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A93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A83E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A4B5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7896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21751F"/>
    <w:multiLevelType w:val="hybridMultilevel"/>
    <w:tmpl w:val="FD40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01B6E"/>
    <w:multiLevelType w:val="hybridMultilevel"/>
    <w:tmpl w:val="073621CC"/>
    <w:lvl w:ilvl="0" w:tplc="04C2FDA2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CAD76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5669E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60C98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0A7D6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BE72C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C8ABF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2E6A3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C4A6D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C71FA0"/>
    <w:multiLevelType w:val="hybridMultilevel"/>
    <w:tmpl w:val="F2FE80AA"/>
    <w:lvl w:ilvl="0" w:tplc="94DC4B28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C4BCA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66D2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EE011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A04CF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20070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5C5B0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3E210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4E5E9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231EAE"/>
    <w:multiLevelType w:val="hybridMultilevel"/>
    <w:tmpl w:val="3EA4730C"/>
    <w:lvl w:ilvl="0" w:tplc="F1B0A972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C28D8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9AAC8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A8217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5C00A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9047D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62C89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AC07B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34E34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70A135C"/>
    <w:multiLevelType w:val="hybridMultilevel"/>
    <w:tmpl w:val="90409234"/>
    <w:lvl w:ilvl="0" w:tplc="D1BE1658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num w:numId="1" w16cid:durableId="918101476">
    <w:abstractNumId w:val="4"/>
  </w:num>
  <w:num w:numId="2" w16cid:durableId="400521320">
    <w:abstractNumId w:val="17"/>
  </w:num>
  <w:num w:numId="3" w16cid:durableId="1547638266">
    <w:abstractNumId w:val="11"/>
  </w:num>
  <w:num w:numId="4" w16cid:durableId="197208846">
    <w:abstractNumId w:val="0"/>
  </w:num>
  <w:num w:numId="5" w16cid:durableId="1697539902">
    <w:abstractNumId w:val="16"/>
  </w:num>
  <w:num w:numId="6" w16cid:durableId="1254558451">
    <w:abstractNumId w:val="15"/>
  </w:num>
  <w:num w:numId="7" w16cid:durableId="967205636">
    <w:abstractNumId w:val="13"/>
  </w:num>
  <w:num w:numId="8" w16cid:durableId="20781679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7461080">
    <w:abstractNumId w:val="9"/>
  </w:num>
  <w:num w:numId="10" w16cid:durableId="1527864786">
    <w:abstractNumId w:val="10"/>
  </w:num>
  <w:num w:numId="11" w16cid:durableId="2137217744">
    <w:abstractNumId w:val="8"/>
  </w:num>
  <w:num w:numId="12" w16cid:durableId="2058701597">
    <w:abstractNumId w:val="2"/>
  </w:num>
  <w:num w:numId="13" w16cid:durableId="1565795891">
    <w:abstractNumId w:val="5"/>
  </w:num>
  <w:num w:numId="14" w16cid:durableId="1025985046">
    <w:abstractNumId w:val="13"/>
  </w:num>
  <w:num w:numId="15" w16cid:durableId="137579251">
    <w:abstractNumId w:val="7"/>
  </w:num>
  <w:num w:numId="16" w16cid:durableId="1673872258">
    <w:abstractNumId w:val="6"/>
  </w:num>
  <w:num w:numId="17" w16cid:durableId="1072776996">
    <w:abstractNumId w:val="13"/>
  </w:num>
  <w:num w:numId="18" w16cid:durableId="988095545">
    <w:abstractNumId w:val="12"/>
  </w:num>
  <w:num w:numId="19" w16cid:durableId="596670919">
    <w:abstractNumId w:val="18"/>
  </w:num>
  <w:num w:numId="20" w16cid:durableId="641344946">
    <w:abstractNumId w:val="14"/>
  </w:num>
  <w:num w:numId="21" w16cid:durableId="1735617428">
    <w:abstractNumId w:val="1"/>
  </w:num>
  <w:num w:numId="22" w16cid:durableId="734933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BB1"/>
    <w:rsid w:val="000A174F"/>
    <w:rsid w:val="000B58B4"/>
    <w:rsid w:val="00125E97"/>
    <w:rsid w:val="00157199"/>
    <w:rsid w:val="001A4F77"/>
    <w:rsid w:val="00251859"/>
    <w:rsid w:val="00312FB0"/>
    <w:rsid w:val="003218FB"/>
    <w:rsid w:val="00327E0D"/>
    <w:rsid w:val="00336B39"/>
    <w:rsid w:val="003E2388"/>
    <w:rsid w:val="0043138B"/>
    <w:rsid w:val="00512F3F"/>
    <w:rsid w:val="00592F24"/>
    <w:rsid w:val="005C4A15"/>
    <w:rsid w:val="005D15E1"/>
    <w:rsid w:val="00626BB1"/>
    <w:rsid w:val="00654B92"/>
    <w:rsid w:val="006E2C10"/>
    <w:rsid w:val="007A0919"/>
    <w:rsid w:val="007E7A93"/>
    <w:rsid w:val="007F6469"/>
    <w:rsid w:val="00884F1D"/>
    <w:rsid w:val="008C5685"/>
    <w:rsid w:val="008D2402"/>
    <w:rsid w:val="00A3568D"/>
    <w:rsid w:val="00AA6219"/>
    <w:rsid w:val="00AB4802"/>
    <w:rsid w:val="00CE5421"/>
    <w:rsid w:val="00CF292D"/>
    <w:rsid w:val="00D47FA2"/>
    <w:rsid w:val="00D968FC"/>
    <w:rsid w:val="00DD1B45"/>
    <w:rsid w:val="00DF2406"/>
    <w:rsid w:val="00E5487E"/>
    <w:rsid w:val="00EB13D0"/>
    <w:rsid w:val="00F0188D"/>
    <w:rsid w:val="00F30164"/>
    <w:rsid w:val="00F930E2"/>
    <w:rsid w:val="00FB76E6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84A8"/>
  <w15:chartTrackingRefBased/>
  <w15:docId w15:val="{D36599BD-2E03-438E-A253-70873644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88D"/>
    <w:pPr>
      <w:spacing w:after="33" w:line="268" w:lineRule="auto"/>
      <w:ind w:left="10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F0188D"/>
    <w:pPr>
      <w:keepNext/>
      <w:keepLines/>
      <w:numPr>
        <w:numId w:val="7"/>
      </w:numPr>
      <w:spacing w:after="0"/>
      <w:outlineLvl w:val="0"/>
    </w:pPr>
    <w:rPr>
      <w:rFonts w:ascii="Calibri" w:eastAsia="Calibri" w:hAnsi="Calibri" w:cs="Calibri"/>
      <w:b/>
      <w:color w:val="00000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24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88D"/>
    <w:rPr>
      <w:rFonts w:ascii="Calibri" w:eastAsia="Calibri" w:hAnsi="Calibri" w:cs="Calibri"/>
      <w:b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F0188D"/>
    <w:pPr>
      <w:spacing w:after="160" w:line="252" w:lineRule="auto"/>
      <w:ind w:left="720" w:firstLine="0"/>
      <w:contextualSpacing/>
      <w:jc w:val="left"/>
    </w:pPr>
    <w:rPr>
      <w:rFonts w:eastAsiaTheme="minorHAnsi"/>
      <w:color w:val="auto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240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customStyle="1" w:styleId="Default">
    <w:name w:val="Default"/>
    <w:basedOn w:val="Normalny"/>
    <w:rsid w:val="000A174F"/>
    <w:pPr>
      <w:spacing w:after="0" w:line="240" w:lineRule="auto"/>
      <w:ind w:left="0" w:firstLine="0"/>
      <w:jc w:val="left"/>
    </w:pPr>
    <w:rPr>
      <w:rFonts w:ascii="Arial" w:eastAsiaTheme="minorHAnsi" w:hAnsi="Arial" w:cs="Arial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6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64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6469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6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6469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B92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972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Gruchała-Węsierski Rafał (U1800398)</dc:creator>
  <cp:keywords/>
  <dc:description/>
  <cp:lastModifiedBy>Katarzyna Wysiecka-Szamocka</cp:lastModifiedBy>
  <cp:revision>4</cp:revision>
  <dcterms:created xsi:type="dcterms:W3CDTF">2023-06-21T08:42:00Z</dcterms:created>
  <dcterms:modified xsi:type="dcterms:W3CDTF">2023-06-22T07:40:00Z</dcterms:modified>
</cp:coreProperties>
</file>