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A74" w:rsidRPr="00ED369E" w:rsidRDefault="00B17A74" w:rsidP="00ED369E">
      <w:pPr>
        <w:spacing w:before="120" w:after="360" w:line="276" w:lineRule="auto"/>
        <w:jc w:val="center"/>
        <w:rPr>
          <w:rFonts w:cstheme="minorHAnsi"/>
          <w:sz w:val="24"/>
          <w:szCs w:val="24"/>
        </w:rPr>
      </w:pPr>
      <w:r w:rsidRPr="00055CCC">
        <w:rPr>
          <w:rFonts w:cstheme="minorHAnsi"/>
          <w:sz w:val="24"/>
          <w:szCs w:val="24"/>
        </w:rPr>
        <w:t>Opis Przedmiotu Zamówienia</w:t>
      </w:r>
    </w:p>
    <w:p w:rsidR="00B17A74" w:rsidRPr="001A4663" w:rsidRDefault="00B17A74" w:rsidP="00ED369E">
      <w:pPr>
        <w:pStyle w:val="Default"/>
        <w:spacing w:before="120" w:after="120" w:line="276" w:lineRule="auto"/>
        <w:rPr>
          <w:rFonts w:asciiTheme="minorHAnsi" w:hAnsiTheme="minorHAnsi" w:cstheme="minorHAnsi"/>
          <w:color w:val="auto"/>
        </w:rPr>
      </w:pPr>
      <w:r w:rsidRPr="001A4663">
        <w:rPr>
          <w:rFonts w:asciiTheme="minorHAnsi" w:hAnsiTheme="minorHAnsi" w:cstheme="minorHAnsi"/>
        </w:rPr>
        <w:t>Nazwa zadania</w:t>
      </w:r>
      <w:r w:rsidR="008007CF" w:rsidRPr="001A4663">
        <w:rPr>
          <w:rFonts w:asciiTheme="minorHAnsi" w:hAnsiTheme="minorHAnsi" w:cstheme="minorHAnsi"/>
        </w:rPr>
        <w:t xml:space="preserve">: </w:t>
      </w:r>
      <w:r w:rsidRPr="001A4663">
        <w:rPr>
          <w:rFonts w:asciiTheme="minorHAnsi" w:hAnsiTheme="minorHAnsi" w:cstheme="minorHAnsi"/>
        </w:rPr>
        <w:t>Sporządzenie ekspertyzy technicznej w zakresie możliwości wykonania instalacji fotowoltaicznej na</w:t>
      </w:r>
      <w:r w:rsidR="008007CF" w:rsidRPr="001A4663">
        <w:rPr>
          <w:rFonts w:asciiTheme="minorHAnsi" w:hAnsiTheme="minorHAnsi" w:cstheme="minorHAnsi"/>
        </w:rPr>
        <w:t xml:space="preserve"> terenie Nowego ZOO w Poznaniu</w:t>
      </w:r>
      <w:r w:rsidRPr="001A4663">
        <w:rPr>
          <w:rFonts w:asciiTheme="minorHAnsi" w:hAnsiTheme="minorHAnsi" w:cstheme="minorHAnsi"/>
        </w:rPr>
        <w:t xml:space="preserve">. </w:t>
      </w:r>
    </w:p>
    <w:p w:rsidR="00B17A74" w:rsidRPr="001A4663" w:rsidRDefault="008007CF" w:rsidP="00ED369E">
      <w:pPr>
        <w:pStyle w:val="Default"/>
        <w:spacing w:before="120" w:after="360" w:line="276" w:lineRule="auto"/>
        <w:rPr>
          <w:rFonts w:asciiTheme="minorHAnsi" w:hAnsiTheme="minorHAnsi" w:cstheme="minorHAnsi"/>
          <w:lang w:eastAsia="pl-PL"/>
        </w:rPr>
      </w:pPr>
      <w:r w:rsidRPr="001A4663">
        <w:rPr>
          <w:rFonts w:asciiTheme="minorHAnsi" w:hAnsiTheme="minorHAnsi" w:cstheme="minorHAnsi"/>
          <w:lang w:eastAsia="pl-PL"/>
        </w:rPr>
        <w:t>Przedmiotem zamówienia jest sporządzenie</w:t>
      </w:r>
      <w:r w:rsidRPr="001A4663">
        <w:rPr>
          <w:rFonts w:asciiTheme="minorHAnsi" w:hAnsiTheme="minorHAnsi" w:cstheme="minorHAnsi"/>
        </w:rPr>
        <w:t xml:space="preserve"> ekspertyzy technicznej w zakresie możliwości wykonania instalacji fotowoltaicznej na terenie Nowego ZOO w Poznaniu</w:t>
      </w:r>
      <w:r w:rsidR="002B0499" w:rsidRPr="001A4663">
        <w:rPr>
          <w:rFonts w:asciiTheme="minorHAnsi" w:hAnsiTheme="minorHAnsi" w:cstheme="minorHAnsi"/>
        </w:rPr>
        <w:t xml:space="preserve"> </w:t>
      </w:r>
      <w:r w:rsidR="00635387" w:rsidRPr="001A4663">
        <w:rPr>
          <w:rFonts w:asciiTheme="minorHAnsi" w:hAnsiTheme="minorHAnsi" w:cstheme="minorHAnsi"/>
        </w:rPr>
        <w:t xml:space="preserve">wraz z uzyskaniem odpowiednich decyzji, uzgodnień, warunków technicznych itp. umożliwiających realizację Przedmiotu Umowy. </w:t>
      </w:r>
      <w:r w:rsidR="00B17A74" w:rsidRPr="001A4663">
        <w:rPr>
          <w:rFonts w:asciiTheme="minorHAnsi" w:hAnsiTheme="minorHAnsi" w:cstheme="minorHAnsi"/>
          <w:lang w:eastAsia="pl-PL"/>
        </w:rPr>
        <w:t xml:space="preserve">Ekspertyzą techniczną należy objąć dwie lokalizacje odprowadzające energię do dwóch osobnych stacji transformatorowych. Analizą należy objąć dwie lokalizacje wskazane </w:t>
      </w:r>
      <w:r w:rsidR="007F2194" w:rsidRPr="001A4663">
        <w:rPr>
          <w:rFonts w:asciiTheme="minorHAnsi" w:hAnsiTheme="minorHAnsi" w:cstheme="minorHAnsi"/>
          <w:lang w:eastAsia="pl-PL"/>
        </w:rPr>
        <w:t xml:space="preserve">poniżej, </w:t>
      </w:r>
      <w:r w:rsidR="00B17A74" w:rsidRPr="001A4663">
        <w:rPr>
          <w:rFonts w:asciiTheme="minorHAnsi" w:hAnsiTheme="minorHAnsi" w:cstheme="minorHAnsi"/>
          <w:lang w:eastAsia="pl-PL"/>
        </w:rPr>
        <w:t>w</w:t>
      </w:r>
      <w:r w:rsidR="007F2194" w:rsidRPr="001A4663">
        <w:rPr>
          <w:rFonts w:asciiTheme="minorHAnsi" w:hAnsiTheme="minorHAnsi" w:cstheme="minorHAnsi"/>
          <w:lang w:eastAsia="pl-PL"/>
        </w:rPr>
        <w:t xml:space="preserve"> uwarunkowaniach wykonania przedmiotu zamówienia. </w:t>
      </w:r>
    </w:p>
    <w:p w:rsidR="00B17A74" w:rsidRPr="001A4663" w:rsidRDefault="00B17A74" w:rsidP="00ED369E">
      <w:pPr>
        <w:spacing w:before="120" w:after="120" w:line="276" w:lineRule="auto"/>
        <w:rPr>
          <w:rFonts w:cstheme="minorHAnsi"/>
          <w:sz w:val="24"/>
          <w:szCs w:val="24"/>
        </w:rPr>
      </w:pPr>
      <w:r w:rsidRPr="001A4663">
        <w:rPr>
          <w:rFonts w:cstheme="minorHAnsi"/>
          <w:sz w:val="24"/>
          <w:szCs w:val="24"/>
        </w:rPr>
        <w:t>Określa się minimalny zakres ekspertyzy technicznej: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color w:val="222222"/>
          <w:sz w:val="24"/>
          <w:szCs w:val="24"/>
        </w:rPr>
        <w:t>analiza stanu własności terenu i infrastruktury sąsiadującej;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 xml:space="preserve">analiza zapotrzebowania Ogrodu Zoologicznego na energię elektryczną </w:t>
      </w:r>
      <w:r w:rsidR="00BC657D">
        <w:rPr>
          <w:rFonts w:asciiTheme="minorHAnsi" w:hAnsiTheme="minorHAnsi" w:cstheme="minorHAnsi"/>
          <w:sz w:val="24"/>
          <w:szCs w:val="24"/>
        </w:rPr>
        <w:br/>
      </w:r>
      <w:r w:rsidRPr="001A4663">
        <w:rPr>
          <w:rFonts w:asciiTheme="minorHAnsi" w:hAnsiTheme="minorHAnsi" w:cstheme="minorHAnsi"/>
          <w:sz w:val="24"/>
          <w:szCs w:val="24"/>
        </w:rPr>
        <w:t xml:space="preserve">z uwzględnieniem zużycia energii z </w:t>
      </w:r>
      <w:r w:rsidR="00EE5AE3" w:rsidRPr="001A4663">
        <w:rPr>
          <w:rFonts w:asciiTheme="minorHAnsi" w:hAnsiTheme="minorHAnsi" w:cstheme="minorHAnsi"/>
          <w:sz w:val="24"/>
          <w:szCs w:val="24"/>
        </w:rPr>
        <w:t xml:space="preserve">dwóch stacji transformatorowych, </w:t>
      </w:r>
      <w:r w:rsidRPr="001A4663">
        <w:rPr>
          <w:rFonts w:asciiTheme="minorHAnsi" w:hAnsiTheme="minorHAnsi" w:cstheme="minorHAnsi"/>
          <w:sz w:val="24"/>
          <w:szCs w:val="24"/>
        </w:rPr>
        <w:t>do których będzie odpowiadana energia z alkalizowanych instalacji</w:t>
      </w:r>
      <w:r w:rsidRPr="001A4663">
        <w:rPr>
          <w:rFonts w:asciiTheme="minorHAnsi" w:hAnsiTheme="minorHAnsi" w:cstheme="minorHAnsi"/>
          <w:color w:val="222222"/>
          <w:sz w:val="24"/>
          <w:szCs w:val="24"/>
        </w:rPr>
        <w:t>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analiza dobowego zużycia energii i sezonowego zapotrzebowania na energię elektryczną</w:t>
      </w:r>
      <w:r w:rsidRPr="001A4663">
        <w:rPr>
          <w:rFonts w:asciiTheme="minorHAnsi" w:hAnsiTheme="minorHAnsi" w:cstheme="minorHAnsi"/>
          <w:color w:val="222222"/>
          <w:sz w:val="24"/>
          <w:szCs w:val="24"/>
        </w:rPr>
        <w:t>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color w:val="222222"/>
          <w:sz w:val="24"/>
          <w:szCs w:val="24"/>
        </w:rPr>
        <w:t>analiza</w:t>
      </w:r>
      <w:r w:rsidR="00EE5AE3" w:rsidRPr="001A4663">
        <w:rPr>
          <w:rFonts w:asciiTheme="minorHAnsi" w:hAnsiTheme="minorHAnsi" w:cstheme="minorHAnsi"/>
          <w:color w:val="222222"/>
          <w:sz w:val="24"/>
          <w:szCs w:val="24"/>
        </w:rPr>
        <w:t xml:space="preserve"> </w:t>
      </w:r>
      <w:r w:rsidRPr="001A4663">
        <w:rPr>
          <w:rFonts w:asciiTheme="minorHAnsi" w:hAnsiTheme="minorHAnsi" w:cstheme="minorHAnsi"/>
          <w:sz w:val="24"/>
          <w:szCs w:val="24"/>
        </w:rPr>
        <w:t>moc</w:t>
      </w:r>
      <w:r w:rsidR="00EE5AE3" w:rsidRPr="001A4663">
        <w:rPr>
          <w:rFonts w:asciiTheme="minorHAnsi" w:hAnsiTheme="minorHAnsi" w:cstheme="minorHAnsi"/>
          <w:sz w:val="24"/>
          <w:szCs w:val="24"/>
        </w:rPr>
        <w:t>y</w:t>
      </w:r>
      <w:r w:rsidRPr="001A4663">
        <w:rPr>
          <w:rFonts w:asciiTheme="minorHAnsi" w:hAnsiTheme="minorHAnsi" w:cstheme="minorHAnsi"/>
          <w:sz w:val="24"/>
          <w:szCs w:val="24"/>
        </w:rPr>
        <w:t xml:space="preserve"> dwóch instalacji i prognozowany zwrot roczny oraz  ocenę stopy zwrotu inwestycji w ujęciu czasu zwrotu liczonego w latach dla obu instalacji;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wariantowe przedstawienie lokalizacji instalacji z uwzględnieniem poborów energii, wielkości instalacji oraz ich mocy;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analiza oceny stanu i wielkości stacji transformatorowych pod kątem możliwości wpięcia instalacji i lokalizacji falowników oraz rekomendację optymalnego sposobu realizacji wpięcia instalacji oraz ewentualnej rozbudowy;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charakterystyka sposobu montażu paneli fotowoltaicznych z określeniem rodzaju podkonstrukcji i z uwzględnieniem istniejących warunków gruntowych;</w:t>
      </w:r>
    </w:p>
    <w:p w:rsidR="00B17A74" w:rsidRPr="001A4663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analiza szacunkowej wartości prac projektowych z podziałem na dwie lokalizacje oraz szacunkowego kosztu wykonania wskazanego wariantu realizacji wraz z robotami związanymi z podziałem na dwie lokalizacje;</w:t>
      </w:r>
    </w:p>
    <w:p w:rsidR="007F2194" w:rsidRPr="00ED369E" w:rsidRDefault="00B17A74" w:rsidP="00ED369E">
      <w:pPr>
        <w:pStyle w:val="Akapitzlist"/>
        <w:widowControl/>
        <w:numPr>
          <w:ilvl w:val="0"/>
          <w:numId w:val="2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color w:val="222222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dwie opinie geotechniczne</w:t>
      </w:r>
      <w:r w:rsidR="00EE5AE3" w:rsidRPr="001A4663">
        <w:rPr>
          <w:rFonts w:asciiTheme="minorHAnsi" w:hAnsiTheme="minorHAnsi" w:cstheme="minorHAnsi"/>
          <w:sz w:val="24"/>
          <w:szCs w:val="24"/>
        </w:rPr>
        <w:t xml:space="preserve"> terenów (po jednej dla każdego terenu), </w:t>
      </w:r>
      <w:r w:rsidRPr="001A4663">
        <w:rPr>
          <w:rFonts w:asciiTheme="minorHAnsi" w:hAnsiTheme="minorHAnsi" w:cstheme="minorHAnsi"/>
          <w:sz w:val="24"/>
          <w:szCs w:val="24"/>
        </w:rPr>
        <w:t>na których zlokalizowane będą instalacje fotowoltaiczne</w:t>
      </w:r>
      <w:r w:rsidR="007F2194" w:rsidRPr="001A466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7F2194" w:rsidRPr="001A4663" w:rsidRDefault="007F2194" w:rsidP="00ED369E">
      <w:pPr>
        <w:spacing w:before="120" w:after="0" w:line="276" w:lineRule="auto"/>
        <w:rPr>
          <w:rFonts w:cstheme="minorHAnsi"/>
          <w:sz w:val="24"/>
          <w:szCs w:val="24"/>
        </w:rPr>
      </w:pPr>
      <w:r w:rsidRPr="001A4663">
        <w:rPr>
          <w:rFonts w:cstheme="minorHAnsi"/>
          <w:sz w:val="24"/>
          <w:szCs w:val="24"/>
        </w:rPr>
        <w:t>W ramach wykonania Przedmiotu zamówienia, Wykonawca zobowiązany będzie do wskazania Zamawiającemu decyzji, pozwoleń, opinii, wypisów, i wyrysów oraz innych wymaganych dokumentów, które należy uzyskać ce</w:t>
      </w:r>
      <w:r w:rsidR="00C76C37">
        <w:rPr>
          <w:rFonts w:cstheme="minorHAnsi"/>
          <w:sz w:val="24"/>
          <w:szCs w:val="24"/>
        </w:rPr>
        <w:t>lem dalszej realizacji zadania,</w:t>
      </w:r>
      <w:r w:rsidR="00C76C37">
        <w:rPr>
          <w:rFonts w:cstheme="minorHAnsi"/>
          <w:sz w:val="24"/>
          <w:szCs w:val="24"/>
        </w:rPr>
        <w:br/>
      </w:r>
      <w:r w:rsidRPr="001A4663">
        <w:rPr>
          <w:rFonts w:cstheme="minorHAnsi"/>
          <w:sz w:val="24"/>
          <w:szCs w:val="24"/>
        </w:rPr>
        <w:t>w szczególności:</w:t>
      </w:r>
    </w:p>
    <w:p w:rsidR="007F2194" w:rsidRPr="001A4663" w:rsidRDefault="008007CF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analizy</w:t>
      </w:r>
      <w:r w:rsidR="007F2194" w:rsidRPr="001A4663">
        <w:rPr>
          <w:rFonts w:asciiTheme="minorHAnsi" w:hAnsiTheme="minorHAnsi" w:cstheme="minorHAnsi"/>
          <w:sz w:val="24"/>
          <w:szCs w:val="24"/>
        </w:rPr>
        <w:t>, czy niezbędnym jest uzyskanie decyzji o</w:t>
      </w:r>
      <w:r w:rsidR="00C76C37">
        <w:rPr>
          <w:rFonts w:asciiTheme="minorHAnsi" w:hAnsiTheme="minorHAnsi" w:cstheme="minorHAnsi"/>
          <w:sz w:val="24"/>
          <w:szCs w:val="24"/>
        </w:rPr>
        <w:t xml:space="preserve"> warunkach zabudowy lub decyzji</w:t>
      </w:r>
      <w:r w:rsidR="00C76C37">
        <w:rPr>
          <w:rFonts w:asciiTheme="minorHAnsi" w:hAnsiTheme="minorHAnsi" w:cstheme="minorHAnsi"/>
          <w:sz w:val="24"/>
          <w:szCs w:val="24"/>
        </w:rPr>
        <w:br/>
      </w:r>
      <w:r w:rsidR="007F2194" w:rsidRPr="001A4663">
        <w:rPr>
          <w:rFonts w:asciiTheme="minorHAnsi" w:hAnsiTheme="minorHAnsi" w:cstheme="minorHAnsi"/>
          <w:sz w:val="24"/>
          <w:szCs w:val="24"/>
        </w:rPr>
        <w:t>o lokalizacji inwestycji celu publicznego;</w:t>
      </w:r>
    </w:p>
    <w:p w:rsidR="007F2194" w:rsidRPr="001A4663" w:rsidRDefault="008007CF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lastRenderedPageBreak/>
        <w:t>analizy</w:t>
      </w:r>
      <w:r w:rsidR="007F2194" w:rsidRPr="001A4663">
        <w:rPr>
          <w:rFonts w:asciiTheme="minorHAnsi" w:hAnsiTheme="minorHAnsi" w:cstheme="minorHAnsi"/>
          <w:sz w:val="24"/>
          <w:szCs w:val="24"/>
        </w:rPr>
        <w:t>, czy dane lokalizacje są objęte formą ochrony krajobrazu, w tym systemem ochrony przyrody Natura 2000;</w:t>
      </w:r>
    </w:p>
    <w:p w:rsidR="007F2194" w:rsidRPr="001A4663" w:rsidRDefault="008007CF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analizy</w:t>
      </w:r>
      <w:r w:rsidR="007F2194" w:rsidRPr="001A4663">
        <w:rPr>
          <w:rFonts w:asciiTheme="minorHAnsi" w:hAnsiTheme="minorHAnsi" w:cstheme="minorHAnsi"/>
          <w:sz w:val="24"/>
          <w:szCs w:val="24"/>
        </w:rPr>
        <w:t>, czy niezbędnym jest uzyskanie oceny oddziaływania na środowisko;</w:t>
      </w:r>
    </w:p>
    <w:p w:rsidR="007F2194" w:rsidRPr="001A4663" w:rsidRDefault="007F2194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uzyskania niezbędnych warunków technicznych</w:t>
      </w:r>
      <w:r w:rsidR="006768BA" w:rsidRPr="001A4663">
        <w:rPr>
          <w:rFonts w:asciiTheme="minorHAnsi" w:hAnsiTheme="minorHAnsi" w:cstheme="minorHAnsi"/>
          <w:sz w:val="24"/>
          <w:szCs w:val="24"/>
        </w:rPr>
        <w:t>/wymagań technicznych</w:t>
      </w:r>
      <w:r w:rsidRPr="001A4663">
        <w:rPr>
          <w:rFonts w:asciiTheme="minorHAnsi" w:hAnsiTheme="minorHAnsi" w:cstheme="minorHAnsi"/>
          <w:sz w:val="24"/>
          <w:szCs w:val="24"/>
        </w:rPr>
        <w:t>, opinii oraz poczynienia ustaleń, pozwalających na ocenę zgodności przyjętych w ekspertyzie rozwiązań z przepisami odrębnymi;</w:t>
      </w:r>
      <w:r w:rsidRPr="001A466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:rsidR="007F2194" w:rsidRPr="001A4663" w:rsidRDefault="007F2194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uzyskania mapy zasadniczej dwóch terenów przeznaczonych pod wykonanie instalacji fotowoltaicznych;</w:t>
      </w:r>
    </w:p>
    <w:p w:rsidR="007F2194" w:rsidRPr="001A4663" w:rsidRDefault="007F2194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 xml:space="preserve">uwzględnienia i uzyskania nowych warunków technicznych przyłączenia do sieci elektroenergetycznej; </w:t>
      </w:r>
    </w:p>
    <w:p w:rsidR="007F2194" w:rsidRPr="001A4663" w:rsidRDefault="007F2194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zgromadzenia niezbędnej dokumentacji, wytycznych oraz materiałów pozwalających zrealizować Przedmiot Umowy, m.in. dokumentację wymaganą przez Enea Operator;</w:t>
      </w:r>
    </w:p>
    <w:p w:rsidR="007F2194" w:rsidRPr="00ED369E" w:rsidRDefault="008007CF" w:rsidP="00ED369E">
      <w:pPr>
        <w:pStyle w:val="Akapitzlist"/>
        <w:widowControl/>
        <w:numPr>
          <w:ilvl w:val="0"/>
          <w:numId w:val="4"/>
        </w:numPr>
        <w:autoSpaceDE/>
        <w:autoSpaceDN/>
        <w:spacing w:before="120" w:line="276" w:lineRule="auto"/>
        <w:ind w:left="45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analizy</w:t>
      </w:r>
      <w:r w:rsidR="007F2194" w:rsidRPr="001A4663">
        <w:rPr>
          <w:rFonts w:asciiTheme="minorHAnsi" w:hAnsiTheme="minorHAnsi" w:cstheme="minorHAnsi"/>
          <w:sz w:val="24"/>
          <w:szCs w:val="24"/>
        </w:rPr>
        <w:t xml:space="preserve">, czy na danym terenie obowiązuje Miejscowy Plan Zagospodarowania Przestrzennego i czy wprowadza on ograniczenia w realizacji zadania. </w:t>
      </w:r>
    </w:p>
    <w:p w:rsidR="007F2194" w:rsidRPr="001A4663" w:rsidRDefault="007F2194" w:rsidP="00ED369E">
      <w:pPr>
        <w:spacing w:before="120" w:line="276" w:lineRule="auto"/>
        <w:rPr>
          <w:rFonts w:cstheme="minorHAnsi"/>
          <w:sz w:val="24"/>
          <w:szCs w:val="24"/>
        </w:rPr>
      </w:pPr>
      <w:r w:rsidRPr="001A4663">
        <w:rPr>
          <w:rFonts w:cstheme="minorHAnsi"/>
          <w:sz w:val="24"/>
          <w:szCs w:val="24"/>
        </w:rPr>
        <w:t xml:space="preserve">W ramach zadania Wykonawca zobowiązany będzie do </w:t>
      </w:r>
      <w:r w:rsidRPr="001A4663">
        <w:rPr>
          <w:rFonts w:cstheme="minorHAnsi"/>
          <w:sz w:val="24"/>
          <w:szCs w:val="24"/>
          <w:shd w:val="clear" w:color="auto" w:fill="FFFFFF"/>
        </w:rPr>
        <w:t xml:space="preserve">samodzielnego dokonania oględzin terenu Nowego ZOO, </w:t>
      </w:r>
      <w:r w:rsidRPr="001A4663">
        <w:rPr>
          <w:rFonts w:cstheme="minorHAnsi"/>
          <w:sz w:val="24"/>
          <w:szCs w:val="24"/>
        </w:rPr>
        <w:t>w tym dokonania inwentaryzacji architektonicznej i krajobrazowej lub inwentaryzacji terenu, służącej wykonaniu wariantów inwestycji.</w:t>
      </w:r>
    </w:p>
    <w:p w:rsidR="007F2194" w:rsidRPr="001A4663" w:rsidRDefault="007F2194" w:rsidP="00ED369E">
      <w:pPr>
        <w:pStyle w:val="Default"/>
        <w:spacing w:before="120" w:line="276" w:lineRule="auto"/>
        <w:rPr>
          <w:rFonts w:asciiTheme="minorHAnsi" w:hAnsiTheme="minorHAnsi" w:cstheme="minorHAnsi"/>
          <w:color w:val="auto"/>
        </w:rPr>
      </w:pPr>
      <w:r w:rsidRPr="001A4663">
        <w:rPr>
          <w:rFonts w:asciiTheme="minorHAnsi" w:hAnsiTheme="minorHAnsi" w:cstheme="minorHAnsi"/>
          <w:lang w:eastAsia="pl-PL"/>
        </w:rPr>
        <w:t>Sporządzona przez Wykonawcę</w:t>
      </w:r>
      <w:r w:rsidRPr="001A4663">
        <w:rPr>
          <w:rFonts w:asciiTheme="minorHAnsi" w:hAnsiTheme="minorHAnsi" w:cstheme="minorHAnsi"/>
        </w:rPr>
        <w:t xml:space="preserve"> ekspertyza techniczna powinna</w:t>
      </w:r>
      <w:r w:rsidR="008007CF" w:rsidRPr="001A4663">
        <w:rPr>
          <w:rFonts w:asciiTheme="minorHAnsi" w:hAnsiTheme="minorHAnsi" w:cstheme="minorHAnsi"/>
        </w:rPr>
        <w:t xml:space="preserve"> m.in.</w:t>
      </w:r>
      <w:r w:rsidRPr="001A4663">
        <w:rPr>
          <w:rFonts w:asciiTheme="minorHAnsi" w:hAnsiTheme="minorHAnsi" w:cstheme="minorHAnsi"/>
        </w:rPr>
        <w:t xml:space="preserve">: </w:t>
      </w:r>
    </w:p>
    <w:p w:rsidR="007F2194" w:rsidRPr="001A4663" w:rsidRDefault="007F2194" w:rsidP="00ED369E">
      <w:pPr>
        <w:pStyle w:val="Default"/>
        <w:numPr>
          <w:ilvl w:val="0"/>
          <w:numId w:val="6"/>
        </w:numPr>
        <w:spacing w:before="120" w:line="276" w:lineRule="auto"/>
        <w:ind w:left="454"/>
        <w:rPr>
          <w:rFonts w:asciiTheme="minorHAnsi" w:hAnsiTheme="minorHAnsi" w:cstheme="minorHAnsi"/>
          <w:color w:val="auto"/>
        </w:rPr>
      </w:pPr>
      <w:r w:rsidRPr="001A4663">
        <w:rPr>
          <w:rFonts w:asciiTheme="minorHAnsi" w:hAnsiTheme="minorHAnsi" w:cstheme="minorHAnsi"/>
          <w:color w:val="auto"/>
        </w:rPr>
        <w:t>uwzględniać uwarunkowania lokalne, stan prawny budynków oraz infrastrukturę techniczną;</w:t>
      </w:r>
    </w:p>
    <w:p w:rsidR="006768BA" w:rsidRPr="00ED369E" w:rsidRDefault="007F2194" w:rsidP="00ED369E">
      <w:pPr>
        <w:pStyle w:val="Default"/>
        <w:numPr>
          <w:ilvl w:val="0"/>
          <w:numId w:val="6"/>
        </w:numPr>
        <w:spacing w:before="120" w:line="276" w:lineRule="auto"/>
        <w:ind w:left="454"/>
        <w:rPr>
          <w:rFonts w:asciiTheme="minorHAnsi" w:hAnsiTheme="minorHAnsi" w:cstheme="minorHAnsi"/>
          <w:color w:val="auto"/>
        </w:rPr>
      </w:pPr>
      <w:r w:rsidRPr="001A4663">
        <w:rPr>
          <w:rFonts w:asciiTheme="minorHAnsi" w:hAnsiTheme="minorHAnsi" w:cstheme="minorHAnsi"/>
          <w:color w:val="auto"/>
        </w:rPr>
        <w:t>być zgodna z obowiązującymi przepisami, normam</w:t>
      </w:r>
      <w:r w:rsidR="00C76C37">
        <w:rPr>
          <w:rFonts w:asciiTheme="minorHAnsi" w:hAnsiTheme="minorHAnsi" w:cstheme="minorHAnsi"/>
          <w:color w:val="auto"/>
        </w:rPr>
        <w:t>i, zasadami wiedzy współczesnej</w:t>
      </w:r>
      <w:r w:rsidR="00C76C37">
        <w:rPr>
          <w:rFonts w:asciiTheme="minorHAnsi" w:hAnsiTheme="minorHAnsi" w:cstheme="minorHAnsi"/>
          <w:color w:val="auto"/>
        </w:rPr>
        <w:br/>
      </w:r>
      <w:r w:rsidRPr="001A4663">
        <w:rPr>
          <w:rFonts w:asciiTheme="minorHAnsi" w:hAnsiTheme="minorHAnsi" w:cstheme="minorHAnsi"/>
          <w:color w:val="auto"/>
        </w:rPr>
        <w:t xml:space="preserve">i uznanymi regułami technicznymi, przepisami prawa Budowlanego oraz przepisami powiązanymi, a także powinna być opracowana na podstawie polskich norm przenoszących normy europejskie oraz europejskich ocen technicznych, rozumianych jako udokumentowane oceny działania wyrobu budowlanego względem jego podstawowych cech. </w:t>
      </w:r>
    </w:p>
    <w:p w:rsidR="007F2194" w:rsidRPr="00ED369E" w:rsidRDefault="007F2194" w:rsidP="00ED369E">
      <w:pPr>
        <w:spacing w:before="120" w:after="0" w:line="276" w:lineRule="auto"/>
        <w:rPr>
          <w:rFonts w:cstheme="minorHAnsi"/>
          <w:sz w:val="24"/>
          <w:szCs w:val="24"/>
        </w:rPr>
      </w:pPr>
      <w:r w:rsidRPr="001A4663">
        <w:rPr>
          <w:rFonts w:cstheme="minorHAnsi"/>
          <w:sz w:val="24"/>
          <w:szCs w:val="24"/>
        </w:rPr>
        <w:t>Powstały przedmiot zamówienia nie może naruszać praw autorskich osób trzecich. Wynagrodzenie Wykonawcy obejmuje przeniesienie na Zamawiającego autorskich praw majątkowych do ekspertyzy technicznej</w:t>
      </w:r>
      <w:r w:rsidR="008007CF" w:rsidRPr="001A4663">
        <w:rPr>
          <w:rFonts w:cstheme="minorHAnsi"/>
          <w:sz w:val="24"/>
          <w:szCs w:val="24"/>
        </w:rPr>
        <w:t xml:space="preserve">, zgodnie z </w:t>
      </w:r>
      <w:r w:rsidR="000925D1" w:rsidRPr="001A4663">
        <w:rPr>
          <w:rFonts w:cstheme="minorHAnsi"/>
          <w:bCs/>
          <w:sz w:val="24"/>
          <w:szCs w:val="24"/>
        </w:rPr>
        <w:t>§ 7</w:t>
      </w:r>
      <w:r w:rsidR="008007CF" w:rsidRPr="001A4663">
        <w:rPr>
          <w:rFonts w:cstheme="minorHAnsi"/>
          <w:bCs/>
          <w:sz w:val="24"/>
          <w:szCs w:val="24"/>
        </w:rPr>
        <w:t xml:space="preserve"> wzoru umowy.</w:t>
      </w:r>
    </w:p>
    <w:p w:rsidR="007F2194" w:rsidRPr="001A4663" w:rsidRDefault="007F2194" w:rsidP="00ED369E">
      <w:pPr>
        <w:autoSpaceDE w:val="0"/>
        <w:autoSpaceDN w:val="0"/>
        <w:adjustRightInd w:val="0"/>
        <w:spacing w:before="120" w:after="0" w:line="276" w:lineRule="auto"/>
        <w:rPr>
          <w:rFonts w:cstheme="minorHAnsi"/>
          <w:bCs/>
          <w:sz w:val="24"/>
          <w:szCs w:val="24"/>
        </w:rPr>
      </w:pPr>
      <w:r w:rsidRPr="001A4663">
        <w:rPr>
          <w:rFonts w:cstheme="minorHAnsi"/>
          <w:bCs/>
          <w:sz w:val="24"/>
          <w:szCs w:val="24"/>
        </w:rPr>
        <w:t>Uwarunkowania wykonania przedmiotu zamówienia:</w:t>
      </w:r>
    </w:p>
    <w:p w:rsidR="00251F24" w:rsidRPr="001A4663" w:rsidRDefault="007F2194" w:rsidP="00ED369E">
      <w:pPr>
        <w:pStyle w:val="Akapitzlist"/>
        <w:numPr>
          <w:ilvl w:val="0"/>
          <w:numId w:val="7"/>
        </w:numPr>
        <w:spacing w:before="120" w:line="276" w:lineRule="auto"/>
        <w:ind w:left="81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analizie należy poddać teren przy wjeździe do Ogrodu Zoologicznego od strony ul. Kaprala Wojtka (przy siedzibie Dyrekcji)</w:t>
      </w:r>
      <w:r w:rsidR="00251F24" w:rsidRPr="001A4663">
        <w:rPr>
          <w:rFonts w:asciiTheme="minorHAnsi" w:hAnsiTheme="minorHAnsi" w:cstheme="minorHAnsi"/>
          <w:sz w:val="24"/>
          <w:szCs w:val="24"/>
        </w:rPr>
        <w:t xml:space="preserve"> oraz </w:t>
      </w:r>
      <w:r w:rsidRPr="001A4663">
        <w:rPr>
          <w:rFonts w:asciiTheme="minorHAnsi" w:hAnsiTheme="minorHAnsi" w:cstheme="minorHAnsi"/>
          <w:sz w:val="24"/>
          <w:szCs w:val="24"/>
        </w:rPr>
        <w:t xml:space="preserve">teren </w:t>
      </w:r>
      <w:r w:rsidR="00C76C37">
        <w:rPr>
          <w:rFonts w:asciiTheme="minorHAnsi" w:hAnsiTheme="minorHAnsi" w:cstheme="minorHAnsi"/>
          <w:sz w:val="24"/>
          <w:szCs w:val="24"/>
        </w:rPr>
        <w:t xml:space="preserve">przy </w:t>
      </w:r>
      <w:proofErr w:type="spellStart"/>
      <w:r w:rsidR="00C76C37">
        <w:rPr>
          <w:rFonts w:asciiTheme="minorHAnsi" w:hAnsiTheme="minorHAnsi" w:cstheme="minorHAnsi"/>
          <w:sz w:val="24"/>
          <w:szCs w:val="24"/>
        </w:rPr>
        <w:t>Słoniarni</w:t>
      </w:r>
      <w:proofErr w:type="spellEnd"/>
      <w:r w:rsidR="00C76C37">
        <w:rPr>
          <w:rFonts w:asciiTheme="minorHAnsi" w:hAnsiTheme="minorHAnsi" w:cstheme="minorHAnsi"/>
          <w:sz w:val="24"/>
          <w:szCs w:val="24"/>
        </w:rPr>
        <w:t xml:space="preserve"> na zboczu doliny</w:t>
      </w:r>
      <w:r w:rsidR="00C76C37">
        <w:rPr>
          <w:rFonts w:asciiTheme="minorHAnsi" w:hAnsiTheme="minorHAnsi" w:cstheme="minorHAnsi"/>
          <w:sz w:val="24"/>
          <w:szCs w:val="24"/>
        </w:rPr>
        <w:br/>
      </w:r>
      <w:r w:rsidRPr="001A4663">
        <w:rPr>
          <w:rFonts w:asciiTheme="minorHAnsi" w:hAnsiTheme="minorHAnsi" w:cstheme="minorHAnsi"/>
          <w:sz w:val="24"/>
          <w:szCs w:val="24"/>
        </w:rPr>
        <w:t xml:space="preserve">w sąsiedztwie stacji </w:t>
      </w:r>
      <w:proofErr w:type="spellStart"/>
      <w:r w:rsidRPr="001A4663">
        <w:rPr>
          <w:rFonts w:asciiTheme="minorHAnsi" w:hAnsiTheme="minorHAnsi" w:cstheme="minorHAnsi"/>
          <w:sz w:val="24"/>
          <w:szCs w:val="24"/>
        </w:rPr>
        <w:t>trafo</w:t>
      </w:r>
      <w:proofErr w:type="spellEnd"/>
      <w:r w:rsidR="00251F24" w:rsidRPr="001A4663">
        <w:rPr>
          <w:rFonts w:asciiTheme="minorHAnsi" w:hAnsiTheme="minorHAnsi" w:cstheme="minorHAnsi"/>
          <w:sz w:val="24"/>
          <w:szCs w:val="24"/>
        </w:rPr>
        <w:t>;</w:t>
      </w:r>
    </w:p>
    <w:p w:rsidR="00251F24" w:rsidRPr="001A4663" w:rsidRDefault="007F2194" w:rsidP="00ED369E">
      <w:pPr>
        <w:pStyle w:val="Akapitzlist"/>
        <w:numPr>
          <w:ilvl w:val="0"/>
          <w:numId w:val="7"/>
        </w:numPr>
        <w:spacing w:before="120" w:line="276" w:lineRule="auto"/>
        <w:ind w:left="81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istniejące zagospodarowanie terenu - stałe elementy zagospodarowania terenu jak zabudowa, woliery i wybiegi dla zwierząt, nawierzchnie utwardzone, ogrodzenia, infrastruktura techniczna, walory krajobrazowe</w:t>
      </w:r>
      <w:r w:rsidR="00251F24" w:rsidRPr="001A4663">
        <w:rPr>
          <w:rFonts w:asciiTheme="minorHAnsi" w:hAnsiTheme="minorHAnsi" w:cstheme="minorHAnsi"/>
          <w:sz w:val="24"/>
          <w:szCs w:val="24"/>
        </w:rPr>
        <w:t>;</w:t>
      </w:r>
    </w:p>
    <w:p w:rsidR="00251F24" w:rsidRPr="001A4663" w:rsidRDefault="007F2194" w:rsidP="00ED369E">
      <w:pPr>
        <w:pStyle w:val="Akapitzlist"/>
        <w:numPr>
          <w:ilvl w:val="0"/>
          <w:numId w:val="7"/>
        </w:numPr>
        <w:spacing w:before="120" w:line="276" w:lineRule="auto"/>
        <w:ind w:left="81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obecność  zinwentaryzowanych i niezinwentaryzowanych sieci podziemnych</w:t>
      </w:r>
      <w:r w:rsidR="00251F24" w:rsidRPr="001A4663">
        <w:rPr>
          <w:rFonts w:asciiTheme="minorHAnsi" w:hAnsiTheme="minorHAnsi" w:cstheme="minorHAnsi"/>
          <w:sz w:val="24"/>
          <w:szCs w:val="24"/>
        </w:rPr>
        <w:t>;</w:t>
      </w:r>
    </w:p>
    <w:p w:rsidR="00251F24" w:rsidRPr="001A4663" w:rsidRDefault="007F2194" w:rsidP="00ED369E">
      <w:pPr>
        <w:pStyle w:val="Akapitzlist"/>
        <w:numPr>
          <w:ilvl w:val="0"/>
          <w:numId w:val="7"/>
        </w:numPr>
        <w:spacing w:before="120" w:line="276" w:lineRule="auto"/>
        <w:ind w:left="81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występowanie drzew i krzewów</w:t>
      </w:r>
      <w:r w:rsidR="00251F24" w:rsidRPr="001A4663">
        <w:rPr>
          <w:rFonts w:asciiTheme="minorHAnsi" w:hAnsiTheme="minorHAnsi" w:cstheme="minorHAnsi"/>
          <w:sz w:val="24"/>
          <w:szCs w:val="24"/>
        </w:rPr>
        <w:t>;</w:t>
      </w:r>
    </w:p>
    <w:p w:rsidR="00B17A74" w:rsidRPr="00ED369E" w:rsidRDefault="007F2194" w:rsidP="00ED369E">
      <w:pPr>
        <w:pStyle w:val="Akapitzlist"/>
        <w:numPr>
          <w:ilvl w:val="0"/>
          <w:numId w:val="7"/>
        </w:numPr>
        <w:spacing w:before="120" w:line="276" w:lineRule="auto"/>
        <w:ind w:left="814"/>
        <w:rPr>
          <w:rFonts w:asciiTheme="minorHAnsi" w:hAnsiTheme="minorHAnsi" w:cstheme="minorHAnsi"/>
          <w:sz w:val="24"/>
          <w:szCs w:val="24"/>
        </w:rPr>
      </w:pPr>
      <w:r w:rsidRPr="001A4663">
        <w:rPr>
          <w:rFonts w:asciiTheme="minorHAnsi" w:hAnsiTheme="minorHAnsi" w:cstheme="minorHAnsi"/>
          <w:sz w:val="24"/>
          <w:szCs w:val="24"/>
        </w:rPr>
        <w:t>instalacja powinna być zabezpieczona przed dostępem osób niepowołanych</w:t>
      </w:r>
      <w:r w:rsidR="00251F24" w:rsidRPr="001A4663">
        <w:rPr>
          <w:rFonts w:asciiTheme="minorHAnsi" w:hAnsiTheme="minorHAnsi" w:cstheme="minorHAnsi"/>
          <w:sz w:val="24"/>
          <w:szCs w:val="24"/>
        </w:rPr>
        <w:t xml:space="preserve">. </w:t>
      </w:r>
    </w:p>
    <w:sectPr w:rsidR="00B17A74" w:rsidRPr="00ED36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A8B" w:rsidRDefault="00316A8B" w:rsidP="00A35DDD">
      <w:pPr>
        <w:spacing w:after="0" w:line="240" w:lineRule="auto"/>
      </w:pPr>
      <w:r>
        <w:separator/>
      </w:r>
    </w:p>
  </w:endnote>
  <w:endnote w:type="continuationSeparator" w:id="0">
    <w:p w:rsidR="00316A8B" w:rsidRDefault="00316A8B" w:rsidP="00A35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F2" w:rsidRDefault="00590F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F2" w:rsidRDefault="00590F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F2" w:rsidRDefault="00590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A8B" w:rsidRDefault="00316A8B" w:rsidP="00A35DDD">
      <w:pPr>
        <w:spacing w:after="0" w:line="240" w:lineRule="auto"/>
      </w:pPr>
      <w:r>
        <w:separator/>
      </w:r>
    </w:p>
  </w:footnote>
  <w:footnote w:type="continuationSeparator" w:id="0">
    <w:p w:rsidR="00316A8B" w:rsidRDefault="00316A8B" w:rsidP="00A35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F2" w:rsidRDefault="00590F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DDD" w:rsidRPr="00ED369E" w:rsidRDefault="00C42483">
    <w:pPr>
      <w:pStyle w:val="Nagwek"/>
      <w:rPr>
        <w:rFonts w:cstheme="minorHAnsi"/>
        <w:sz w:val="24"/>
        <w:szCs w:val="24"/>
      </w:rPr>
    </w:pPr>
    <w:r w:rsidRPr="00ED369E">
      <w:rPr>
        <w:rFonts w:cstheme="minorHAnsi"/>
        <w:sz w:val="24"/>
        <w:szCs w:val="24"/>
      </w:rPr>
      <w:t xml:space="preserve">Załącznik </w:t>
    </w:r>
    <w:r w:rsidR="00A35DDD" w:rsidRPr="00ED369E">
      <w:rPr>
        <w:rFonts w:cstheme="minorHAnsi"/>
        <w:sz w:val="24"/>
        <w:szCs w:val="24"/>
      </w:rPr>
      <w:t xml:space="preserve">nr 2 do Umowy dla cz. I </w:t>
    </w:r>
    <w:bookmarkStart w:id="0" w:name="_GoBack"/>
    <w:bookmarkEnd w:id="0"/>
    <w:r w:rsidR="00A35DDD" w:rsidRPr="00ED369E">
      <w:rPr>
        <w:rFonts w:cstheme="minorHAnsi"/>
        <w:sz w:val="24"/>
        <w:szCs w:val="24"/>
      </w:rPr>
      <w:t>nr……… z dnia……..…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F2" w:rsidRDefault="00590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1163"/>
    <w:multiLevelType w:val="hybridMultilevel"/>
    <w:tmpl w:val="03563EB0"/>
    <w:lvl w:ilvl="0" w:tplc="04150011">
      <w:start w:val="1"/>
      <w:numFmt w:val="decimal"/>
      <w:lvlText w:val="%1)"/>
      <w:lvlJc w:val="left"/>
      <w:pPr>
        <w:ind w:left="1726" w:hanging="360"/>
      </w:p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1" w15:restartNumberingAfterBreak="0">
    <w:nsid w:val="1E5C6D8D"/>
    <w:multiLevelType w:val="hybridMultilevel"/>
    <w:tmpl w:val="2D9C4448"/>
    <w:lvl w:ilvl="0" w:tplc="04150011">
      <w:start w:val="1"/>
      <w:numFmt w:val="decimal"/>
      <w:lvlText w:val="%1)"/>
      <w:lvlJc w:val="left"/>
      <w:pPr>
        <w:ind w:left="1726" w:hanging="360"/>
      </w:p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2" w15:restartNumberingAfterBreak="0">
    <w:nsid w:val="1F274832"/>
    <w:multiLevelType w:val="hybridMultilevel"/>
    <w:tmpl w:val="BDEED5CE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" w15:restartNumberingAfterBreak="0">
    <w:nsid w:val="461F6421"/>
    <w:multiLevelType w:val="hybridMultilevel"/>
    <w:tmpl w:val="247E7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7512C94"/>
    <w:multiLevelType w:val="hybridMultilevel"/>
    <w:tmpl w:val="E32EF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C7C5C"/>
    <w:multiLevelType w:val="hybridMultilevel"/>
    <w:tmpl w:val="639CF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F2E69B4"/>
    <w:multiLevelType w:val="hybridMultilevel"/>
    <w:tmpl w:val="6F464972"/>
    <w:lvl w:ilvl="0" w:tplc="04150011">
      <w:start w:val="1"/>
      <w:numFmt w:val="decimal"/>
      <w:lvlText w:val="%1)"/>
      <w:lvlJc w:val="left"/>
      <w:pPr>
        <w:ind w:left="2446" w:hanging="360"/>
      </w:pPr>
    </w:lvl>
    <w:lvl w:ilvl="1" w:tplc="04150019" w:tentative="1">
      <w:start w:val="1"/>
      <w:numFmt w:val="lowerLetter"/>
      <w:lvlText w:val="%2."/>
      <w:lvlJc w:val="left"/>
      <w:pPr>
        <w:ind w:left="3166" w:hanging="360"/>
      </w:pPr>
    </w:lvl>
    <w:lvl w:ilvl="2" w:tplc="0415001B" w:tentative="1">
      <w:start w:val="1"/>
      <w:numFmt w:val="lowerRoman"/>
      <w:lvlText w:val="%3."/>
      <w:lvlJc w:val="right"/>
      <w:pPr>
        <w:ind w:left="3886" w:hanging="180"/>
      </w:pPr>
    </w:lvl>
    <w:lvl w:ilvl="3" w:tplc="0415000F" w:tentative="1">
      <w:start w:val="1"/>
      <w:numFmt w:val="decimal"/>
      <w:lvlText w:val="%4."/>
      <w:lvlJc w:val="left"/>
      <w:pPr>
        <w:ind w:left="4606" w:hanging="360"/>
      </w:pPr>
    </w:lvl>
    <w:lvl w:ilvl="4" w:tplc="04150019" w:tentative="1">
      <w:start w:val="1"/>
      <w:numFmt w:val="lowerLetter"/>
      <w:lvlText w:val="%5."/>
      <w:lvlJc w:val="left"/>
      <w:pPr>
        <w:ind w:left="5326" w:hanging="360"/>
      </w:pPr>
    </w:lvl>
    <w:lvl w:ilvl="5" w:tplc="0415001B" w:tentative="1">
      <w:start w:val="1"/>
      <w:numFmt w:val="lowerRoman"/>
      <w:lvlText w:val="%6."/>
      <w:lvlJc w:val="right"/>
      <w:pPr>
        <w:ind w:left="6046" w:hanging="180"/>
      </w:pPr>
    </w:lvl>
    <w:lvl w:ilvl="6" w:tplc="0415000F" w:tentative="1">
      <w:start w:val="1"/>
      <w:numFmt w:val="decimal"/>
      <w:lvlText w:val="%7."/>
      <w:lvlJc w:val="left"/>
      <w:pPr>
        <w:ind w:left="6766" w:hanging="360"/>
      </w:pPr>
    </w:lvl>
    <w:lvl w:ilvl="7" w:tplc="04150019" w:tentative="1">
      <w:start w:val="1"/>
      <w:numFmt w:val="lowerLetter"/>
      <w:lvlText w:val="%8."/>
      <w:lvlJc w:val="left"/>
      <w:pPr>
        <w:ind w:left="7486" w:hanging="360"/>
      </w:pPr>
    </w:lvl>
    <w:lvl w:ilvl="8" w:tplc="0415001B" w:tentative="1">
      <w:start w:val="1"/>
      <w:numFmt w:val="lowerRoman"/>
      <w:lvlText w:val="%9."/>
      <w:lvlJc w:val="right"/>
      <w:pPr>
        <w:ind w:left="8206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D"/>
    <w:rsid w:val="00055CCC"/>
    <w:rsid w:val="000925D1"/>
    <w:rsid w:val="000D617A"/>
    <w:rsid w:val="00120ABE"/>
    <w:rsid w:val="001A40EB"/>
    <w:rsid w:val="001A4663"/>
    <w:rsid w:val="00224ACD"/>
    <w:rsid w:val="0023146A"/>
    <w:rsid w:val="00251F24"/>
    <w:rsid w:val="002B0499"/>
    <w:rsid w:val="00316A8B"/>
    <w:rsid w:val="00327189"/>
    <w:rsid w:val="00590FF2"/>
    <w:rsid w:val="00635387"/>
    <w:rsid w:val="006768BA"/>
    <w:rsid w:val="006D1D1C"/>
    <w:rsid w:val="007F090C"/>
    <w:rsid w:val="007F2194"/>
    <w:rsid w:val="008007CF"/>
    <w:rsid w:val="00A35DDD"/>
    <w:rsid w:val="00B17A74"/>
    <w:rsid w:val="00BC657D"/>
    <w:rsid w:val="00C40C09"/>
    <w:rsid w:val="00C42483"/>
    <w:rsid w:val="00C76C37"/>
    <w:rsid w:val="00D17FF3"/>
    <w:rsid w:val="00D869F3"/>
    <w:rsid w:val="00ED369E"/>
    <w:rsid w:val="00EE551D"/>
    <w:rsid w:val="00EE5AE3"/>
    <w:rsid w:val="00F2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F7341E"/>
  <w15:chartTrackingRefBased/>
  <w15:docId w15:val="{81888A04-0C50-4701-A1AE-2CCA20B6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A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17A7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kern w:val="1"/>
      <w:sz w:val="24"/>
      <w:szCs w:val="24"/>
      <w:lang w:eastAsia="ar-SA"/>
    </w:rPr>
  </w:style>
  <w:style w:type="paragraph" w:styleId="Akapitzlist">
    <w:name w:val="List Paragraph"/>
    <w:aliases w:val="Akapit główny,Lista Beata,Lettre d'introduction,L1,Numerowanie,Akapit z listą5,BulletC,Wyliczanie,Obiekt,normalny tekst,Nagłowek 3,Preambuła,Akapit z listą BS,Kolorowa lista — akcent 11,Dot pt,F5 List Paragraph,Recommendation,lp1"/>
    <w:basedOn w:val="Normalny"/>
    <w:link w:val="AkapitzlistZnak"/>
    <w:uiPriority w:val="34"/>
    <w:qFormat/>
    <w:rsid w:val="00B17A7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</w:rPr>
  </w:style>
  <w:style w:type="character" w:customStyle="1" w:styleId="AkapitzlistZnak">
    <w:name w:val="Akapit z listą Znak"/>
    <w:aliases w:val="Akapit główny Znak,Lista Beata Znak,Lettre d'introduction Znak,L1 Znak,Numerowanie Znak,Akapit z listą5 Znak,BulletC Znak,Wyliczanie Znak,Obiekt Znak,normalny tekst Znak,Nagłowek 3 Znak,Preambuła Znak,Akapit z listą BS Znak,lp1 Znak"/>
    <w:link w:val="Akapitzlist"/>
    <w:uiPriority w:val="34"/>
    <w:qFormat/>
    <w:locked/>
    <w:rsid w:val="00B17A74"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A35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DDD"/>
  </w:style>
  <w:style w:type="paragraph" w:styleId="Stopka">
    <w:name w:val="footer"/>
    <w:basedOn w:val="Normalny"/>
    <w:link w:val="StopkaZnak"/>
    <w:uiPriority w:val="99"/>
    <w:unhideWhenUsed/>
    <w:rsid w:val="00A35D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DDD"/>
  </w:style>
  <w:style w:type="paragraph" w:styleId="Tekstdymka">
    <w:name w:val="Balloon Text"/>
    <w:basedOn w:val="Normalny"/>
    <w:link w:val="TekstdymkaZnak"/>
    <w:uiPriority w:val="99"/>
    <w:semiHidden/>
    <w:unhideWhenUsed/>
    <w:rsid w:val="00676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Kotarska</dc:creator>
  <cp:keywords/>
  <dc:description/>
  <cp:lastModifiedBy>Marta Rutkowska</cp:lastModifiedBy>
  <cp:revision>26</cp:revision>
  <cp:lastPrinted>2024-05-28T09:42:00Z</cp:lastPrinted>
  <dcterms:created xsi:type="dcterms:W3CDTF">2024-03-21T10:24:00Z</dcterms:created>
  <dcterms:modified xsi:type="dcterms:W3CDTF">2024-06-12T11:18:00Z</dcterms:modified>
</cp:coreProperties>
</file>