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AF" w:rsidRDefault="00F20EE9" w:rsidP="00F20EE9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F20EE9">
        <w:rPr>
          <w:rFonts w:ascii="Arial" w:hAnsi="Arial" w:cs="Arial"/>
          <w:i/>
          <w:iCs/>
          <w:sz w:val="16"/>
          <w:szCs w:val="16"/>
        </w:rPr>
        <w:t>Załącznik nr 5 do SWZ</w:t>
      </w:r>
    </w:p>
    <w:p w:rsidR="00F20EE9" w:rsidRDefault="00F20EE9" w:rsidP="00F20EE9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F20EE9" w:rsidRPr="00F20EE9" w:rsidRDefault="00F20EE9" w:rsidP="00F20EE9">
      <w:pPr>
        <w:tabs>
          <w:tab w:val="left" w:pos="851"/>
        </w:tabs>
        <w:spacing w:after="3" w:line="264" w:lineRule="auto"/>
        <w:ind w:left="709" w:hanging="28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 xml:space="preserve">Z postępowania o udzielenie zamówienia Zamawiający wykluczy wykonawcę wobec którego zachodzą podstawy wykluczenia określone w : </w:t>
      </w:r>
    </w:p>
    <w:p w:rsidR="00F20EE9" w:rsidRPr="00F20EE9" w:rsidRDefault="00F20EE9" w:rsidP="00F20EE9">
      <w:pPr>
        <w:tabs>
          <w:tab w:val="left" w:pos="993"/>
        </w:tabs>
        <w:spacing w:after="3" w:line="264" w:lineRule="auto"/>
        <w:ind w:left="709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1)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art. 108 ust. 1 ustawy Pzp odpowiednio z zastrzeżeniem art. 110 ust. 2 i 3 ustawy Pzp: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będącego osobą fizyczną, którego prawomocnie skazano za przestępstwo: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a1)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a2)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handlu ludźmi, o którym mowa w art. 189a Kodeksu karnego,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a3)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a4)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a5)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a6)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 xml:space="preserve">powierzenia wykonywania pracy małoletniemu cudzoziemcowi, o którym mowa 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br/>
        <w:t>w art. 9 ust. 2 ustawy z dnia 15 czerwca 2012 r. o skutkach powierzania wykonywania pracy cudzoziemcom przebywającym wbrew przepisom na terytorium Rzeczypospolitej Polskiej (Dz. U. z 2021 r. poz. 1745),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a7)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 xml:space="preserve">przeciwko obrotowi gospodarczemu, o których mowa w art. 296-307 Kodeksu karnego, przestępstwo oszustwa, o którym mowa w art. 286 Kodeksu karnego, przestępstwo przeciwko wiarygodności dokumentów, o których mowa w art. 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br/>
        <w:t>270-277d Kodeksu karnego, lub przestępstwo skarbowe,</w:t>
      </w:r>
    </w:p>
    <w:p w:rsidR="00F20EE9" w:rsidRPr="00F20EE9" w:rsidRDefault="00F20EE9" w:rsidP="00F20EE9">
      <w:pPr>
        <w:spacing w:after="3" w:line="264" w:lineRule="auto"/>
        <w:ind w:left="1843" w:hanging="425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a8)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 xml:space="preserve">o którym mowa w art. 9 ust. 1 i 3 lub art. 10 ustawy z dnia 15 czerwca 2012 r. 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br/>
        <w:t>o skutkach powierzania wykonywania pracy cudzoziemcom przebywającym wbrew przepisom na terytorium Rzeczypospolitej Polskiej</w:t>
      </w:r>
    </w:p>
    <w:p w:rsidR="00F20EE9" w:rsidRPr="00F20EE9" w:rsidRDefault="00F20EE9" w:rsidP="00F20EE9">
      <w:pPr>
        <w:spacing w:after="3" w:line="264" w:lineRule="auto"/>
        <w:ind w:firstLine="1276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- lub za odpowiedni czyn zabroniony określony w przepisach prawa obcego;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b)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c)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d)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wobec którego prawomocnie orzeczono zakaz ubiegania się o zamówienia publiczne;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e)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20EE9" w:rsidRPr="00F20EE9" w:rsidRDefault="00F20EE9" w:rsidP="00F20EE9">
      <w:pPr>
        <w:spacing w:after="3" w:line="264" w:lineRule="auto"/>
        <w:ind w:left="99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f)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lastRenderedPageBreak/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20EE9" w:rsidRPr="00F20EE9" w:rsidRDefault="00F20EE9" w:rsidP="00F20EE9">
      <w:pPr>
        <w:tabs>
          <w:tab w:val="left" w:pos="993"/>
        </w:tabs>
        <w:spacing w:after="3" w:line="264" w:lineRule="auto"/>
        <w:ind w:left="709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2)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art. 109 ust. 1 pkt 4 ustawy Pzp, tj. wykonawcę:</w:t>
      </w:r>
    </w:p>
    <w:p w:rsidR="00F20EE9" w:rsidRPr="00F20EE9" w:rsidRDefault="00F20EE9" w:rsidP="00F20EE9">
      <w:pPr>
        <w:spacing w:after="3" w:line="264" w:lineRule="auto"/>
        <w:ind w:left="1276" w:hanging="28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 tej procedury.  </w:t>
      </w:r>
    </w:p>
    <w:p w:rsidR="00F20EE9" w:rsidRPr="00F20EE9" w:rsidRDefault="00F20EE9" w:rsidP="00F20EE9">
      <w:pPr>
        <w:tabs>
          <w:tab w:val="left" w:pos="993"/>
        </w:tabs>
        <w:spacing w:after="3" w:line="264" w:lineRule="auto"/>
        <w:ind w:left="993" w:hanging="284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3)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</w:r>
      <w:bookmarkStart w:id="0" w:name="_Hlk104206739"/>
      <w:bookmarkStart w:id="1" w:name="_Hlk104454314"/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bookmarkEnd w:id="0"/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 xml:space="preserve"> (Dz. U. z 2023 r. poz. 129 ze zm.), dalej ,,ustawa o przeciwdziałaniu wspierania agresji na Ukrainę”</w:t>
      </w:r>
      <w:bookmarkEnd w:id="1"/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:</w:t>
      </w:r>
    </w:p>
    <w:p w:rsidR="00F20EE9" w:rsidRPr="00F20EE9" w:rsidRDefault="00F20EE9" w:rsidP="00F20EE9">
      <w:pPr>
        <w:spacing w:after="3" w:line="264" w:lineRule="auto"/>
        <w:ind w:left="1276" w:hanging="28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a)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Wykonawcę wymienionego w wykazach określonych w rozporządzeniu Rady (WE) NR 765/2006 z dnia 18 maja 2006 r. dotyczące środków ograniczających w związku z sytuacją na Białorusi i udziałem Białorusi w agresji Rosji wobec Ukrainy (Dz. Urz. UE. L NR 134 str. 1, z późn. zm.) i rozporządzeniu Rady (UE) NR 269/2014 z dnia 17 marca 2014 r. w sprawie środków ograniczających w odniesieniu do działań podważających integralność terytorialną, suwerenność i niezależność Ukrainy lub im zagrażających (Dz. Urz. UE. L NR 78 str. 6, z późn. zm.) albo wpisanego na listę na podstawie decyzji w sprawie wpisu na listę rozstrzygającą o zastosowaniu środka, o którym mowa w art. 1 pkt 3 ustawy z dnia 13 kwietnia 2022 r. o szczególnych rozwiązaniach w zakresie przeciwdziałania wspieraniu agresji na Ukrainę (Dz. U. 2023 poz. 129 ze zm.);</w:t>
      </w:r>
    </w:p>
    <w:p w:rsidR="00F20EE9" w:rsidRPr="00F20EE9" w:rsidRDefault="00F20EE9" w:rsidP="00F20EE9">
      <w:pPr>
        <w:spacing w:after="3" w:line="264" w:lineRule="auto"/>
        <w:ind w:left="1276" w:hanging="28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b)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Wykonawcę, którego beneficjentem rzeczywistym w rozumieniu ustawy z dnia 1 marca 2018 r. o przeciwdziałaniu praniu pieniędzy oraz finansowaniu terroryzmu jest osoba wymieniona w wykazach określonych w rozporządzeniu Rady (WE) NR 765/2006 z dnia 18 maja 2006 r. dotyczące środków ograniczających w związku z sytuacją na Białorusi i udziałem Białorusi w agresji Rosji wobec Ukrainy (Dz. Urz. UE. L NR 134 str. 1, z późn. zm.) i rozporządzeniu Rady (UE) NR 269/2014 z dnia 17 marca 2014 r. w sprawie środków ograniczających w odniesieniu do działań podważających integralność terytorialną, suwerenność i niezależność Ukrainy lub im zagrażających (Dz. Urz. UE. L NR 78 str. 6, z późn. zm.) albo wpisana na listę lub będąca takim beneficjentem rzeczywistym od dnia 24 lutego 2022 r., o ile został wpisany na listę na podstawie decyzji w sprawie wpisu na listę rozstrzygającą o zastosowaniu środka, o którym mowa w art. 1 pkt 3 ustawy z dnia 13 kwietnia 2022 r. o szczególnych rozwiązaniach w zakresie przeciwdziałania wspieraniu agresji na Ukrainę (Dz. U. 2023 poz. 129 ze zm.);</w:t>
      </w:r>
    </w:p>
    <w:p w:rsidR="00F20EE9" w:rsidRPr="00F20EE9" w:rsidRDefault="00F20EE9" w:rsidP="00F20EE9">
      <w:pPr>
        <w:spacing w:after="3" w:line="264" w:lineRule="auto"/>
        <w:ind w:left="1276" w:hanging="283"/>
        <w:jc w:val="both"/>
        <w:rPr>
          <w:rFonts w:ascii="Arial" w:eastAsia="Cambria" w:hAnsi="Arial" w:cs="Arial"/>
          <w:color w:val="000000"/>
          <w:kern w:val="0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c)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Wykonawcę, którego jednostką dominującą w rozumieniu art. 3 ust. 1 pkt 37 ustawy z dnia 29 września 1994 r. o rachunkowości, jest podmiot wymieniony w wykazach określonych w rozporządzeniu Rady (WE) NR 765/2006 z dnia 18 maja 2006 r. dotyczące środków ograniczających w związku z sytuacją na Białorusi i udziałem Białorusi w agresji Rosji wobec Ukrainy (Dz. Urz. UE. L NR 134 str. 1, z późn. zm.) i rozporządzeniu Rady (UE) NR 269/2014 z dnia 17 marca 2014 r. w sprawie środków ograniczających w odniesieniu do działań podważających integralność terytorialną, suwerenność i niezależność Ukrainy lub im zagrażających (Dz. Urz. UE. L NR 78 str. 6, z późn. zm.) albo wpisany na listę lub będący taką jednostką dominującą od dnia 24 lutego 2022 r., o ile został wpisany na listę na podstawie decyzji w sprawie wpisu na listę rozstrzygającą o zastosowaniu środka, o którym mowa w art. 1 pkt 3 ustawy z dnia z dnia 13 kwietnia 2022 r. o szczególnych rozwiązaniach w zakresie przeciwdziałania wspieraniu agresji na Ukrainę (Dz. U. 2023 poz. 129 ze zm.).</w:t>
      </w:r>
    </w:p>
    <w:p w:rsidR="00F20EE9" w:rsidRPr="00F20EE9" w:rsidRDefault="00F20EE9" w:rsidP="00F20EE9">
      <w:pPr>
        <w:jc w:val="both"/>
        <w:rPr>
          <w:rFonts w:ascii="Arial" w:hAnsi="Arial" w:cs="Arial"/>
          <w:sz w:val="20"/>
          <w:szCs w:val="20"/>
        </w:rPr>
      </w:pP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>3.</w:t>
      </w:r>
      <w:r w:rsidRPr="00F20EE9">
        <w:rPr>
          <w:rFonts w:ascii="Arial" w:eastAsia="Cambria" w:hAnsi="Arial" w:cs="Arial"/>
          <w:color w:val="000000"/>
          <w:kern w:val="0"/>
          <w:sz w:val="20"/>
          <w:szCs w:val="20"/>
        </w:rPr>
        <w:tab/>
        <w:t>Wykluczenie, o którym mowa w ust. 2 pkt 3 lit. a, b i c powyżej, następuje na okres trwania tych okoliczności.</w:t>
      </w:r>
    </w:p>
    <w:sectPr w:rsidR="00F20EE9" w:rsidRPr="00F20EE9" w:rsidSect="008D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20EE9"/>
    <w:rsid w:val="00515A34"/>
    <w:rsid w:val="008D7239"/>
    <w:rsid w:val="00E4134E"/>
    <w:rsid w:val="00F20EE9"/>
    <w:rsid w:val="00F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2</cp:revision>
  <dcterms:created xsi:type="dcterms:W3CDTF">2023-05-02T17:13:00Z</dcterms:created>
  <dcterms:modified xsi:type="dcterms:W3CDTF">2023-05-02T17:13:00Z</dcterms:modified>
</cp:coreProperties>
</file>