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6B28B1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955A3A">
        <w:rPr>
          <w:rStyle w:val="ui-cell-data"/>
          <w:rFonts w:ascii="Arial" w:hAnsi="Arial" w:cs="Arial"/>
          <w:bCs/>
          <w:color w:val="FF0000"/>
          <w:sz w:val="18"/>
          <w:szCs w:val="18"/>
        </w:rPr>
        <w:t xml:space="preserve">             </w:t>
      </w:r>
      <w:r w:rsidR="00000088" w:rsidRPr="006B28B1">
        <w:rPr>
          <w:rFonts w:ascii="Arial" w:hAnsi="Arial" w:cs="Arial"/>
          <w:sz w:val="18"/>
          <w:szCs w:val="18"/>
        </w:rPr>
        <w:t>Kołbaskowo, dn. 12</w:t>
      </w:r>
      <w:r w:rsidR="00955A3A" w:rsidRPr="006B28B1">
        <w:rPr>
          <w:rFonts w:ascii="Arial" w:hAnsi="Arial" w:cs="Arial"/>
          <w:sz w:val="18"/>
          <w:szCs w:val="18"/>
        </w:rPr>
        <w:t>.03</w:t>
      </w:r>
      <w:r w:rsidRPr="006B28B1">
        <w:rPr>
          <w:rFonts w:ascii="Arial" w:hAnsi="Arial" w:cs="Arial"/>
          <w:sz w:val="18"/>
          <w:szCs w:val="18"/>
        </w:rPr>
        <w:t>.202</w:t>
      </w:r>
      <w:r w:rsidR="005B4BFA" w:rsidRPr="006B28B1">
        <w:rPr>
          <w:rFonts w:ascii="Arial" w:hAnsi="Arial" w:cs="Arial"/>
          <w:sz w:val="18"/>
          <w:szCs w:val="18"/>
        </w:rPr>
        <w:t>4</w:t>
      </w:r>
      <w:r w:rsidRPr="006B28B1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38AEF6F0" w:rsidR="005B4BFA" w:rsidRPr="006D54DA" w:rsidRDefault="007D3F6B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  <w:t>Wszyscy Wykonawcy</w:t>
      </w:r>
    </w:p>
    <w:p w14:paraId="42C30C28" w14:textId="0788D423" w:rsidR="005B4BFA" w:rsidRPr="00444EEB" w:rsidRDefault="00315592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  <w:r w:rsidRPr="006D54DA">
        <w:rPr>
          <w:rStyle w:val="ui-cell-data"/>
          <w:rFonts w:ascii="Arial" w:hAnsi="Arial" w:cs="Arial"/>
          <w:b/>
          <w:bCs/>
          <w:sz w:val="20"/>
        </w:rPr>
        <w:tab/>
      </w: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36B3DA6A" w:rsidR="008D34B7" w:rsidRPr="00315592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>taw pytań Nr 1 złożony w dniu 0</w:t>
      </w:r>
      <w:r w:rsidR="00955A3A">
        <w:rPr>
          <w:rFonts w:ascii="Arial" w:hAnsi="Arial" w:cs="Arial"/>
          <w:b/>
          <w:sz w:val="18"/>
          <w:szCs w:val="18"/>
        </w:rPr>
        <w:t>1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54EEAB14" w14:textId="77777777" w:rsidR="00955A3A" w:rsidRDefault="00955A3A" w:rsidP="00955A3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Czy realizowany inwestycja ma przyjęte obliczenia co do opraw Led zgodne z klasami oświetlenia</w:t>
      </w:r>
    </w:p>
    <w:p w14:paraId="217EE4EE" w14:textId="47ABB511" w:rsidR="005B4BFA" w:rsidRDefault="00955A3A" w:rsidP="00955A3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dróg M2 ,M3, M6 które zapewnią bezpieczeństwo na drogach, dołączenie odpowiednich obliczeń fotometrycznych do zamówienia.</w:t>
      </w:r>
    </w:p>
    <w:p w14:paraId="046B72AC" w14:textId="77777777" w:rsidR="00955A3A" w:rsidRPr="00955A3A" w:rsidRDefault="00955A3A" w:rsidP="00955A3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9BB0CC7" w14:textId="5F6AB4FB" w:rsidR="005B4BFA" w:rsidRPr="00955A3A" w:rsidRDefault="00853986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eastAsia="Calibri" w:hAnsi="Arial" w:cs="Arial"/>
          <w:bCs/>
          <w:sz w:val="18"/>
          <w:szCs w:val="18"/>
        </w:rPr>
        <w:t>Zamawiający potwierdza, że</w:t>
      </w:r>
      <w:r w:rsidR="00955A3A" w:rsidRPr="00955A3A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ma </w:t>
      </w:r>
      <w:r>
        <w:rPr>
          <w:rFonts w:ascii="Arial" w:eastAsiaTheme="minorHAnsi" w:hAnsi="Arial" w:cs="Arial"/>
          <w:bCs/>
          <w:iCs/>
          <w:color w:val="000000"/>
          <w:sz w:val="18"/>
          <w:szCs w:val="18"/>
          <w:lang w:eastAsia="en-US"/>
        </w:rPr>
        <w:t>obliczenia klasy drogi</w:t>
      </w:r>
      <w:r w:rsidR="00955A3A" w:rsidRPr="00955A3A">
        <w:rPr>
          <w:rFonts w:ascii="Arial" w:eastAsiaTheme="minorHAnsi" w:hAnsi="Arial" w:cs="Arial"/>
          <w:bCs/>
          <w:iCs/>
          <w:color w:val="000000"/>
          <w:sz w:val="18"/>
          <w:szCs w:val="18"/>
          <w:lang w:eastAsia="en-US"/>
        </w:rPr>
        <w:t xml:space="preserve"> M5. W załączeniu dołączamy obliczenia fotometryczne</w:t>
      </w:r>
      <w:r w:rsidR="00096812">
        <w:rPr>
          <w:rFonts w:ascii="Arial" w:eastAsiaTheme="minorHAnsi" w:hAnsi="Arial" w:cs="Arial"/>
          <w:bCs/>
          <w:iCs/>
          <w:color w:val="000000"/>
          <w:sz w:val="18"/>
          <w:szCs w:val="18"/>
          <w:lang w:eastAsia="en-US"/>
        </w:rPr>
        <w:t xml:space="preserve"> – plik o nazwie „OBLICZENIA”.</w:t>
      </w:r>
      <w:r w:rsidR="00761F15">
        <w:rPr>
          <w:rFonts w:ascii="Arial" w:eastAsiaTheme="minorHAnsi" w:hAnsi="Arial" w:cs="Arial"/>
          <w:bCs/>
          <w:iCs/>
          <w:color w:val="000000"/>
          <w:sz w:val="18"/>
          <w:szCs w:val="18"/>
          <w:lang w:eastAsia="en-US"/>
        </w:rPr>
        <w:t xml:space="preserve"> </w:t>
      </w:r>
      <w:r w:rsidR="00761F15">
        <w:rPr>
          <w:rFonts w:ascii="Arial" w:hAnsi="Arial" w:cs="Arial"/>
          <w:bCs/>
          <w:iCs/>
          <w:sz w:val="18"/>
          <w:szCs w:val="18"/>
        </w:rPr>
        <w:t>Obliczenia zostały</w:t>
      </w:r>
      <w:r w:rsidR="00761F15" w:rsidRPr="00780A35">
        <w:rPr>
          <w:rFonts w:ascii="Arial" w:hAnsi="Arial" w:cs="Arial"/>
          <w:bCs/>
          <w:iCs/>
          <w:sz w:val="18"/>
          <w:szCs w:val="18"/>
        </w:rPr>
        <w:t xml:space="preserve"> wykonane na konkretnym typie opraw</w:t>
      </w:r>
      <w:r w:rsidR="00761F15">
        <w:rPr>
          <w:rFonts w:ascii="Arial" w:hAnsi="Arial" w:cs="Arial"/>
          <w:bCs/>
          <w:iCs/>
          <w:sz w:val="18"/>
          <w:szCs w:val="18"/>
        </w:rPr>
        <w:t xml:space="preserve">. W związku z powyższym w dokumentacji projektowej jak i również w SWZ (rozdział 3 pkt 3.12 – 3.16) widnieją zapisy o dopuszczeniu przez Zamawiającego rozwiązań równoważnych oznaczając takie wskazania lub odniesienia odpowiednio wyrazami „lub równoważny” lub „lub równoważne”. </w:t>
      </w:r>
    </w:p>
    <w:p w14:paraId="4F9A0050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052503D" w14:textId="043D7094" w:rsidR="00955A3A" w:rsidRDefault="00955A3A" w:rsidP="00955A3A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2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620ACA16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DFDB359" w14:textId="77777777" w:rsidR="00955A3A" w:rsidRDefault="00955A3A" w:rsidP="00955A3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Proszę o dodanie do SIWZ więcej obowiązujących informacji i Norm na zamawiane i produkty w</w:t>
      </w:r>
    </w:p>
    <w:p w14:paraId="78D61AB2" w14:textId="77777777" w:rsidR="00955A3A" w:rsidRDefault="00955A3A" w:rsidP="00955A3A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opisach, w które ma zastosowane średnica minimalna wysięgnika mocowanie oraz uchwyt mocujący</w:t>
      </w:r>
    </w:p>
    <w:p w14:paraId="52F7A3B4" w14:textId="48CB15CD" w:rsidR="005B4BFA" w:rsidRDefault="00955A3A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lampę, a nie zostały podane .Zamiany czy wymiany słupów i wysokości słupów po zmianach w projekcie.</w:t>
      </w:r>
    </w:p>
    <w:p w14:paraId="06847627" w14:textId="77777777" w:rsidR="00955A3A" w:rsidRDefault="00955A3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64E03333" w14:textId="437F725B" w:rsidR="00955A3A" w:rsidRDefault="00955A3A" w:rsidP="00955A3A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2</w:t>
      </w:r>
    </w:p>
    <w:p w14:paraId="1B76FE8D" w14:textId="683B5EC6" w:rsidR="005B4BFA" w:rsidRPr="005B4BFA" w:rsidRDefault="005B4BFA" w:rsidP="00234BB3">
      <w:pPr>
        <w:jc w:val="both"/>
        <w:rPr>
          <w:rFonts w:ascii="Arial" w:hAnsi="Arial" w:cs="Arial"/>
          <w:b/>
          <w:sz w:val="20"/>
          <w:u w:val="single"/>
        </w:rPr>
      </w:pPr>
    </w:p>
    <w:p w14:paraId="663FD8D4" w14:textId="513D0B19" w:rsidR="00AC3624" w:rsidRDefault="00853986" w:rsidP="00955A3A">
      <w:pPr>
        <w:pStyle w:val="Default"/>
        <w:rPr>
          <w:rFonts w:ascii="Arial" w:hAnsi="Arial" w:cs="Arial"/>
          <w:sz w:val="20"/>
        </w:rPr>
      </w:pPr>
      <w:r>
        <w:rPr>
          <w:rFonts w:ascii="Arial" w:eastAsia="Calibri" w:hAnsi="Arial" w:cs="Arial"/>
          <w:bCs/>
          <w:sz w:val="18"/>
          <w:szCs w:val="18"/>
        </w:rPr>
        <w:t xml:space="preserve">W </w:t>
      </w:r>
      <w:r w:rsidR="00955A3A" w:rsidRPr="00AC3624">
        <w:rPr>
          <w:rFonts w:ascii="Arial" w:eastAsiaTheme="minorHAnsi" w:hAnsi="Arial" w:cs="Arial"/>
          <w:bCs/>
          <w:iCs/>
          <w:sz w:val="18"/>
          <w:szCs w:val="18"/>
          <w:lang w:eastAsia="en-US"/>
        </w:rPr>
        <w:t>szacunkowym zestawieniu materiałów (strona 11 opisu) znajdują się parametry słupów, wysięgników, jak i opraw oświetleniowych tj. Średnica nasadzenia wysięgnika na słup, średnica trzpienia słupa, średnica nasadzenia lampy na wysięgnik itp.</w:t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  <w:r w:rsidR="005B4BFA" w:rsidRPr="005B4BFA">
        <w:rPr>
          <w:rFonts w:ascii="Arial" w:hAnsi="Arial" w:cs="Arial"/>
          <w:sz w:val="20"/>
        </w:rPr>
        <w:tab/>
      </w:r>
    </w:p>
    <w:p w14:paraId="15CDF38F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19056CD9" w14:textId="2926E703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3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002D87A5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EE9F49C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Obowiązujące normy oświetlenia drogowego powinny zapewniać bezpieczeństwo osobom</w:t>
      </w:r>
    </w:p>
    <w:p w14:paraId="505A0001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poruszającym się po nich, oraz swobodę poruszania się wszystkim uczestników ruchu. nowych norm: PNEN</w:t>
      </w:r>
    </w:p>
    <w:p w14:paraId="27BEFF74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13201-2 :2016-03 . Czy powinny być zachowane prawo własności intelektualnej i przemysłowej co do</w:t>
      </w:r>
    </w:p>
    <w:p w14:paraId="655ADDDB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Diody Led i innych technologii świetlnych zastosowane w lampach Led, niniejszej zwalczaniu nieuczciwej</w:t>
      </w:r>
    </w:p>
    <w:p w14:paraId="69FDF6CB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konkurencji .</w:t>
      </w:r>
    </w:p>
    <w:p w14:paraId="4EF1BA96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Czy do analizy powinny służyły następujące akty prawne i dyrektywy EU i rozporządzenia oraz zgodnie z</w:t>
      </w:r>
    </w:p>
    <w:p w14:paraId="2A8FFB76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Ustawą 20 maj 2016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poz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 831 Energetyczną o przeprowadzeniu audytu energetycznego zgodnie z ,</w:t>
      </w:r>
    </w:p>
    <w:p w14:paraId="70AEB814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wynikający z art.4 ust.3 TUE oraz art.7 Konstytucji RP, obowiązek respektowania zasad prawa unijnego</w:t>
      </w:r>
    </w:p>
    <w:p w14:paraId="79D8CBC7" w14:textId="77777777" w:rsidR="00AC3624" w:rsidRDefault="00AC3624" w:rsidP="00AC362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przy wykonywaniu kompetencji przewidzianych dla niego w ustawy Prawa własności intelektualnych, z</w:t>
      </w:r>
    </w:p>
    <w:p w14:paraId="20835F87" w14:textId="0D0E7C85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zakresu własności przemysłowej.</w:t>
      </w:r>
    </w:p>
    <w:p w14:paraId="418946DF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AD3B773" w14:textId="0C501152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3</w:t>
      </w:r>
    </w:p>
    <w:p w14:paraId="7FCBAB17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436F9B13" w14:textId="4FD47CA2" w:rsidR="00AC3624" w:rsidRPr="00D51C44" w:rsidRDefault="00AC3624" w:rsidP="00AC3624">
      <w:pPr>
        <w:jc w:val="both"/>
        <w:rPr>
          <w:rFonts w:ascii="Arial" w:hAnsi="Arial" w:cs="Arial"/>
          <w:color w:val="0070C0"/>
          <w:sz w:val="18"/>
          <w:szCs w:val="18"/>
          <w:u w:val="single"/>
        </w:rPr>
      </w:pPr>
      <w:r w:rsidRPr="00D51C44">
        <w:rPr>
          <w:rFonts w:ascii="Arial" w:hAnsi="Arial" w:cs="Arial"/>
          <w:bCs/>
          <w:iCs/>
          <w:sz w:val="18"/>
          <w:szCs w:val="18"/>
        </w:rPr>
        <w:t xml:space="preserve">Projekt wykonano zgodnie z normą PN- EN 13201-2 :2016-03 oraz jest </w:t>
      </w:r>
      <w:r w:rsidR="00BC56A0">
        <w:rPr>
          <w:rFonts w:ascii="Arial" w:hAnsi="Arial" w:cs="Arial"/>
          <w:bCs/>
          <w:iCs/>
          <w:sz w:val="18"/>
          <w:szCs w:val="18"/>
        </w:rPr>
        <w:t xml:space="preserve">widnieje </w:t>
      </w:r>
      <w:r w:rsidRPr="00D51C44">
        <w:rPr>
          <w:rFonts w:ascii="Arial" w:hAnsi="Arial" w:cs="Arial"/>
          <w:bCs/>
          <w:iCs/>
          <w:sz w:val="18"/>
          <w:szCs w:val="18"/>
        </w:rPr>
        <w:t>zapis w pkt. 7.2 opisu „Obowiązujące normy i przepisy.”</w:t>
      </w:r>
    </w:p>
    <w:p w14:paraId="6DB96B01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D4AE9B1" w14:textId="462A7C40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4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3DF41BEB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5B1A877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Producent opraw oświetleniowych deklaruje zgodności z następującymi normami z zakresu</w:t>
      </w:r>
    </w:p>
    <w:p w14:paraId="0B989594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lastRenderedPageBreak/>
        <w:t>bezpieczeństwa użytkowania: Obecnie, na terenie UE obowiązują normy bezpieczeństwa IEC oraz wymogi</w:t>
      </w:r>
    </w:p>
    <w:p w14:paraId="77AF1904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bezpieczeństwa PNEN 60061, PN-EN 60598, PN-EN 61347, EN 62031, PN-EN 62471, PN-EN 62560 i PN- EN</w:t>
      </w:r>
    </w:p>
    <w:p w14:paraId="135FAEE2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62663-1. Przepisy te są ujęte w licznych Dyrektywach UE, m.in. w sprawie urządzeń niskonapięciowych i</w:t>
      </w:r>
    </w:p>
    <w:p w14:paraId="58C4D477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kompatybilności elektromagnetycznej oraz w przepisach (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ekoprojekt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) Gdzie warunkiem zapewniającym</w:t>
      </w:r>
    </w:p>
    <w:p w14:paraId="1217B432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zgodność jest posiadanie znaku CE przez produkty LED odnoszą się do Europejskiej Bazy Danych</w:t>
      </w:r>
    </w:p>
    <w:p w14:paraId="2BDD4C07" w14:textId="3268A946" w:rsidR="00D51C44" w:rsidRDefault="00D51C44" w:rsidP="00D51C4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Produktów dotyczących Etykietowania Energii.</w:t>
      </w:r>
    </w:p>
    <w:p w14:paraId="63BA823B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7315CB0" w14:textId="2098F391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4</w:t>
      </w:r>
    </w:p>
    <w:p w14:paraId="58DFE082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432A45D" w14:textId="738DF7BC" w:rsidR="00D51C44" w:rsidRPr="00D51C44" w:rsidRDefault="00853986" w:rsidP="00AC3624">
      <w:pPr>
        <w:jc w:val="both"/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bCs/>
          <w:iCs/>
          <w:sz w:val="18"/>
          <w:szCs w:val="18"/>
        </w:rPr>
        <w:t>Widnieje</w:t>
      </w:r>
      <w:r w:rsidR="00D51C44" w:rsidRPr="00D51C44">
        <w:rPr>
          <w:rFonts w:ascii="Arial" w:hAnsi="Arial" w:cs="Arial"/>
          <w:bCs/>
          <w:iCs/>
          <w:sz w:val="18"/>
          <w:szCs w:val="18"/>
        </w:rPr>
        <w:t xml:space="preserve"> zapis w pkt. 7.2 opisu „Obowiązujące normy i przepisy.” Na etapie składania wniosków materiałowych rolą nadzoru inwestorskiego weryfikacja czy proponowane produkty przez Wykonawcę posiadają wszystkie wymagane certyfikaty i spełniają zapisy norm</w:t>
      </w:r>
      <w:r w:rsidR="00D51C44">
        <w:rPr>
          <w:rFonts w:ascii="Arial" w:hAnsi="Arial" w:cs="Arial"/>
          <w:bCs/>
          <w:iCs/>
          <w:sz w:val="18"/>
          <w:szCs w:val="18"/>
        </w:rPr>
        <w:t>.</w:t>
      </w:r>
    </w:p>
    <w:p w14:paraId="6D665D00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1FB4C8C6" w14:textId="3ED9590E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5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75871CD5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A4AD14D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Od 1 stycznia 2019 r. dostawcy (importerzy, producenci) są zobowiązani do rejestracji swoich</w:t>
      </w:r>
    </w:p>
    <w:p w14:paraId="234C6498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urządzeń, które muszą posiadać etykietę energetyczną EPREL, zanim będą mogły zostać sprzedane na</w:t>
      </w:r>
    </w:p>
    <w:p w14:paraId="44BBEB2B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rynku europejskim. W dokumentach do projektu i SIWZ nie zostały uwzględnione Normy EU dla</w:t>
      </w:r>
    </w:p>
    <w:p w14:paraId="7839A330" w14:textId="77777777" w:rsidR="00D51C44" w:rsidRDefault="00D51C44" w:rsidP="00D51C4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użytkowników i wymogów bezpieczeństwa : Badania na zgodność Ustawy o ogólnym bezpieczeństwie</w:t>
      </w:r>
    </w:p>
    <w:p w14:paraId="31544196" w14:textId="56366F15" w:rsidR="00D51C44" w:rsidRDefault="00D51C44" w:rsidP="00D51C4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produktów, wymagania dla sprzętu elektrycznego i jego oznakowania:</w:t>
      </w:r>
    </w:p>
    <w:p w14:paraId="0864DBE8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BBDC8B2" w14:textId="6388E949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5</w:t>
      </w:r>
    </w:p>
    <w:p w14:paraId="5B6A0D77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2B8FF76" w14:textId="77777777" w:rsidR="00740B2C" w:rsidRDefault="00740B2C" w:rsidP="00740B2C">
      <w:pPr>
        <w:jc w:val="both"/>
        <w:rPr>
          <w:rFonts w:ascii="Arial" w:hAnsi="Arial" w:cs="Arial"/>
          <w:bCs/>
          <w:iCs/>
          <w:color w:val="FF0000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Poniżej tabela z przepisami prawnymi:</w:t>
      </w:r>
    </w:p>
    <w:p w14:paraId="7E2D2EED" w14:textId="77777777" w:rsidR="00740B2C" w:rsidRDefault="00740B2C" w:rsidP="00740B2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740B2C" w14:paraId="2FC5E4C1" w14:textId="77777777" w:rsidTr="00740B2C">
        <w:trPr>
          <w:trHeight w:val="20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ADE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Lp.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85C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Rodzaj i numer dokumentu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D6BA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Tytuł dokumentu </w:t>
            </w:r>
          </w:p>
          <w:p w14:paraId="2435673A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Prawo budowlane i przepisy wykonawcze </w:t>
            </w:r>
          </w:p>
        </w:tc>
      </w:tr>
      <w:tr w:rsidR="00740B2C" w14:paraId="027278A2" w14:textId="77777777" w:rsidTr="00740B2C">
        <w:trPr>
          <w:trHeight w:val="34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7AEE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1.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CDA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Ustawa z dn. 7 lipca 1994r. </w:t>
            </w:r>
          </w:p>
          <w:p w14:paraId="14F052B8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Prawo Budowlane </w:t>
            </w:r>
          </w:p>
          <w:p w14:paraId="62A2296B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Dz. U. z 2023r. poz. 683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E024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Dalsze zmiany: Dz.U. 2020 poz. 2320, Dz.U. 2021 poz. 11, Dz.U. 2021 poz. 234, Dz.U. 2021 poz. 282, Dz.U. 2021 poz. 784, 2023 poz. 683 </w:t>
            </w:r>
          </w:p>
        </w:tc>
      </w:tr>
      <w:tr w:rsidR="00740B2C" w14:paraId="15399FC9" w14:textId="77777777" w:rsidTr="00740B2C">
        <w:trPr>
          <w:trHeight w:val="21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121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2.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8B41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NSEP-E-004:2014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0F1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„Elektroenergetyczne i sygnalizacyjne linie kablowe. Projektowanie i budowa.” </w:t>
            </w:r>
          </w:p>
        </w:tc>
      </w:tr>
      <w:tr w:rsidR="00740B2C" w14:paraId="458FD21B" w14:textId="77777777" w:rsidTr="00740B2C">
        <w:trPr>
          <w:trHeight w:val="32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A84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9225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Rozporządzenie Ministra Infrastruktury </w:t>
            </w:r>
          </w:p>
          <w:p w14:paraId="27626744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z dnia 6 lutego 2003r.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CAB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w sprawie bezpieczeństwa i higieny pracy podczas wykonywania robót budowlanych - Dz.U. 2003r. nr 47 poz. 401 </w:t>
            </w:r>
          </w:p>
        </w:tc>
      </w:tr>
      <w:tr w:rsidR="00740B2C" w14:paraId="3D9615C0" w14:textId="77777777" w:rsidTr="00740B2C">
        <w:trPr>
          <w:trHeight w:val="32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250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4.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BFF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PN-HD 60364-4-41:2009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E3AC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Instalacje elektryczne niskiego napięcia -- Część 4-41: Ochrona dla zapewnienia bezpieczeństwa -- Ochrona przed porażeniem elektrycznym </w:t>
            </w:r>
          </w:p>
        </w:tc>
      </w:tr>
      <w:tr w:rsidR="00740B2C" w14:paraId="1BEE13CA" w14:textId="77777777" w:rsidTr="00740B2C">
        <w:trPr>
          <w:trHeight w:val="32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F8A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456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PN-HD 60364-4-43:2012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3F7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Instalacje elektryczne niskiego napięcia -- Część 4-43: Ochrona dla zapewnienia bezpieczeństwa -- Ochrona przed prądem przetężeniowym </w:t>
            </w:r>
          </w:p>
        </w:tc>
      </w:tr>
      <w:tr w:rsidR="00740B2C" w14:paraId="7CFA753C" w14:textId="77777777" w:rsidTr="00740B2C">
        <w:trPr>
          <w:trHeight w:val="21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3AF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6.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6600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PN-EN 12464-2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509" w14:textId="77777777" w:rsidR="00740B2C" w:rsidRDefault="00740B2C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Światło i oświetlenie. Oświetlenie miejsc pracy. Część 2: Miejsca pracy na zewnątrz </w:t>
            </w:r>
          </w:p>
        </w:tc>
      </w:tr>
    </w:tbl>
    <w:p w14:paraId="03D43C1C" w14:textId="77777777" w:rsidR="00D51C44" w:rsidRDefault="00D51C4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bookmarkStart w:id="0" w:name="_GoBack"/>
      <w:bookmarkEnd w:id="0"/>
    </w:p>
    <w:p w14:paraId="263BCADF" w14:textId="77777777" w:rsidR="00740B2C" w:rsidRDefault="00740B2C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5EE29311" w14:textId="77777777" w:rsidR="00740B2C" w:rsidRDefault="00740B2C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E937243" w14:textId="5DC68231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6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49933A9F" w14:textId="77777777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E03D9A1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Brak jest opisów ogólnych lampy i ich wielkości uchwytu i mocowania , jest niedopuszczalne</w:t>
      </w:r>
    </w:p>
    <w:p w14:paraId="34C0D65F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podawanie nazw opraw , powinna być podana charakterystyka i normy minimum powyżej 110 lumenów</w:t>
      </w:r>
    </w:p>
    <w:p w14:paraId="64ECCF07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1W netto, według zamienników światła sodowego na Led, które mogą ukierunkować wykonawcę i</w:t>
      </w:r>
    </w:p>
    <w:p w14:paraId="6BCF3B8C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inwestora jakie produkty przedstawić do rzetelnej przygotowanej wyceny dostosowując się do polityki</w:t>
      </w:r>
    </w:p>
    <w:p w14:paraId="082C5B4E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klimatycznej z zachowaniem strategii niskoemisyjnej rozwoju. Oraz wskazanie jego finansowania zgodnie</w:t>
      </w:r>
    </w:p>
    <w:p w14:paraId="28B7731D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z Rozporządzenie Parlamentu Europejskiego i Rady (UE,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Euratom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) 2018/1046 z dnia 18 lipca 2018 r. w</w:t>
      </w:r>
    </w:p>
    <w:p w14:paraId="20C7E6B8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sprawie zasad finansowych mających zastosowanie do budżetu ogólnego Unii,</w:t>
      </w:r>
    </w:p>
    <w:p w14:paraId="2FEAE9C0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zmieniające rozporządzenia (UE) nr 1296/2013, (UE) nr 1301/2013, (UE) nr 1303/2013, (UE) nr</w:t>
      </w:r>
    </w:p>
    <w:p w14:paraId="62163A79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1304/2013, (UE) nr 1309/2013, (UE) nr 1316/2013, (UE) nr 223/2014 i (UE) nr 283/2014 oraz decyzję nr</w:t>
      </w:r>
    </w:p>
    <w:p w14:paraId="09CE17FD" w14:textId="77777777" w:rsidR="00780A35" w:rsidRDefault="00780A35" w:rsidP="00780A3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541/2014/UE, a także uchylające rozporządzenie (UE,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Euratom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) nr 966/2012 (Dz.U. L 193 z 30.7.2018, s.</w:t>
      </w:r>
    </w:p>
    <w:p w14:paraId="4A17535A" w14:textId="427B0B31" w:rsidR="00780A35" w:rsidRDefault="00780A35" w:rsidP="00780A35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1). jeśli jest finansowany lub środki będą występowały o zwrot poniesionych nakładów.</w:t>
      </w:r>
    </w:p>
    <w:p w14:paraId="3032C9BE" w14:textId="77777777" w:rsidR="00780A35" w:rsidRDefault="00780A35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7AC918C5" w14:textId="1043FFCC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6</w:t>
      </w:r>
    </w:p>
    <w:p w14:paraId="05693F2E" w14:textId="77777777" w:rsidR="00780A35" w:rsidRDefault="00780A35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31A97C29" w14:textId="01C9E059" w:rsidR="00780A35" w:rsidRDefault="00853986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Cs/>
          <w:iCs/>
          <w:sz w:val="18"/>
          <w:szCs w:val="18"/>
        </w:rPr>
        <w:t>O</w:t>
      </w:r>
      <w:r w:rsidR="00780A35" w:rsidRPr="00780A35">
        <w:rPr>
          <w:rFonts w:ascii="Arial" w:hAnsi="Arial" w:cs="Arial"/>
          <w:bCs/>
          <w:iCs/>
          <w:sz w:val="18"/>
          <w:szCs w:val="18"/>
        </w:rPr>
        <w:t>bliczenia musiały zostać wykonane na konkretnym typie opraw</w:t>
      </w:r>
      <w:r w:rsidR="00780A35">
        <w:rPr>
          <w:rFonts w:ascii="Arial" w:hAnsi="Arial" w:cs="Arial"/>
          <w:bCs/>
          <w:iCs/>
          <w:sz w:val="18"/>
          <w:szCs w:val="18"/>
        </w:rPr>
        <w:t xml:space="preserve">. W związku z powyższym w dokumentacji projektowej </w:t>
      </w:r>
      <w:r w:rsidR="00955F13">
        <w:rPr>
          <w:rFonts w:ascii="Arial" w:hAnsi="Arial" w:cs="Arial"/>
          <w:bCs/>
          <w:iCs/>
          <w:sz w:val="18"/>
          <w:szCs w:val="18"/>
        </w:rPr>
        <w:t xml:space="preserve">jak i również w SWZ (rozdział 3 pkt 3.12 – 3.16) widnieją zapisy o dopuszczeniu przez Zamawiającego rozwiązań równoważnych oznaczając takie wskazania lub odniesienia odpowiednio wyrazami „lub równoważny” lub „lub równoważne”. </w:t>
      </w:r>
    </w:p>
    <w:p w14:paraId="663C1623" w14:textId="77777777" w:rsidR="00780A35" w:rsidRDefault="00780A35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7BCEF88" w14:textId="1E915900" w:rsidR="00AC3624" w:rsidRDefault="00AC3624" w:rsidP="00AC362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Pytanie nr 7</w:t>
      </w:r>
      <w:r w:rsidRPr="001E4EC3">
        <w:rPr>
          <w:rFonts w:ascii="Arial" w:hAnsi="Arial" w:cs="Arial"/>
          <w:b/>
          <w:sz w:val="20"/>
          <w:u w:val="single"/>
        </w:rPr>
        <w:t>:</w:t>
      </w:r>
    </w:p>
    <w:p w14:paraId="51CD643E" w14:textId="77777777" w:rsidR="00955F13" w:rsidRDefault="00955F13" w:rsidP="00AC3624">
      <w:pPr>
        <w:jc w:val="both"/>
        <w:rPr>
          <w:rFonts w:ascii="Arial" w:hAnsi="Arial" w:cs="Arial"/>
          <w:b/>
          <w:sz w:val="20"/>
          <w:u w:val="single"/>
        </w:rPr>
      </w:pPr>
    </w:p>
    <w:p w14:paraId="4148ED21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Czy wszystkie oprawy LED powinny spełniać niezbędne wytyczne zarówno co do sprzętu jak i jego</w:t>
      </w:r>
    </w:p>
    <w:p w14:paraId="25BDF251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znakowania. Niniejsza informacja zawiera wytyczne dotyczące zasad klasyfikacji sprzętu elektrycznego i</w:t>
      </w:r>
    </w:p>
    <w:p w14:paraId="0305D36A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elektronicznego zgodnie z ustawą z dnia 29 lipca 2005r. o zużytym sprzęcie elektrycznym i</w:t>
      </w:r>
    </w:p>
    <w:p w14:paraId="118C2FA6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elektronicznym (Dz. U. Nr 180, poz. 1495, Dz. U. z 2008r. Nr 223, poz. 1464 oraz z 2009r. Dz. U. Nr 79.</w:t>
      </w:r>
    </w:p>
    <w:p w14:paraId="4A0CB83E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Poz. 666), zwanej dalej ustawą. Zgodnie z ustawą z dnia 20 maja 2016 o efektywności energetycznej</w:t>
      </w:r>
    </w:p>
    <w:p w14:paraId="6504F132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przykładowo :Temperatura barwowa emitowanego światła 4000k (+/-100K) o Współczynnik oddawania</w:t>
      </w:r>
    </w:p>
    <w:p w14:paraId="09A600BB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barw RA większy lub równy 70 o Panel LED . Wyposażony w grupę soczewek kształtujących rozsyłu</w:t>
      </w:r>
    </w:p>
    <w:p w14:paraId="4076B92F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światła o charakterze drogowym, która nie oślepia kierowcy i nie powoduje odbicia światła od jezdni .</w:t>
      </w:r>
    </w:p>
    <w:p w14:paraId="25AB2335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Każda dioda na panelu LED posiada indywidualny element optyczny o takiej samej charakterystyce.</w:t>
      </w:r>
    </w:p>
    <w:p w14:paraId="317267A5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 przepisach przewidziany jest układ redukcji mocy , który powinien być stosowany według przepisów w</w:t>
      </w:r>
    </w:p>
    <w:p w14:paraId="0CFEF20C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lampach oświetleniowych, ma umożliwiać płynne nastawienie kilku progów natężenia oświetlenia</w:t>
      </w:r>
    </w:p>
    <w:p w14:paraId="2B986651" w14:textId="77777777" w:rsidR="00955F13" w:rsidRDefault="00955F13" w:rsidP="00955F1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świetlnego w zakresie co najmniej od 100 -30 % strumienia nominalnego * Temperatura pracy w zakresie</w:t>
      </w:r>
    </w:p>
    <w:p w14:paraId="4F8B71B1" w14:textId="1099EE7F" w:rsidR="00955F13" w:rsidRDefault="00955F13" w:rsidP="00955F13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-40 + 50 stopni .</w:t>
      </w:r>
    </w:p>
    <w:p w14:paraId="6B35C33F" w14:textId="77777777" w:rsidR="00955F13" w:rsidRDefault="00955F13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B443579" w14:textId="77777777" w:rsidR="007D3F6B" w:rsidRDefault="007D3F6B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0FC8420B" w14:textId="13362DAF" w:rsidR="00AC3624" w:rsidRDefault="00AC3624" w:rsidP="00AC3624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</w:t>
      </w:r>
      <w:r>
        <w:rPr>
          <w:rFonts w:ascii="Arial" w:hAnsi="Arial" w:cs="Arial"/>
          <w:b/>
          <w:color w:val="0070C0"/>
          <w:sz w:val="20"/>
          <w:u w:val="single"/>
        </w:rPr>
        <w:t>dpowiedź na pytanie nr 7</w:t>
      </w:r>
    </w:p>
    <w:p w14:paraId="1D5B40A6" w14:textId="77777777" w:rsidR="00955F13" w:rsidRDefault="00955F13" w:rsidP="00955A3A">
      <w:pPr>
        <w:pStyle w:val="Default"/>
        <w:rPr>
          <w:rFonts w:ascii="Arial" w:hAnsi="Arial" w:cs="Arial"/>
          <w:sz w:val="20"/>
        </w:rPr>
      </w:pPr>
    </w:p>
    <w:p w14:paraId="4D25679E" w14:textId="560510FE" w:rsidR="00955F13" w:rsidRDefault="0087131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T</w:t>
      </w:r>
      <w:r w:rsidR="00955F13" w:rsidRPr="00955F13">
        <w:rPr>
          <w:rFonts w:ascii="Arial" w:hAnsi="Arial" w:cs="Arial"/>
          <w:bCs/>
          <w:iCs/>
          <w:sz w:val="18"/>
          <w:szCs w:val="18"/>
        </w:rPr>
        <w:t>emperatura barwowa przykładowej lampy na której zostały wykonane obliczenia to 4000K</w:t>
      </w:r>
      <w:r w:rsidR="00955F13">
        <w:rPr>
          <w:rFonts w:ascii="Arial" w:hAnsi="Arial" w:cs="Arial"/>
          <w:bCs/>
          <w:iCs/>
          <w:sz w:val="18"/>
          <w:szCs w:val="18"/>
        </w:rPr>
        <w:t>.</w:t>
      </w:r>
    </w:p>
    <w:p w14:paraId="6A77CF38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11558EC8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1A5356AA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0A308097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01C1E99D" w14:textId="77777777" w:rsidR="00955F13" w:rsidRDefault="00955F13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579293B1" w:rsidR="005B4BFA" w:rsidRPr="00955F13" w:rsidRDefault="00955F13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849A1" w14:textId="77777777" w:rsidR="0027330A" w:rsidRDefault="0027330A" w:rsidP="00C469A9">
      <w:r>
        <w:separator/>
      </w:r>
    </w:p>
  </w:endnote>
  <w:endnote w:type="continuationSeparator" w:id="0">
    <w:p w14:paraId="3D3FF83C" w14:textId="77777777" w:rsidR="0027330A" w:rsidRDefault="0027330A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2C" w:rsidRPr="00740B2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3133" w14:textId="77777777" w:rsidR="0027330A" w:rsidRDefault="0027330A" w:rsidP="00C469A9">
      <w:r>
        <w:separator/>
      </w:r>
    </w:p>
  </w:footnote>
  <w:footnote w:type="continuationSeparator" w:id="0">
    <w:p w14:paraId="0AFF8C54" w14:textId="77777777" w:rsidR="0027330A" w:rsidRDefault="0027330A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7330A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3DD8"/>
    <w:rsid w:val="00326CF9"/>
    <w:rsid w:val="00327B3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952CE"/>
    <w:rsid w:val="004B52F3"/>
    <w:rsid w:val="004C18C9"/>
    <w:rsid w:val="004C3515"/>
    <w:rsid w:val="004D392C"/>
    <w:rsid w:val="004D44D0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ED8"/>
    <w:rsid w:val="00607EB8"/>
    <w:rsid w:val="00627B7E"/>
    <w:rsid w:val="00636B0F"/>
    <w:rsid w:val="006375A6"/>
    <w:rsid w:val="006548F1"/>
    <w:rsid w:val="006559AF"/>
    <w:rsid w:val="00662A98"/>
    <w:rsid w:val="00663259"/>
    <w:rsid w:val="006676B1"/>
    <w:rsid w:val="00672830"/>
    <w:rsid w:val="00692160"/>
    <w:rsid w:val="0069388F"/>
    <w:rsid w:val="006B0564"/>
    <w:rsid w:val="006B28B1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2C"/>
    <w:rsid w:val="00740B7B"/>
    <w:rsid w:val="00744888"/>
    <w:rsid w:val="007534A9"/>
    <w:rsid w:val="00753963"/>
    <w:rsid w:val="0075494C"/>
    <w:rsid w:val="00761F15"/>
    <w:rsid w:val="00762FD6"/>
    <w:rsid w:val="00780A35"/>
    <w:rsid w:val="007878F0"/>
    <w:rsid w:val="00797AF6"/>
    <w:rsid w:val="007A0E7B"/>
    <w:rsid w:val="007A3A29"/>
    <w:rsid w:val="007C25B4"/>
    <w:rsid w:val="007C7DB9"/>
    <w:rsid w:val="007D0175"/>
    <w:rsid w:val="007D183E"/>
    <w:rsid w:val="007D3F6B"/>
    <w:rsid w:val="007D5249"/>
    <w:rsid w:val="007D7BC4"/>
    <w:rsid w:val="007E3A86"/>
    <w:rsid w:val="007F1F1D"/>
    <w:rsid w:val="008002F0"/>
    <w:rsid w:val="00807148"/>
    <w:rsid w:val="008100BD"/>
    <w:rsid w:val="00820697"/>
    <w:rsid w:val="00824E16"/>
    <w:rsid w:val="00833BBE"/>
    <w:rsid w:val="00834221"/>
    <w:rsid w:val="0083471F"/>
    <w:rsid w:val="00853986"/>
    <w:rsid w:val="00866CE8"/>
    <w:rsid w:val="00871311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8F4BBE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02D2"/>
    <w:rsid w:val="00AD41B7"/>
    <w:rsid w:val="00AD76A8"/>
    <w:rsid w:val="00AE24C5"/>
    <w:rsid w:val="00AE6690"/>
    <w:rsid w:val="00AF3DE9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56A0"/>
    <w:rsid w:val="00BC6190"/>
    <w:rsid w:val="00BC7448"/>
    <w:rsid w:val="00BD67CD"/>
    <w:rsid w:val="00BE3B4C"/>
    <w:rsid w:val="00BE401E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0CB"/>
    <w:rsid w:val="00F55198"/>
    <w:rsid w:val="00F60663"/>
    <w:rsid w:val="00F63FC3"/>
    <w:rsid w:val="00F65FAE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3FBB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9</cp:revision>
  <cp:lastPrinted>2024-01-10T09:51:00Z</cp:lastPrinted>
  <dcterms:created xsi:type="dcterms:W3CDTF">2024-03-11T10:00:00Z</dcterms:created>
  <dcterms:modified xsi:type="dcterms:W3CDTF">2024-03-12T10:36:00Z</dcterms:modified>
</cp:coreProperties>
</file>