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74523591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693FB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12.12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19EF0E3A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693FB8" w:rsidRPr="00693FB8">
        <w:rPr>
          <w:rFonts w:asciiTheme="majorHAnsi" w:hAnsiTheme="majorHAnsi" w:cs="Arial"/>
          <w:b/>
          <w:bCs/>
          <w:sz w:val="24"/>
          <w:szCs w:val="24"/>
        </w:rPr>
        <w:t>Kontynuacja przebudowy drogi powiatowej nr 3898P w m. Wojnowice od przepustu na kanale Obry w kierunku granicy z powiatem kościańskim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62A2854" w14:textId="2D51A91B" w:rsidR="00D054FB" w:rsidRDefault="00693FB8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93FB8">
        <w:rPr>
          <w:rFonts w:asciiTheme="majorHAnsi" w:hAnsiTheme="majorHAnsi" w:cs="Arial"/>
          <w:sz w:val="24"/>
          <w:szCs w:val="24"/>
        </w:rPr>
        <w:t>Dotyczy D.04.07.01, W pkt 1.3 wskazano do zaprojektowania mieszanki AC16P, KR3-4 – lepiszcze 50/70. Czy Zamawiający wyrazi zgodę na zastosowanie asfaltu 35/50? Proponowane rozwiązanie jest zgodne z tab.2 oraz dokumentem przywołanym w pkt.10.3.65, tj. WT2-2014, a także pozwoli zwiększyć odporność mm-a na deformacje trwałe, a w konsekwencji wydłużyć okres eksploatacji nawierzchni.</w:t>
      </w:r>
    </w:p>
    <w:p w14:paraId="30D12B8E" w14:textId="77777777" w:rsidR="00693FB8" w:rsidRDefault="00693FB8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D8001F8" w14:textId="42EFEE86" w:rsidR="00D054FB" w:rsidRDefault="00900AF6" w:rsidP="00693FB8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w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yraża zgod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ę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na 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zastosowanie asfaltu </w:t>
      </w:r>
      <w:r w:rsidR="00693FB8" w:rsidRP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35/50</w:t>
      </w:r>
    </w:p>
    <w:p w14:paraId="099E57EF" w14:textId="77777777" w:rsidR="00693FB8" w:rsidRDefault="00693FB8" w:rsidP="00D054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73C4AFA" w14:textId="4C2014CA" w:rsidR="00D054FB" w:rsidRPr="00A05E32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A5C43EB" w14:textId="77777777" w:rsidR="00693FB8" w:rsidRPr="00693FB8" w:rsidRDefault="00693FB8" w:rsidP="00693FB8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93FB8">
        <w:rPr>
          <w:rFonts w:asciiTheme="majorHAnsi" w:hAnsiTheme="majorHAnsi" w:cs="Arial"/>
          <w:bCs/>
          <w:sz w:val="24"/>
          <w:szCs w:val="24"/>
        </w:rPr>
        <w:t>Dotyczy par. 18.5 umowy</w:t>
      </w:r>
    </w:p>
    <w:p w14:paraId="10A6381C" w14:textId="77777777" w:rsidR="00693FB8" w:rsidRPr="00693FB8" w:rsidRDefault="00693FB8" w:rsidP="00693FB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93FB8">
        <w:rPr>
          <w:rFonts w:asciiTheme="majorHAnsi" w:hAnsiTheme="majorHAnsi" w:cs="Arial"/>
          <w:sz w:val="24"/>
          <w:szCs w:val="24"/>
        </w:rPr>
        <w:t xml:space="preserve">Wnosimy o zmniejszenie maksymalnej wysokości kar umownych naliczonych na podstawie umowy z maksymalnej wartości 20% wynagrodzenia brutto umowy na 15% wynagrodzenia brutto umowy. Aktualny wymiar maksymalnej wysokości kar umownych jest zdaniem Wykonawcy wygórowany i niezasadny. </w:t>
      </w:r>
    </w:p>
    <w:p w14:paraId="53C34451" w14:textId="77777777" w:rsidR="00693FB8" w:rsidRPr="00693FB8" w:rsidRDefault="00693FB8" w:rsidP="00693FB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93FB8">
        <w:rPr>
          <w:rFonts w:asciiTheme="majorHAnsi" w:hAnsiTheme="majorHAnsi" w:cs="Arial"/>
          <w:sz w:val="24"/>
          <w:szCs w:val="24"/>
        </w:rPr>
        <w:t xml:space="preserve">W doktrynie prawa zamówień publicznych oraz w aktualnym orzecznictwie Krajowej Izby Odwoławczej przy Prezesie Urzędu Zamówień Publicznych dominuje pogląd, że kara umowna co do istoty ma charakter wyłącznie odszkodowawczy i kompensacyjny, a nie prewencyjny. Ustalenie przez Zamawiającego zbyt wygórowanych kar umownych dla wykonawców stanowi zatem naruszenie prawa w zakresie równości stron umowy (Wyrok Krajowej Izby Odwoławczej z dnia 31 lipca 2015 r. sygn. akt: KIO/1519/15). Należy mieć również na względzie stanowisko Sądu Najwyższego wyrażone w wyroku z 29 listopada 2013 roku Sygn. akt I CSK 124/13, dotyczącego przesłanek miarkowania kar umownych jako rażąco wygórowanych. W uzasadnieniu wyroku Sąd Najwyższy wskazał, iż „kara umowna nie może być instrumentem służącym wzbogaceniu wierzyciela, a zatem </w:t>
      </w:r>
      <w:r w:rsidRPr="00693FB8">
        <w:rPr>
          <w:rFonts w:asciiTheme="majorHAnsi" w:hAnsiTheme="majorHAnsi" w:cs="Arial"/>
          <w:sz w:val="24"/>
          <w:szCs w:val="24"/>
        </w:rPr>
        <w:lastRenderedPageBreak/>
        <w:t>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wierzyciela".</w:t>
      </w:r>
    </w:p>
    <w:p w14:paraId="01EE62BF" w14:textId="77777777" w:rsidR="00D054FB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CD7FB76" w14:textId="77777777" w:rsidR="00D054FB" w:rsidRPr="0018160E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54165A3" w14:textId="005E20EA" w:rsid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nie wyraża zgody na </w:t>
      </w:r>
      <w:r w:rsidRP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zmianę </w:t>
      </w:r>
      <w:r w:rsid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>§</w:t>
      </w:r>
      <w:r w:rsidR="00693FB8" w:rsidRP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>1</w:t>
      </w:r>
      <w:r w:rsid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>8</w:t>
      </w:r>
      <w:r w:rsidR="00D412DD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 xml:space="preserve">. </w:t>
      </w:r>
      <w:r w:rsidR="00D412DD" w:rsidRPr="00D412DD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>Kary umowne</w:t>
      </w:r>
      <w:r w:rsidR="00693FB8" w:rsidRP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 xml:space="preserve"> </w:t>
      </w:r>
      <w:r w:rsid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 xml:space="preserve">ust. </w:t>
      </w:r>
      <w:r w:rsidR="00693FB8" w:rsidRPr="00693FB8">
        <w:rPr>
          <w:rFonts w:asciiTheme="majorHAnsi" w:eastAsia="Calibri" w:hAnsiTheme="majorHAnsi" w:cs="Arial"/>
          <w:bCs/>
          <w:i/>
          <w:color w:val="00B050"/>
          <w:sz w:val="24"/>
          <w:szCs w:val="24"/>
        </w:rPr>
        <w:t xml:space="preserve">5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P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rojektowanych 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P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ostanowieniach </w:t>
      </w:r>
      <w:r w:rsidR="00693FB8">
        <w:rPr>
          <w:rFonts w:asciiTheme="majorHAnsi" w:eastAsia="Calibri" w:hAnsiTheme="majorHAnsi" w:cs="Arial"/>
          <w:i/>
          <w:color w:val="00B050"/>
          <w:sz w:val="24"/>
          <w:szCs w:val="24"/>
        </w:rPr>
        <w:t>U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mowy stanowiących załącznik nr 6 do SWZ.</w:t>
      </w:r>
    </w:p>
    <w:p w14:paraId="587B58A7" w14:textId="77777777" w:rsidR="00D054FB" w:rsidRPr="00A34477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2C247A9" w14:textId="77777777" w:rsidR="00351A3F" w:rsidRPr="00D054FB" w:rsidRDefault="00351A3F" w:rsidP="00D054FB">
      <w:pPr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</w:p>
    <w:sectPr w:rsidR="00351A3F" w:rsidRPr="00D0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4843"/>
    <w:multiLevelType w:val="hybridMultilevel"/>
    <w:tmpl w:val="C270E222"/>
    <w:lvl w:ilvl="0" w:tplc="F2F2E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93FB8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863A8"/>
    <w:rsid w:val="00CB7E30"/>
    <w:rsid w:val="00D054FB"/>
    <w:rsid w:val="00D13046"/>
    <w:rsid w:val="00D412DD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F4B6-0C16-4C3D-A464-53784F5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12</cp:revision>
  <cp:lastPrinted>2022-01-21T13:22:00Z</cp:lastPrinted>
  <dcterms:created xsi:type="dcterms:W3CDTF">2023-05-30T10:27:00Z</dcterms:created>
  <dcterms:modified xsi:type="dcterms:W3CDTF">2023-12-12T09:36:00Z</dcterms:modified>
</cp:coreProperties>
</file>