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C48" w:rsidRPr="009C614D" w:rsidRDefault="008E2C48" w:rsidP="008E2C48">
      <w:pPr>
        <w:widowControl/>
        <w:autoSpaceDE/>
        <w:autoSpaceDN/>
        <w:adjustRightInd/>
        <w:jc w:val="both"/>
        <w:rPr>
          <w:i w:val="0"/>
          <w:iCs w:val="0"/>
          <w:lang w:eastAsia="en-US" w:bidi="en-US"/>
        </w:rPr>
      </w:pPr>
      <w:bookmarkStart w:id="0" w:name="_GoBack"/>
      <w:bookmarkEnd w:id="0"/>
      <w:r w:rsidRPr="009C614D">
        <w:rPr>
          <w:i w:val="0"/>
          <w:iCs w:val="0"/>
          <w:lang w:eastAsia="en-US" w:bidi="en-US"/>
        </w:rPr>
        <w:t xml:space="preserve">W dniu </w:t>
      </w:r>
      <w:r>
        <w:rPr>
          <w:i w:val="0"/>
          <w:iCs w:val="0"/>
          <w:lang w:eastAsia="en-US" w:bidi="en-US"/>
        </w:rPr>
        <w:t>02.09.2019</w:t>
      </w:r>
      <w:r w:rsidRPr="009C614D">
        <w:rPr>
          <w:i w:val="0"/>
          <w:iCs w:val="0"/>
          <w:lang w:eastAsia="en-US" w:bidi="en-US"/>
        </w:rPr>
        <w:t xml:space="preserve"> r. wpłynął wniosek o wyjaśnienie treści SIWZ pn. ”Dostawy energii elektrycznej na potrzeby obiektów </w:t>
      </w:r>
      <w:proofErr w:type="spellStart"/>
      <w:r w:rsidRPr="009C614D">
        <w:rPr>
          <w:i w:val="0"/>
          <w:iCs w:val="0"/>
          <w:lang w:eastAsia="en-US" w:bidi="en-US"/>
        </w:rPr>
        <w:t>ZWiK</w:t>
      </w:r>
      <w:proofErr w:type="spellEnd"/>
      <w:r w:rsidRPr="009C614D">
        <w:rPr>
          <w:i w:val="0"/>
          <w:iCs w:val="0"/>
          <w:lang w:eastAsia="en-US" w:bidi="en-US"/>
        </w:rPr>
        <w:t xml:space="preserve">, </w:t>
      </w:r>
      <w:proofErr w:type="spellStart"/>
      <w:r w:rsidRPr="009C614D">
        <w:rPr>
          <w:i w:val="0"/>
          <w:iCs w:val="0"/>
          <w:lang w:eastAsia="en-US" w:bidi="en-US"/>
        </w:rPr>
        <w:t>PWiK</w:t>
      </w:r>
      <w:proofErr w:type="spellEnd"/>
      <w:r w:rsidRPr="009C614D">
        <w:rPr>
          <w:i w:val="0"/>
          <w:iCs w:val="0"/>
          <w:lang w:eastAsia="en-US" w:bidi="en-US"/>
        </w:rPr>
        <w:t xml:space="preserve">, TS, PSSE, </w:t>
      </w:r>
      <w:r>
        <w:rPr>
          <w:i w:val="0"/>
          <w:iCs w:val="0"/>
          <w:lang w:eastAsia="en-US" w:bidi="en-US"/>
        </w:rPr>
        <w:t>Pomorskiej SE</w:t>
      </w:r>
      <w:r w:rsidRPr="009C614D">
        <w:rPr>
          <w:i w:val="0"/>
          <w:iCs w:val="0"/>
          <w:lang w:eastAsia="en-US" w:bidi="en-US"/>
        </w:rPr>
        <w:t xml:space="preserve"> i trzech portów na rok 20</w:t>
      </w:r>
      <w:r>
        <w:rPr>
          <w:i w:val="0"/>
          <w:iCs w:val="0"/>
          <w:lang w:eastAsia="en-US" w:bidi="en-US"/>
        </w:rPr>
        <w:t>20</w:t>
      </w:r>
      <w:r w:rsidRPr="009C614D">
        <w:rPr>
          <w:i w:val="0"/>
          <w:iCs w:val="0"/>
          <w:lang w:eastAsia="en-US" w:bidi="en-US"/>
        </w:rPr>
        <w:t>”. Zakład Wodociągów i Kanalizacji Sp. z o.o. z siedzibą w Szczecinie przedstawia odpowiedzi na zadane pytania.</w:t>
      </w:r>
    </w:p>
    <w:p w:rsidR="008E2C48" w:rsidRPr="009C614D" w:rsidRDefault="008E2C48" w:rsidP="008E2C48">
      <w:pPr>
        <w:rPr>
          <w:i w:val="0"/>
        </w:rPr>
      </w:pPr>
    </w:p>
    <w:p w:rsidR="008E2C48" w:rsidRPr="009C614D" w:rsidRDefault="008E2C48" w:rsidP="008E2C48">
      <w:pPr>
        <w:jc w:val="both"/>
        <w:rPr>
          <w:b/>
          <w:i w:val="0"/>
        </w:rPr>
      </w:pPr>
      <w:r w:rsidRPr="009C614D">
        <w:rPr>
          <w:b/>
          <w:i w:val="0"/>
        </w:rPr>
        <w:t>Zapytanie nr 1:</w:t>
      </w:r>
    </w:p>
    <w:p w:rsidR="008E2C48" w:rsidRPr="009C614D" w:rsidRDefault="008E2C48" w:rsidP="008E2C48">
      <w:pPr>
        <w:jc w:val="both"/>
        <w:rPr>
          <w:b/>
          <w:i w:val="0"/>
          <w:u w:val="single"/>
        </w:rPr>
      </w:pPr>
      <w:r w:rsidRPr="009C614D">
        <w:rPr>
          <w:b/>
          <w:i w:val="0"/>
          <w:u w:val="single"/>
        </w:rPr>
        <w:t>Dotyczy procedury zmiany sprzedawcy</w:t>
      </w:r>
    </w:p>
    <w:p w:rsidR="008E2C48" w:rsidRPr="009C614D" w:rsidRDefault="008E2C48" w:rsidP="008E2C48">
      <w:pPr>
        <w:jc w:val="both"/>
        <w:rPr>
          <w:i w:val="0"/>
        </w:rPr>
      </w:pPr>
      <w:r w:rsidRPr="009C614D">
        <w:rPr>
          <w:i w:val="0"/>
        </w:rPr>
        <w:t>Czy Zamawiający przekaże Wykonawcy do dnia podpisania umowy, niezbędne do przeprowadzenia procedury zmiany sprzedawcy, dane i dokumenty z jednostek objętych postępowaniem przetargowym w wersji elektronicznej (Word, Excel). Wykonawca będzie potrzebował następujących:</w:t>
      </w:r>
    </w:p>
    <w:p w:rsidR="008E2C48" w:rsidRPr="009C614D" w:rsidRDefault="008E2C48" w:rsidP="008E2C48">
      <w:pPr>
        <w:jc w:val="both"/>
        <w:rPr>
          <w:i w:val="0"/>
        </w:rPr>
      </w:pPr>
      <w:r w:rsidRPr="009C614D">
        <w:rPr>
          <w:i w:val="0"/>
        </w:rPr>
        <w:t>a) danych:</w:t>
      </w:r>
    </w:p>
    <w:p w:rsidR="008E2C48" w:rsidRPr="009C614D" w:rsidRDefault="008E2C48" w:rsidP="008E2C48">
      <w:pPr>
        <w:jc w:val="both"/>
        <w:rPr>
          <w:i w:val="0"/>
        </w:rPr>
      </w:pPr>
      <w:r w:rsidRPr="009C614D">
        <w:rPr>
          <w:i w:val="0"/>
        </w:rPr>
        <w:t>- adres siedziby i adres korespondencyjny danej jednostki</w:t>
      </w:r>
    </w:p>
    <w:p w:rsidR="008E2C48" w:rsidRPr="009C614D" w:rsidRDefault="008E2C48" w:rsidP="008E2C48">
      <w:pPr>
        <w:jc w:val="both"/>
        <w:rPr>
          <w:i w:val="0"/>
        </w:rPr>
      </w:pPr>
      <w:r w:rsidRPr="009C614D">
        <w:rPr>
          <w:i w:val="0"/>
        </w:rPr>
        <w:t>- numer NIP</w:t>
      </w:r>
    </w:p>
    <w:p w:rsidR="008E2C48" w:rsidRPr="009C614D" w:rsidRDefault="008E2C48" w:rsidP="008E2C48">
      <w:pPr>
        <w:jc w:val="both"/>
        <w:rPr>
          <w:i w:val="0"/>
        </w:rPr>
      </w:pPr>
      <w:r w:rsidRPr="009C614D">
        <w:rPr>
          <w:i w:val="0"/>
        </w:rPr>
        <w:t>- numer REGON</w:t>
      </w:r>
    </w:p>
    <w:p w:rsidR="008E2C48" w:rsidRPr="009C614D" w:rsidRDefault="008E2C48" w:rsidP="008E2C48">
      <w:pPr>
        <w:jc w:val="both"/>
        <w:rPr>
          <w:i w:val="0"/>
        </w:rPr>
      </w:pPr>
      <w:r w:rsidRPr="009C614D">
        <w:rPr>
          <w:i w:val="0"/>
        </w:rPr>
        <w:t>- adres punktu poboru – (miejscowość, ulica, kod pocztowy)</w:t>
      </w:r>
    </w:p>
    <w:p w:rsidR="008E2C48" w:rsidRPr="009C614D" w:rsidRDefault="008E2C48" w:rsidP="008E2C48">
      <w:pPr>
        <w:jc w:val="both"/>
        <w:rPr>
          <w:i w:val="0"/>
        </w:rPr>
      </w:pPr>
      <w:r w:rsidRPr="009C614D">
        <w:rPr>
          <w:i w:val="0"/>
        </w:rPr>
        <w:t>- przeznaczenie punktu poboru</w:t>
      </w:r>
    </w:p>
    <w:p w:rsidR="008E2C48" w:rsidRPr="009C614D" w:rsidRDefault="008E2C48" w:rsidP="008E2C48">
      <w:pPr>
        <w:jc w:val="both"/>
        <w:rPr>
          <w:i w:val="0"/>
        </w:rPr>
      </w:pPr>
      <w:r w:rsidRPr="009C614D">
        <w:rPr>
          <w:i w:val="0"/>
        </w:rPr>
        <w:t xml:space="preserve">- grupa taryfowa </w:t>
      </w:r>
    </w:p>
    <w:p w:rsidR="008E2C48" w:rsidRPr="009C614D" w:rsidRDefault="008E2C48" w:rsidP="008E2C48">
      <w:pPr>
        <w:jc w:val="both"/>
        <w:rPr>
          <w:i w:val="0"/>
        </w:rPr>
      </w:pPr>
      <w:r w:rsidRPr="009C614D">
        <w:rPr>
          <w:i w:val="0"/>
        </w:rPr>
        <w:t>- kod PPE</w:t>
      </w:r>
    </w:p>
    <w:p w:rsidR="008E2C48" w:rsidRPr="009C614D" w:rsidRDefault="008E2C48" w:rsidP="008E2C48">
      <w:pPr>
        <w:jc w:val="both"/>
        <w:rPr>
          <w:i w:val="0"/>
        </w:rPr>
      </w:pPr>
      <w:r w:rsidRPr="009C614D">
        <w:rPr>
          <w:i w:val="0"/>
        </w:rPr>
        <w:t>- roczny wolumen energii elektrycznej</w:t>
      </w:r>
    </w:p>
    <w:p w:rsidR="008E2C48" w:rsidRPr="009C614D" w:rsidRDefault="008E2C48" w:rsidP="008E2C48">
      <w:pPr>
        <w:jc w:val="both"/>
        <w:rPr>
          <w:i w:val="0"/>
        </w:rPr>
      </w:pPr>
      <w:r w:rsidRPr="009C614D">
        <w:rPr>
          <w:i w:val="0"/>
        </w:rPr>
        <w:t>- numer licznika</w:t>
      </w:r>
    </w:p>
    <w:p w:rsidR="008E2C48" w:rsidRPr="009C614D" w:rsidRDefault="008E2C48" w:rsidP="008E2C48">
      <w:pPr>
        <w:jc w:val="both"/>
        <w:rPr>
          <w:i w:val="0"/>
        </w:rPr>
      </w:pPr>
      <w:r w:rsidRPr="009C614D">
        <w:rPr>
          <w:i w:val="0"/>
        </w:rPr>
        <w:t>- numer aktualnie obowiązującej umowy</w:t>
      </w:r>
    </w:p>
    <w:p w:rsidR="008E2C48" w:rsidRPr="009C614D" w:rsidRDefault="008E2C48" w:rsidP="008E2C48">
      <w:pPr>
        <w:jc w:val="both"/>
        <w:rPr>
          <w:i w:val="0"/>
        </w:rPr>
      </w:pPr>
      <w:r w:rsidRPr="009C614D">
        <w:rPr>
          <w:i w:val="0"/>
        </w:rPr>
        <w:t>- numer ewidencyjny w systemie bilingowym  dotychczasowego Sprzedawcy</w:t>
      </w:r>
    </w:p>
    <w:p w:rsidR="008E2C48" w:rsidRPr="009C614D" w:rsidRDefault="008E2C48" w:rsidP="008E2C48">
      <w:pPr>
        <w:jc w:val="both"/>
        <w:rPr>
          <w:i w:val="0"/>
        </w:rPr>
      </w:pPr>
      <w:r w:rsidRPr="009C614D">
        <w:rPr>
          <w:i w:val="0"/>
        </w:rPr>
        <w:t>b) dokumentów:</w:t>
      </w:r>
    </w:p>
    <w:p w:rsidR="008E2C48" w:rsidRPr="009C614D" w:rsidRDefault="008E2C48" w:rsidP="008E2C48">
      <w:pPr>
        <w:jc w:val="both"/>
        <w:rPr>
          <w:i w:val="0"/>
        </w:rPr>
      </w:pPr>
      <w:r w:rsidRPr="009C614D">
        <w:rPr>
          <w:i w:val="0"/>
        </w:rPr>
        <w:t>- pełnomocnictwo</w:t>
      </w:r>
    </w:p>
    <w:p w:rsidR="008E2C48" w:rsidRPr="009C614D" w:rsidRDefault="008E2C48" w:rsidP="008E2C48">
      <w:pPr>
        <w:jc w:val="both"/>
        <w:rPr>
          <w:i w:val="0"/>
        </w:rPr>
      </w:pPr>
      <w:r w:rsidRPr="009C614D">
        <w:rPr>
          <w:i w:val="0"/>
        </w:rPr>
        <w:t>- dokument nadania numeru NIP</w:t>
      </w:r>
    </w:p>
    <w:p w:rsidR="008E2C48" w:rsidRPr="009C614D" w:rsidRDefault="008E2C48" w:rsidP="008E2C48">
      <w:pPr>
        <w:jc w:val="both"/>
        <w:rPr>
          <w:i w:val="0"/>
        </w:rPr>
      </w:pPr>
      <w:r w:rsidRPr="009C614D">
        <w:rPr>
          <w:i w:val="0"/>
        </w:rPr>
        <w:t>- dokument nadania numeru REGON</w:t>
      </w:r>
    </w:p>
    <w:p w:rsidR="008E2C48" w:rsidRPr="009C614D" w:rsidRDefault="008E2C48" w:rsidP="008E2C48">
      <w:pPr>
        <w:jc w:val="both"/>
        <w:rPr>
          <w:i w:val="0"/>
        </w:rPr>
      </w:pPr>
      <w:r w:rsidRPr="009C614D">
        <w:rPr>
          <w:i w:val="0"/>
        </w:rPr>
        <w:t>- KRS lub inny dokument na podstawie, którego działa dana jednostka</w:t>
      </w:r>
    </w:p>
    <w:p w:rsidR="008E2C48" w:rsidRPr="009C614D" w:rsidRDefault="008E2C48" w:rsidP="008E2C48">
      <w:pPr>
        <w:jc w:val="both"/>
        <w:rPr>
          <w:i w:val="0"/>
        </w:rPr>
      </w:pPr>
      <w:r w:rsidRPr="009C614D">
        <w:rPr>
          <w:i w:val="0"/>
        </w:rPr>
        <w:t>- dokument potwierdzający umocowanie danej osoby do podpisania umowy sprzedaży energii elektrycznej oraz pełnomocnictwa</w:t>
      </w:r>
    </w:p>
    <w:p w:rsidR="008E2C48" w:rsidRPr="009C614D" w:rsidRDefault="008E2C48" w:rsidP="008E2C48">
      <w:pPr>
        <w:jc w:val="both"/>
        <w:rPr>
          <w:i w:val="0"/>
        </w:rPr>
      </w:pPr>
      <w:r w:rsidRPr="009C614D">
        <w:rPr>
          <w:i w:val="0"/>
        </w:rPr>
        <w:t>- numer rachunku bankowego</w:t>
      </w:r>
    </w:p>
    <w:p w:rsidR="008E2C48" w:rsidRDefault="008E2C48" w:rsidP="008E2C48">
      <w:pPr>
        <w:pStyle w:val="Teksttreci20"/>
        <w:widowControl/>
        <w:shd w:val="clear" w:color="auto" w:fill="auto"/>
        <w:spacing w:before="0" w:line="240" w:lineRule="auto"/>
        <w:jc w:val="both"/>
        <w:rPr>
          <w:rFonts w:ascii="Times New Roman" w:hAnsi="Times New Roman" w:cs="Times New Roman"/>
          <w:color w:val="000000"/>
          <w:sz w:val="20"/>
          <w:szCs w:val="20"/>
          <w:lang w:bidi="pl-PL"/>
        </w:rPr>
      </w:pPr>
      <w:r w:rsidRPr="009C614D">
        <w:rPr>
          <w:rFonts w:ascii="Times New Roman" w:hAnsi="Times New Roman" w:cs="Times New Roman"/>
          <w:b/>
          <w:color w:val="000000"/>
          <w:sz w:val="20"/>
          <w:szCs w:val="20"/>
          <w:lang w:bidi="pl-PL"/>
        </w:rPr>
        <w:t>Odpowiedź 1.</w:t>
      </w:r>
      <w:r w:rsidRPr="009C614D">
        <w:rPr>
          <w:rFonts w:ascii="Times New Roman" w:hAnsi="Times New Roman" w:cs="Times New Roman"/>
          <w:color w:val="000000"/>
          <w:sz w:val="20"/>
          <w:szCs w:val="20"/>
          <w:lang w:bidi="pl-PL"/>
        </w:rPr>
        <w:t xml:space="preserve"> Zamawiający przekaże niezbędne dokumenty oraz dane do przeprowadzenia procedury zmiany sprzedawcy w wersji elektronicznej, na formularzu wskazanym przez Wykonawcę.</w:t>
      </w:r>
    </w:p>
    <w:p w:rsidR="008E2C48" w:rsidRDefault="008E2C48" w:rsidP="008E2C48">
      <w:pPr>
        <w:pStyle w:val="Teksttreci20"/>
        <w:widowControl/>
        <w:shd w:val="clear" w:color="auto" w:fill="auto"/>
        <w:spacing w:before="0" w:line="240" w:lineRule="auto"/>
        <w:jc w:val="both"/>
        <w:rPr>
          <w:rFonts w:ascii="Times New Roman" w:hAnsi="Times New Roman" w:cs="Times New Roman"/>
          <w:color w:val="000000"/>
          <w:sz w:val="20"/>
          <w:szCs w:val="20"/>
          <w:lang w:bidi="pl-PL"/>
        </w:rPr>
      </w:pPr>
    </w:p>
    <w:p w:rsidR="008E2C48" w:rsidRPr="000621FC" w:rsidRDefault="008E2C48" w:rsidP="008E2C48">
      <w:pPr>
        <w:jc w:val="both"/>
        <w:rPr>
          <w:b/>
          <w:i w:val="0"/>
        </w:rPr>
      </w:pPr>
      <w:r w:rsidRPr="000621FC">
        <w:rPr>
          <w:b/>
          <w:i w:val="0"/>
        </w:rPr>
        <w:t>Zapytanie nr 2:</w:t>
      </w:r>
    </w:p>
    <w:p w:rsidR="008E2C48" w:rsidRPr="000621FC" w:rsidRDefault="008E2C48" w:rsidP="008E2C48">
      <w:pPr>
        <w:jc w:val="both"/>
        <w:rPr>
          <w:b/>
          <w:i w:val="0"/>
          <w:u w:val="single"/>
        </w:rPr>
      </w:pPr>
      <w:r w:rsidRPr="000621FC">
        <w:rPr>
          <w:b/>
          <w:i w:val="0"/>
          <w:u w:val="single"/>
        </w:rPr>
        <w:t xml:space="preserve">Dotyczy obecnie obowiązujących umów </w:t>
      </w:r>
    </w:p>
    <w:p w:rsidR="008E2C48" w:rsidRPr="000621FC" w:rsidRDefault="008E2C48" w:rsidP="008E2C48">
      <w:pPr>
        <w:jc w:val="both"/>
        <w:rPr>
          <w:i w:val="0"/>
        </w:rPr>
      </w:pPr>
      <w:r w:rsidRPr="000621FC">
        <w:rPr>
          <w:i w:val="0"/>
        </w:rPr>
        <w:t>Czy wszystkie punkty poboru energii elektrycznej objęte przedmiotowym postępowaniem posiadają rozdzielone umowy sprzedaży energii elektrycznej i świadczenia usług dystrybucyjnych?</w:t>
      </w:r>
    </w:p>
    <w:p w:rsidR="008E2C48" w:rsidRDefault="008E2C48" w:rsidP="008E2C48">
      <w:pPr>
        <w:jc w:val="both"/>
        <w:rPr>
          <w:i w:val="0"/>
        </w:rPr>
      </w:pPr>
      <w:r w:rsidRPr="000621FC">
        <w:rPr>
          <w:i w:val="0"/>
        </w:rPr>
        <w:t>Czy umowy o świadczenie usług dystrybucyjnych dla punktów poboru energii elektrycznej, dla których proces zmiany sprzedawcy odbywa się po raz kolejny zawarte są na czas nieokreślony?</w:t>
      </w:r>
    </w:p>
    <w:p w:rsidR="00AA01C5" w:rsidRPr="00AA01C5" w:rsidRDefault="00AA01C5" w:rsidP="00AA01C5">
      <w:pPr>
        <w:jc w:val="both"/>
        <w:rPr>
          <w:i w:val="0"/>
        </w:rPr>
      </w:pPr>
      <w:r w:rsidRPr="00AA01C5">
        <w:rPr>
          <w:rFonts w:eastAsiaTheme="minorHAnsi"/>
          <w:i w:val="0"/>
          <w:iCs w:val="0"/>
          <w:color w:val="000000"/>
          <w:lang w:eastAsia="en-US"/>
        </w:rPr>
        <w:t>Kto jest obecnym sprzedawcą dla punktów poboru objętych postępowaniem?</w:t>
      </w:r>
    </w:p>
    <w:p w:rsidR="00AA01C5" w:rsidRDefault="008E2C48" w:rsidP="008E2C48">
      <w:pPr>
        <w:jc w:val="both"/>
        <w:rPr>
          <w:i w:val="0"/>
          <w:lang w:bidi="pl-PL"/>
        </w:rPr>
      </w:pPr>
      <w:r w:rsidRPr="000621FC">
        <w:rPr>
          <w:b/>
          <w:i w:val="0"/>
          <w:lang w:bidi="pl-PL"/>
        </w:rPr>
        <w:t>Odpowiedź 2</w:t>
      </w:r>
      <w:r w:rsidRPr="00AA01C5">
        <w:rPr>
          <w:b/>
          <w:i w:val="0"/>
          <w:lang w:bidi="pl-PL"/>
        </w:rPr>
        <w:t>.</w:t>
      </w:r>
      <w:r w:rsidRPr="00AA01C5">
        <w:rPr>
          <w:i w:val="0"/>
          <w:lang w:bidi="pl-PL"/>
        </w:rPr>
        <w:t xml:space="preserve"> </w:t>
      </w:r>
    </w:p>
    <w:p w:rsidR="00AA01C5" w:rsidRDefault="00AA01C5" w:rsidP="00AA01C5">
      <w:pPr>
        <w:jc w:val="both"/>
        <w:rPr>
          <w:i w:val="0"/>
        </w:rPr>
      </w:pPr>
      <w:r w:rsidRPr="00AA01C5">
        <w:rPr>
          <w:i w:val="0"/>
        </w:rPr>
        <w:t xml:space="preserve">a) Nie wszystkie punkty poboru energii posiadają rozdzielone umowy. Pomorska Specjalna Strefa Ekonomiczna ma kilka nierozdzielonych punktów przyłączonych do sieci </w:t>
      </w:r>
      <w:proofErr w:type="spellStart"/>
      <w:r w:rsidRPr="00AA01C5">
        <w:rPr>
          <w:i w:val="0"/>
        </w:rPr>
        <w:t>Polenergia</w:t>
      </w:r>
      <w:proofErr w:type="spellEnd"/>
      <w:r w:rsidRPr="00AA01C5">
        <w:rPr>
          <w:i w:val="0"/>
        </w:rPr>
        <w:t xml:space="preserve"> Dystrybucja Sp. z o.o.</w:t>
      </w:r>
      <w:r w:rsidRPr="00AA01C5">
        <w:rPr>
          <w:i w:val="0"/>
        </w:rPr>
        <w:br/>
        <w:t>b) Dla większości punktów poboru Zamawiających proces zmiany sprzedawcy odbywa się po raz kolejny. Jedynie dla wybranych punktów poboru energii Pomorskiej Specjalnej Strefy Ekonomicznej, które posiadają umowy kompleksowe zmiana nastąpi po raz pierwszy. Umowy te muszą zostać rozdzielona przez wybranego Wykonawcę przed</w:t>
      </w:r>
      <w:r>
        <w:rPr>
          <w:i w:val="0"/>
        </w:rPr>
        <w:t xml:space="preserve"> </w:t>
      </w:r>
      <w:r w:rsidRPr="00AA01C5">
        <w:rPr>
          <w:i w:val="0"/>
        </w:rPr>
        <w:t>rozpoczęciem dostarczania energii, do końca 2019 roku.</w:t>
      </w:r>
    </w:p>
    <w:p w:rsidR="00F97DA8" w:rsidRDefault="00AA01C5" w:rsidP="00AA01C5">
      <w:pPr>
        <w:jc w:val="both"/>
        <w:rPr>
          <w:i w:val="0"/>
        </w:rPr>
      </w:pPr>
      <w:r w:rsidRPr="00AA01C5">
        <w:rPr>
          <w:i w:val="0"/>
        </w:rPr>
        <w:t xml:space="preserve">c) Obecnymi sprzedawcami są: TAURON Sprzedaż Sp. z o.o., PKP Energetyka S.A., ENERGA-Obrót S.A., </w:t>
      </w:r>
      <w:proofErr w:type="spellStart"/>
      <w:r w:rsidRPr="00AA01C5">
        <w:rPr>
          <w:i w:val="0"/>
        </w:rPr>
        <w:t>Polenergia</w:t>
      </w:r>
      <w:proofErr w:type="spellEnd"/>
      <w:r w:rsidRPr="00AA01C5">
        <w:rPr>
          <w:i w:val="0"/>
        </w:rPr>
        <w:t xml:space="preserve"> Dystrybucja Sp. z o.o.</w:t>
      </w:r>
    </w:p>
    <w:p w:rsidR="00F97DA8" w:rsidRDefault="00AA01C5" w:rsidP="003519C7">
      <w:pPr>
        <w:jc w:val="both"/>
        <w:rPr>
          <w:b/>
          <w:i w:val="0"/>
        </w:rPr>
      </w:pPr>
      <w:r w:rsidRPr="00AA01C5">
        <w:rPr>
          <w:i w:val="0"/>
        </w:rPr>
        <w:br/>
      </w:r>
    </w:p>
    <w:p w:rsidR="008E2C48" w:rsidRPr="009C614D" w:rsidRDefault="008E2C48" w:rsidP="00AA01C5">
      <w:pPr>
        <w:jc w:val="both"/>
        <w:rPr>
          <w:b/>
          <w:i w:val="0"/>
        </w:rPr>
      </w:pPr>
      <w:r w:rsidRPr="009C614D">
        <w:rPr>
          <w:b/>
          <w:i w:val="0"/>
        </w:rPr>
        <w:t>Zapytanie nr 3:</w:t>
      </w:r>
    </w:p>
    <w:p w:rsidR="008E2C48" w:rsidRPr="009C614D" w:rsidRDefault="008E2C48" w:rsidP="008E2C48">
      <w:pPr>
        <w:jc w:val="both"/>
        <w:rPr>
          <w:b/>
          <w:i w:val="0"/>
          <w:u w:val="single"/>
        </w:rPr>
      </w:pPr>
      <w:r w:rsidRPr="009C614D">
        <w:rPr>
          <w:b/>
          <w:i w:val="0"/>
          <w:u w:val="single"/>
        </w:rPr>
        <w:t xml:space="preserve">Dotyczy procedury zmiany sprzedawcy </w:t>
      </w:r>
    </w:p>
    <w:p w:rsidR="008E2C48" w:rsidRPr="009C614D" w:rsidRDefault="008E2C48" w:rsidP="008E2C48">
      <w:pPr>
        <w:jc w:val="both"/>
        <w:rPr>
          <w:i w:val="0"/>
        </w:rPr>
      </w:pPr>
      <w:r w:rsidRPr="009C614D">
        <w:rPr>
          <w:i w:val="0"/>
        </w:rPr>
        <w:t>Czy wszystkie układy pomiarowo-rozliczeniowe objęte postępowaniem przetargowym są dostosowane do zasady TPA?</w:t>
      </w:r>
    </w:p>
    <w:p w:rsidR="008E2C48" w:rsidRPr="009C614D" w:rsidRDefault="008E2C48" w:rsidP="008E2C48">
      <w:pPr>
        <w:jc w:val="both"/>
        <w:rPr>
          <w:i w:val="0"/>
        </w:rPr>
      </w:pPr>
      <w:r w:rsidRPr="009C614D">
        <w:rPr>
          <w:b/>
          <w:i w:val="0"/>
          <w:color w:val="000000"/>
          <w:lang w:bidi="pl-PL"/>
        </w:rPr>
        <w:t>Odpowiedź 3.</w:t>
      </w:r>
      <w:r w:rsidRPr="009C614D">
        <w:rPr>
          <w:i w:val="0"/>
          <w:color w:val="000000"/>
          <w:lang w:bidi="pl-PL"/>
        </w:rPr>
        <w:t xml:space="preserve"> W</w:t>
      </w:r>
      <w:r w:rsidRPr="009C614D">
        <w:rPr>
          <w:i w:val="0"/>
        </w:rPr>
        <w:t>szystkie układy pomiarowo-rozliczeniowe objęte postępowaniem przetargowym są dostosowane do zasady TPA.</w:t>
      </w:r>
    </w:p>
    <w:p w:rsidR="008E2C48" w:rsidRDefault="008E2C48" w:rsidP="008E2C48">
      <w:pPr>
        <w:jc w:val="both"/>
        <w:rPr>
          <w:i w:val="0"/>
          <w:color w:val="FF0000"/>
        </w:rPr>
      </w:pPr>
    </w:p>
    <w:p w:rsidR="003519C7" w:rsidRDefault="003519C7" w:rsidP="006D020C">
      <w:pPr>
        <w:widowControl/>
        <w:rPr>
          <w:rFonts w:eastAsiaTheme="minorHAnsi"/>
          <w:b/>
          <w:bCs/>
          <w:i w:val="0"/>
          <w:iCs w:val="0"/>
          <w:lang w:eastAsia="en-US"/>
        </w:rPr>
      </w:pPr>
    </w:p>
    <w:p w:rsidR="003519C7" w:rsidRDefault="003519C7" w:rsidP="006D020C">
      <w:pPr>
        <w:widowControl/>
        <w:rPr>
          <w:rFonts w:eastAsiaTheme="minorHAnsi"/>
          <w:b/>
          <w:bCs/>
          <w:i w:val="0"/>
          <w:iCs w:val="0"/>
          <w:lang w:eastAsia="en-US"/>
        </w:rPr>
      </w:pPr>
    </w:p>
    <w:p w:rsidR="003519C7" w:rsidRDefault="003519C7" w:rsidP="006D020C">
      <w:pPr>
        <w:widowControl/>
        <w:rPr>
          <w:rFonts w:eastAsiaTheme="minorHAnsi"/>
          <w:b/>
          <w:bCs/>
          <w:i w:val="0"/>
          <w:iCs w:val="0"/>
          <w:lang w:eastAsia="en-US"/>
        </w:rPr>
      </w:pPr>
    </w:p>
    <w:p w:rsidR="006D020C" w:rsidRPr="00C270EA" w:rsidRDefault="006D020C" w:rsidP="006D020C">
      <w:pPr>
        <w:widowControl/>
        <w:rPr>
          <w:rFonts w:eastAsiaTheme="minorHAnsi"/>
          <w:i w:val="0"/>
          <w:iCs w:val="0"/>
          <w:lang w:eastAsia="en-US"/>
        </w:rPr>
      </w:pPr>
      <w:r w:rsidRPr="00C270EA">
        <w:rPr>
          <w:rFonts w:eastAsiaTheme="minorHAnsi"/>
          <w:b/>
          <w:bCs/>
          <w:i w:val="0"/>
          <w:iCs w:val="0"/>
          <w:lang w:eastAsia="en-US"/>
        </w:rPr>
        <w:lastRenderedPageBreak/>
        <w:t xml:space="preserve">Zapytanie nr 4: </w:t>
      </w:r>
    </w:p>
    <w:p w:rsidR="006D020C" w:rsidRPr="00C270EA" w:rsidRDefault="006D020C" w:rsidP="006D020C">
      <w:pPr>
        <w:widowControl/>
        <w:rPr>
          <w:rFonts w:eastAsiaTheme="minorHAnsi"/>
          <w:i w:val="0"/>
          <w:iCs w:val="0"/>
          <w:lang w:eastAsia="en-US"/>
        </w:rPr>
      </w:pPr>
      <w:r w:rsidRPr="00C270EA">
        <w:rPr>
          <w:rFonts w:eastAsiaTheme="minorHAnsi"/>
          <w:b/>
          <w:bCs/>
          <w:i w:val="0"/>
          <w:iCs w:val="0"/>
          <w:lang w:eastAsia="en-US"/>
        </w:rPr>
        <w:t xml:space="preserve">Dotyczy pkt 14 rozdziału VIII SIWZ </w:t>
      </w:r>
    </w:p>
    <w:p w:rsidR="006D020C" w:rsidRPr="00C270EA" w:rsidRDefault="006D020C" w:rsidP="006D020C">
      <w:pPr>
        <w:pStyle w:val="Default"/>
        <w:rPr>
          <w:rFonts w:ascii="Times New Roman" w:hAnsi="Times New Roman" w:cs="Times New Roman"/>
          <w:color w:val="auto"/>
          <w:sz w:val="20"/>
          <w:szCs w:val="20"/>
        </w:rPr>
      </w:pPr>
      <w:r w:rsidRPr="00C270EA">
        <w:rPr>
          <w:rFonts w:ascii="Times New Roman" w:hAnsi="Times New Roman" w:cs="Times New Roman"/>
          <w:color w:val="auto"/>
          <w:sz w:val="20"/>
          <w:szCs w:val="20"/>
        </w:rPr>
        <w:t>Zwracamy się z wnioskiem o potwierdzenie, że Zamawiający nie będzie wymagał w ramach prowadzonego postępowania wniesienia zabezpieczenia należytego wykonania umowy.</w:t>
      </w:r>
    </w:p>
    <w:p w:rsidR="00C270EA" w:rsidRPr="00C270EA" w:rsidRDefault="00C270EA" w:rsidP="006D020C">
      <w:pPr>
        <w:pStyle w:val="Default"/>
        <w:rPr>
          <w:rFonts w:ascii="Times New Roman" w:hAnsi="Times New Roman" w:cs="Times New Roman"/>
          <w:b/>
          <w:color w:val="auto"/>
          <w:sz w:val="20"/>
          <w:szCs w:val="20"/>
        </w:rPr>
      </w:pPr>
      <w:r w:rsidRPr="00C270EA">
        <w:rPr>
          <w:rFonts w:ascii="Times New Roman" w:hAnsi="Times New Roman" w:cs="Times New Roman"/>
          <w:b/>
          <w:color w:val="auto"/>
          <w:sz w:val="20"/>
          <w:szCs w:val="20"/>
        </w:rPr>
        <w:t xml:space="preserve">Odpowiedź 4. </w:t>
      </w:r>
    </w:p>
    <w:p w:rsidR="00C270EA" w:rsidRPr="00C270EA" w:rsidRDefault="00C270EA" w:rsidP="00C270EA">
      <w:pPr>
        <w:suppressAutoHyphens/>
        <w:jc w:val="both"/>
        <w:rPr>
          <w:rFonts w:cs="Calibri"/>
          <w:b/>
          <w:i w:val="0"/>
          <w:iCs w:val="0"/>
          <w:lang w:eastAsia="ar-SA"/>
        </w:rPr>
      </w:pPr>
      <w:r w:rsidRPr="00C270EA">
        <w:rPr>
          <w:i w:val="0"/>
        </w:rPr>
        <w:t>Zamawiający nie będzie wymagał wniesienia zabezpieczenia</w:t>
      </w:r>
      <w:r w:rsidRPr="00C270EA">
        <w:rPr>
          <w:b/>
          <w:i w:val="0"/>
        </w:rPr>
        <w:t xml:space="preserve"> </w:t>
      </w:r>
      <w:r w:rsidRPr="00C270EA">
        <w:rPr>
          <w:i w:val="0"/>
        </w:rPr>
        <w:t xml:space="preserve">należytego wykonania umowy. Kary umowne za niewykonanie lub nienależyte wykonanie umowy przez Wykonawcę opisano w </w:t>
      </w:r>
      <w:r w:rsidRPr="00C270EA">
        <w:rPr>
          <w:rFonts w:cs="Calibri"/>
          <w:i w:val="0"/>
          <w:lang w:eastAsia="ar-SA"/>
        </w:rPr>
        <w:t>§ 9</w:t>
      </w:r>
      <w:r>
        <w:rPr>
          <w:rFonts w:cs="Calibri"/>
          <w:i w:val="0"/>
          <w:lang w:eastAsia="ar-SA"/>
        </w:rPr>
        <w:t xml:space="preserve"> pkt 2 Umowy.</w:t>
      </w:r>
    </w:p>
    <w:p w:rsidR="00C270EA" w:rsidRPr="00C270EA" w:rsidRDefault="00C270EA" w:rsidP="006D020C">
      <w:pPr>
        <w:pStyle w:val="Default"/>
        <w:rPr>
          <w:rFonts w:ascii="Times New Roman" w:hAnsi="Times New Roman" w:cs="Times New Roman"/>
          <w:b/>
          <w:bCs/>
          <w:color w:val="auto"/>
          <w:sz w:val="20"/>
          <w:szCs w:val="20"/>
        </w:rPr>
      </w:pPr>
    </w:p>
    <w:p w:rsidR="006D020C" w:rsidRDefault="006D020C" w:rsidP="00A11A19">
      <w:pPr>
        <w:pStyle w:val="Default"/>
        <w:rPr>
          <w:rFonts w:ascii="Times New Roman" w:hAnsi="Times New Roman" w:cs="Times New Roman"/>
          <w:b/>
          <w:bCs/>
          <w:sz w:val="20"/>
          <w:szCs w:val="20"/>
        </w:rPr>
      </w:pPr>
    </w:p>
    <w:p w:rsidR="00A11A19" w:rsidRPr="00A11A19" w:rsidRDefault="00A11A19" w:rsidP="00A11A19">
      <w:pPr>
        <w:pStyle w:val="Default"/>
        <w:rPr>
          <w:rFonts w:ascii="Times New Roman" w:hAnsi="Times New Roman" w:cs="Times New Roman"/>
          <w:sz w:val="20"/>
          <w:szCs w:val="20"/>
        </w:rPr>
      </w:pPr>
      <w:r w:rsidRPr="00A11A19">
        <w:rPr>
          <w:rFonts w:ascii="Times New Roman" w:hAnsi="Times New Roman" w:cs="Times New Roman"/>
          <w:b/>
          <w:bCs/>
          <w:sz w:val="20"/>
          <w:szCs w:val="20"/>
        </w:rPr>
        <w:t xml:space="preserve">Zapytanie nr 5: </w:t>
      </w:r>
    </w:p>
    <w:p w:rsidR="00A11A19" w:rsidRPr="003519C7" w:rsidRDefault="00A11A19" w:rsidP="00A11A19">
      <w:pPr>
        <w:pStyle w:val="Default"/>
        <w:rPr>
          <w:rFonts w:ascii="Times New Roman" w:hAnsi="Times New Roman" w:cs="Times New Roman"/>
          <w:sz w:val="20"/>
          <w:szCs w:val="20"/>
        </w:rPr>
      </w:pPr>
      <w:r w:rsidRPr="003519C7">
        <w:rPr>
          <w:rFonts w:ascii="Times New Roman" w:hAnsi="Times New Roman" w:cs="Times New Roman"/>
          <w:b/>
          <w:bCs/>
          <w:sz w:val="20"/>
          <w:szCs w:val="20"/>
        </w:rPr>
        <w:t xml:space="preserve">Dotyczy pkt 5 </w:t>
      </w:r>
      <w:proofErr w:type="spellStart"/>
      <w:r w:rsidRPr="003519C7">
        <w:rPr>
          <w:rFonts w:ascii="Times New Roman" w:hAnsi="Times New Roman" w:cs="Times New Roman"/>
          <w:b/>
          <w:bCs/>
          <w:sz w:val="20"/>
          <w:szCs w:val="20"/>
        </w:rPr>
        <w:t>ppkt</w:t>
      </w:r>
      <w:proofErr w:type="spellEnd"/>
      <w:r w:rsidRPr="003519C7">
        <w:rPr>
          <w:rFonts w:ascii="Times New Roman" w:hAnsi="Times New Roman" w:cs="Times New Roman"/>
          <w:b/>
          <w:bCs/>
          <w:sz w:val="20"/>
          <w:szCs w:val="20"/>
        </w:rPr>
        <w:t xml:space="preserve"> 4 rozdziału X SIWZ </w:t>
      </w:r>
    </w:p>
    <w:p w:rsidR="00A11A19" w:rsidRPr="00A11A19" w:rsidRDefault="00A11A19" w:rsidP="00A11A19">
      <w:pPr>
        <w:pStyle w:val="Default"/>
        <w:rPr>
          <w:rFonts w:ascii="Times New Roman" w:hAnsi="Times New Roman" w:cs="Times New Roman"/>
          <w:sz w:val="20"/>
          <w:szCs w:val="20"/>
        </w:rPr>
      </w:pPr>
      <w:r w:rsidRPr="00A11A19">
        <w:rPr>
          <w:rFonts w:ascii="Times New Roman" w:hAnsi="Times New Roman" w:cs="Times New Roman"/>
          <w:sz w:val="20"/>
          <w:szCs w:val="20"/>
        </w:rPr>
        <w:t xml:space="preserve">Wykonawca zwraca się z wnioskiem o udzielenie informacji dotyczących źródeł wytwórczych jednostek objętych postępowaniem przetargowym, w szczególności: </w:t>
      </w:r>
    </w:p>
    <w:p w:rsidR="00A11A19" w:rsidRPr="00A11A19" w:rsidRDefault="00A11A19" w:rsidP="00A11A19">
      <w:pPr>
        <w:pStyle w:val="Default"/>
        <w:rPr>
          <w:rFonts w:ascii="Times New Roman" w:hAnsi="Times New Roman" w:cs="Times New Roman"/>
          <w:sz w:val="20"/>
          <w:szCs w:val="20"/>
        </w:rPr>
      </w:pPr>
      <w:r>
        <w:rPr>
          <w:rFonts w:ascii="Times New Roman" w:hAnsi="Times New Roman" w:cs="Times New Roman"/>
          <w:sz w:val="20"/>
          <w:szCs w:val="20"/>
        </w:rPr>
        <w:t>-</w:t>
      </w:r>
      <w:r w:rsidRPr="00A11A19">
        <w:rPr>
          <w:rFonts w:ascii="Times New Roman" w:hAnsi="Times New Roman" w:cs="Times New Roman"/>
          <w:sz w:val="20"/>
          <w:szCs w:val="20"/>
        </w:rPr>
        <w:t xml:space="preserve"> rodzaj oraz moc zainstalowana; </w:t>
      </w:r>
    </w:p>
    <w:p w:rsidR="00A11A19" w:rsidRPr="00A11A19" w:rsidRDefault="00A11A19" w:rsidP="006D020C">
      <w:pPr>
        <w:pStyle w:val="Default"/>
        <w:rPr>
          <w:rFonts w:ascii="Times New Roman" w:hAnsi="Times New Roman" w:cs="Times New Roman"/>
          <w:sz w:val="20"/>
          <w:szCs w:val="20"/>
        </w:rPr>
      </w:pPr>
      <w:r>
        <w:rPr>
          <w:rFonts w:ascii="Times New Roman" w:hAnsi="Times New Roman" w:cs="Times New Roman"/>
          <w:sz w:val="20"/>
          <w:szCs w:val="20"/>
        </w:rPr>
        <w:t>-</w:t>
      </w:r>
      <w:r w:rsidRPr="00A11A19">
        <w:rPr>
          <w:rFonts w:ascii="Times New Roman" w:hAnsi="Times New Roman" w:cs="Times New Roman"/>
          <w:sz w:val="20"/>
          <w:szCs w:val="20"/>
        </w:rPr>
        <w:t xml:space="preserve"> planowana ilość energii elektrycznej jaka podlegałaby zakupowi przez Wykonawcę. </w:t>
      </w:r>
    </w:p>
    <w:p w:rsidR="00A11A19" w:rsidRPr="00AA01C5" w:rsidRDefault="00A11A19" w:rsidP="00AA01C5">
      <w:pPr>
        <w:jc w:val="both"/>
        <w:rPr>
          <w:i w:val="0"/>
          <w:color w:val="000000"/>
          <w:lang w:bidi="pl-PL"/>
        </w:rPr>
      </w:pPr>
      <w:r w:rsidRPr="00A11A19">
        <w:rPr>
          <w:b/>
          <w:i w:val="0"/>
          <w:color w:val="000000"/>
          <w:lang w:bidi="pl-PL"/>
        </w:rPr>
        <w:t>Odpowiedź 5.</w:t>
      </w:r>
      <w:r w:rsidRPr="00A11A19">
        <w:rPr>
          <w:i w:val="0"/>
          <w:color w:val="000000"/>
          <w:lang w:bidi="pl-PL"/>
        </w:rPr>
        <w:t xml:space="preserve"> </w:t>
      </w:r>
      <w:r w:rsidRPr="00AA01C5">
        <w:rPr>
          <w:i w:val="0"/>
          <w:color w:val="000000"/>
          <w:lang w:bidi="pl-PL"/>
        </w:rPr>
        <w:t>ZWiK posada następujące źródła wytwórcze:</w:t>
      </w:r>
      <w:r w:rsidRPr="00A11A19">
        <w:rPr>
          <w:color w:val="000000"/>
          <w:lang w:bidi="pl-PL"/>
        </w:rPr>
        <w:t xml:space="preserve"> </w:t>
      </w:r>
    </w:p>
    <w:p w:rsidR="00A11A19" w:rsidRPr="00A11A19" w:rsidRDefault="00A11A19" w:rsidP="00A11A19">
      <w:pPr>
        <w:pStyle w:val="Teksttreci20"/>
        <w:widowControl/>
        <w:numPr>
          <w:ilvl w:val="0"/>
          <w:numId w:val="1"/>
        </w:numPr>
        <w:shd w:val="clear" w:color="auto" w:fill="auto"/>
        <w:tabs>
          <w:tab w:val="left" w:pos="284"/>
        </w:tabs>
        <w:spacing w:before="0" w:line="240" w:lineRule="auto"/>
        <w:jc w:val="both"/>
        <w:rPr>
          <w:rFonts w:ascii="Times New Roman" w:hAnsi="Times New Roman" w:cs="Times New Roman"/>
          <w:color w:val="000000"/>
          <w:sz w:val="20"/>
          <w:szCs w:val="20"/>
          <w:lang w:bidi="pl-PL"/>
        </w:rPr>
      </w:pPr>
      <w:r w:rsidRPr="00A11A19">
        <w:rPr>
          <w:rFonts w:ascii="Times New Roman" w:hAnsi="Times New Roman" w:cs="Times New Roman"/>
          <w:color w:val="000000"/>
          <w:sz w:val="20"/>
          <w:szCs w:val="20"/>
          <w:lang w:bidi="pl-PL"/>
        </w:rPr>
        <w:t>Oczyszczalnia Ścieków „Zdroje”, rodzaj źródła BGO, moc zainstalowana 0,238 MW, produkcja energii przez całą dobę w wybrane dni roku;</w:t>
      </w:r>
    </w:p>
    <w:p w:rsidR="00A11A19" w:rsidRPr="00A11A19" w:rsidRDefault="00A11A19" w:rsidP="00A11A19">
      <w:pPr>
        <w:pStyle w:val="Teksttreci20"/>
        <w:widowControl/>
        <w:numPr>
          <w:ilvl w:val="0"/>
          <w:numId w:val="1"/>
        </w:numPr>
        <w:shd w:val="clear" w:color="auto" w:fill="auto"/>
        <w:tabs>
          <w:tab w:val="left" w:pos="284"/>
        </w:tabs>
        <w:spacing w:before="0" w:line="240" w:lineRule="auto"/>
        <w:jc w:val="both"/>
        <w:rPr>
          <w:rFonts w:ascii="Times New Roman" w:hAnsi="Times New Roman" w:cs="Times New Roman"/>
          <w:color w:val="000000"/>
          <w:sz w:val="20"/>
          <w:szCs w:val="20"/>
          <w:lang w:bidi="pl-PL"/>
        </w:rPr>
      </w:pPr>
      <w:r w:rsidRPr="00A11A19">
        <w:rPr>
          <w:rFonts w:ascii="Times New Roman" w:hAnsi="Times New Roman" w:cs="Times New Roman"/>
          <w:color w:val="000000"/>
          <w:sz w:val="20"/>
          <w:szCs w:val="20"/>
          <w:lang w:bidi="pl-PL"/>
        </w:rPr>
        <w:t>Oczyszczalnia Ścieków „Pomorzany”, rodzaj źródła BGO, moc zainstalowana 0,700 MW, produkcja energii przez całą dobę w wybrane dni roku;</w:t>
      </w:r>
    </w:p>
    <w:p w:rsidR="00A11A19" w:rsidRPr="00A11A19" w:rsidRDefault="00A11A19" w:rsidP="00A11A19">
      <w:pPr>
        <w:pStyle w:val="Teksttreci20"/>
        <w:widowControl/>
        <w:numPr>
          <w:ilvl w:val="0"/>
          <w:numId w:val="1"/>
        </w:numPr>
        <w:shd w:val="clear" w:color="auto" w:fill="auto"/>
        <w:tabs>
          <w:tab w:val="left" w:pos="284"/>
        </w:tabs>
        <w:spacing w:before="0" w:line="240" w:lineRule="auto"/>
        <w:jc w:val="both"/>
        <w:rPr>
          <w:rFonts w:ascii="Times New Roman" w:hAnsi="Times New Roman" w:cs="Times New Roman"/>
          <w:color w:val="000000"/>
          <w:sz w:val="20"/>
          <w:szCs w:val="20"/>
          <w:lang w:bidi="pl-PL"/>
        </w:rPr>
      </w:pPr>
      <w:r w:rsidRPr="00A11A19">
        <w:rPr>
          <w:rFonts w:ascii="Times New Roman" w:hAnsi="Times New Roman" w:cs="Times New Roman"/>
          <w:color w:val="000000"/>
          <w:sz w:val="20"/>
          <w:szCs w:val="20"/>
          <w:lang w:bidi="pl-PL"/>
        </w:rPr>
        <w:t>Farma fotowoltaiczna Zakład Produkcji Wody „Miedwie”, rodzaj źródła PVA, moc zainstalowana 1,529 MW, produkcja energii przez cały rok w dzień;</w:t>
      </w:r>
    </w:p>
    <w:p w:rsidR="00A11A19" w:rsidRPr="00A11A19" w:rsidRDefault="00A11A19" w:rsidP="00A11A19">
      <w:pPr>
        <w:pStyle w:val="Teksttreci20"/>
        <w:widowControl/>
        <w:numPr>
          <w:ilvl w:val="0"/>
          <w:numId w:val="1"/>
        </w:numPr>
        <w:shd w:val="clear" w:color="auto" w:fill="auto"/>
        <w:tabs>
          <w:tab w:val="left" w:pos="284"/>
        </w:tabs>
        <w:spacing w:before="0" w:line="240" w:lineRule="auto"/>
        <w:jc w:val="both"/>
        <w:rPr>
          <w:rFonts w:ascii="Times New Roman" w:hAnsi="Times New Roman" w:cs="Times New Roman"/>
          <w:color w:val="000000"/>
          <w:sz w:val="20"/>
          <w:szCs w:val="20"/>
          <w:lang w:bidi="pl-PL"/>
        </w:rPr>
      </w:pPr>
      <w:r w:rsidRPr="00A11A19">
        <w:rPr>
          <w:rFonts w:ascii="Times New Roman" w:hAnsi="Times New Roman" w:cs="Times New Roman"/>
          <w:color w:val="000000"/>
          <w:sz w:val="20"/>
          <w:szCs w:val="20"/>
          <w:lang w:bidi="pl-PL"/>
        </w:rPr>
        <w:t>Farma fotowoltaiczna Pompownia P1, rodzaj źródła PVA, moc zainstalowana 0,526 MW, produkcja energii przez cały rok w dzień.</w:t>
      </w:r>
    </w:p>
    <w:p w:rsidR="00A11A19" w:rsidRPr="00A11A19" w:rsidRDefault="00A11A19" w:rsidP="00A11A19">
      <w:pPr>
        <w:pStyle w:val="Akapitzlist"/>
        <w:ind w:left="0"/>
        <w:jc w:val="both"/>
        <w:rPr>
          <w:rFonts w:ascii="Times New Roman" w:hAnsi="Times New Roman" w:cs="Times New Roman"/>
          <w:sz w:val="20"/>
          <w:szCs w:val="20"/>
        </w:rPr>
      </w:pPr>
      <w:r w:rsidRPr="00A11A19">
        <w:rPr>
          <w:rFonts w:ascii="Times New Roman" w:hAnsi="Times New Roman" w:cs="Times New Roman"/>
          <w:color w:val="000000"/>
          <w:sz w:val="20"/>
          <w:szCs w:val="20"/>
          <w:lang w:val="pl-PL" w:bidi="pl-PL"/>
        </w:rPr>
        <w:t>Łączna</w:t>
      </w:r>
      <w:r w:rsidRPr="00A11A19">
        <w:rPr>
          <w:rFonts w:ascii="Times New Roman" w:hAnsi="Times New Roman" w:cs="Times New Roman"/>
          <w:color w:val="000000"/>
          <w:sz w:val="20"/>
          <w:szCs w:val="20"/>
          <w:lang w:bidi="pl-PL"/>
        </w:rPr>
        <w:t xml:space="preserve"> moc zainstalowana: 2,993 MW.</w:t>
      </w:r>
    </w:p>
    <w:p w:rsidR="00A11A19" w:rsidRDefault="00A11A19" w:rsidP="00A11A19">
      <w:pPr>
        <w:pStyle w:val="Teksttreci20"/>
        <w:widowControl/>
        <w:shd w:val="clear" w:color="auto" w:fill="auto"/>
        <w:spacing w:before="0" w:line="240" w:lineRule="auto"/>
        <w:jc w:val="both"/>
        <w:rPr>
          <w:rFonts w:ascii="Times New Roman" w:hAnsi="Times New Roman" w:cs="Times New Roman"/>
          <w:color w:val="000000"/>
          <w:sz w:val="20"/>
          <w:szCs w:val="20"/>
          <w:lang w:bidi="pl-PL"/>
        </w:rPr>
      </w:pPr>
      <w:r w:rsidRPr="00A11A19">
        <w:rPr>
          <w:rFonts w:ascii="Times New Roman" w:hAnsi="Times New Roman" w:cs="Times New Roman"/>
          <w:color w:val="000000"/>
          <w:sz w:val="20"/>
          <w:szCs w:val="20"/>
          <w:lang w:bidi="pl-PL"/>
        </w:rPr>
        <w:t>Planowana ilość energii podlegającej zakupowi: około 1000 MWh.</w:t>
      </w:r>
    </w:p>
    <w:p w:rsidR="00A11A19" w:rsidRPr="009C614D" w:rsidRDefault="00A11A19" w:rsidP="00A11A19">
      <w:pPr>
        <w:spacing w:after="120"/>
        <w:jc w:val="both"/>
        <w:rPr>
          <w:i w:val="0"/>
        </w:rPr>
      </w:pPr>
    </w:p>
    <w:p w:rsidR="006D020C" w:rsidRPr="006D020C" w:rsidRDefault="006D020C" w:rsidP="006D020C">
      <w:pPr>
        <w:widowControl/>
        <w:rPr>
          <w:rFonts w:eastAsiaTheme="minorHAnsi"/>
          <w:i w:val="0"/>
          <w:iCs w:val="0"/>
          <w:color w:val="000000"/>
          <w:lang w:eastAsia="en-US"/>
        </w:rPr>
      </w:pPr>
      <w:r w:rsidRPr="006D020C">
        <w:rPr>
          <w:rFonts w:eastAsiaTheme="minorHAnsi"/>
          <w:b/>
          <w:bCs/>
          <w:i w:val="0"/>
          <w:iCs w:val="0"/>
          <w:color w:val="000000"/>
          <w:lang w:eastAsia="en-US"/>
        </w:rPr>
        <w:t xml:space="preserve">Zapytanie nr 6: </w:t>
      </w:r>
    </w:p>
    <w:p w:rsidR="006D020C" w:rsidRPr="006D020C" w:rsidRDefault="006D020C" w:rsidP="006D020C">
      <w:pPr>
        <w:widowControl/>
        <w:rPr>
          <w:rFonts w:eastAsiaTheme="minorHAnsi"/>
          <w:i w:val="0"/>
          <w:iCs w:val="0"/>
          <w:color w:val="000000"/>
          <w:lang w:eastAsia="en-US"/>
        </w:rPr>
      </w:pPr>
      <w:r w:rsidRPr="006D020C">
        <w:rPr>
          <w:rFonts w:eastAsiaTheme="minorHAnsi"/>
          <w:b/>
          <w:bCs/>
          <w:i w:val="0"/>
          <w:iCs w:val="0"/>
          <w:color w:val="000000"/>
          <w:lang w:eastAsia="en-US"/>
        </w:rPr>
        <w:t xml:space="preserve">Dotyczy § 9 załącznika nr 3A, 3B, 3C oraz 3D do SIWZ </w:t>
      </w:r>
    </w:p>
    <w:p w:rsidR="006D020C" w:rsidRPr="006D020C" w:rsidRDefault="006D020C" w:rsidP="006D020C">
      <w:pPr>
        <w:widowControl/>
        <w:rPr>
          <w:rFonts w:eastAsiaTheme="minorHAnsi"/>
          <w:i w:val="0"/>
          <w:iCs w:val="0"/>
          <w:color w:val="000000"/>
          <w:lang w:eastAsia="en-US"/>
        </w:rPr>
      </w:pPr>
      <w:r w:rsidRPr="006D020C">
        <w:rPr>
          <w:rFonts w:eastAsiaTheme="minorHAnsi"/>
          <w:i w:val="0"/>
          <w:iCs w:val="0"/>
          <w:color w:val="000000"/>
          <w:lang w:eastAsia="en-US"/>
        </w:rPr>
        <w:t xml:space="preserve">Zwracamy się z wnioskiem o dodanie równoważnej kary umownej przysługującej Wykonawcy w sytuacji odstąpienia od umowy przez Wykonawcę/Zamawiającego z przyczyn leżących po stronie Zamawiającego. </w:t>
      </w:r>
    </w:p>
    <w:p w:rsidR="008E2C48" w:rsidRDefault="006D020C" w:rsidP="006D020C">
      <w:pPr>
        <w:pStyle w:val="Teksttreci20"/>
        <w:widowControl/>
        <w:shd w:val="clear" w:color="auto" w:fill="auto"/>
        <w:spacing w:before="0" w:line="240" w:lineRule="auto"/>
        <w:jc w:val="both"/>
        <w:rPr>
          <w:rFonts w:ascii="Times New Roman" w:eastAsiaTheme="minorHAnsi" w:hAnsi="Times New Roman" w:cs="Times New Roman"/>
          <w:color w:val="000000"/>
          <w:sz w:val="20"/>
          <w:szCs w:val="20"/>
        </w:rPr>
      </w:pPr>
      <w:r w:rsidRPr="006D020C">
        <w:rPr>
          <w:rFonts w:ascii="Times New Roman" w:eastAsiaTheme="minorHAnsi" w:hAnsi="Times New Roman" w:cs="Times New Roman"/>
          <w:color w:val="000000"/>
          <w:sz w:val="20"/>
          <w:szCs w:val="20"/>
        </w:rPr>
        <w:t>W ocenie Wykonawcy jednostronny obowiązek pokrywania ewentualnych kar umownych narusza zasadę równości stron w stosunku cywilnoprawnym.</w:t>
      </w:r>
    </w:p>
    <w:p w:rsidR="006D020C" w:rsidRPr="000621FC" w:rsidRDefault="006D020C" w:rsidP="006D020C">
      <w:pPr>
        <w:pStyle w:val="Teksttreci20"/>
        <w:widowControl/>
        <w:shd w:val="clear" w:color="auto" w:fill="auto"/>
        <w:spacing w:before="0" w:line="240" w:lineRule="auto"/>
        <w:jc w:val="both"/>
        <w:rPr>
          <w:rFonts w:ascii="Times New Roman" w:hAnsi="Times New Roman" w:cs="Times New Roman"/>
          <w:color w:val="000000"/>
          <w:sz w:val="20"/>
          <w:szCs w:val="20"/>
          <w:lang w:bidi="pl-PL"/>
        </w:rPr>
      </w:pPr>
      <w:r w:rsidRPr="009C614D">
        <w:rPr>
          <w:rFonts w:ascii="Times New Roman" w:hAnsi="Times New Roman" w:cs="Times New Roman"/>
          <w:b/>
          <w:sz w:val="20"/>
          <w:szCs w:val="20"/>
        </w:rPr>
        <w:t xml:space="preserve">Odpowiedź </w:t>
      </w:r>
      <w:r w:rsidR="003519C7">
        <w:rPr>
          <w:rFonts w:ascii="Times New Roman" w:hAnsi="Times New Roman" w:cs="Times New Roman"/>
          <w:b/>
          <w:sz w:val="20"/>
          <w:szCs w:val="20"/>
        </w:rPr>
        <w:t>6</w:t>
      </w:r>
      <w:r w:rsidRPr="009C614D">
        <w:rPr>
          <w:rFonts w:ascii="Times New Roman" w:hAnsi="Times New Roman" w:cs="Times New Roman"/>
          <w:b/>
          <w:sz w:val="20"/>
          <w:szCs w:val="20"/>
        </w:rPr>
        <w:t xml:space="preserve">. </w:t>
      </w:r>
      <w:r w:rsidRPr="009C614D">
        <w:rPr>
          <w:rFonts w:ascii="Times New Roman" w:hAnsi="Times New Roman" w:cs="Times New Roman"/>
          <w:color w:val="000000"/>
          <w:sz w:val="20"/>
          <w:szCs w:val="20"/>
          <w:lang w:bidi="pl-PL"/>
        </w:rPr>
        <w:t>Treść umów pozostaje bez zmian w przedmiotowym zakresie.</w:t>
      </w:r>
    </w:p>
    <w:p w:rsidR="006D020C" w:rsidRPr="000621FC" w:rsidRDefault="006D020C" w:rsidP="006D020C">
      <w:pPr>
        <w:pStyle w:val="Teksttreci20"/>
        <w:widowControl/>
        <w:shd w:val="clear" w:color="auto" w:fill="auto"/>
        <w:spacing w:before="0" w:line="240" w:lineRule="auto"/>
        <w:jc w:val="both"/>
        <w:rPr>
          <w:rFonts w:ascii="Times New Roman" w:hAnsi="Times New Roman" w:cs="Times New Roman"/>
          <w:color w:val="000000"/>
          <w:sz w:val="20"/>
          <w:szCs w:val="20"/>
          <w:lang w:bidi="pl-PL"/>
        </w:rPr>
      </w:pPr>
    </w:p>
    <w:p w:rsidR="008E2C48" w:rsidRPr="000621FC" w:rsidRDefault="008E2C48" w:rsidP="008E2C48">
      <w:pPr>
        <w:jc w:val="both"/>
        <w:rPr>
          <w:b/>
          <w:i w:val="0"/>
        </w:rPr>
      </w:pPr>
    </w:p>
    <w:p w:rsidR="005E7F85" w:rsidRPr="000621FC" w:rsidRDefault="005E7F85">
      <w:pPr>
        <w:rPr>
          <w:i w:val="0"/>
        </w:rPr>
      </w:pPr>
    </w:p>
    <w:p w:rsidR="000621FC" w:rsidRPr="000621FC" w:rsidRDefault="000621FC">
      <w:pPr>
        <w:rPr>
          <w:i w:val="0"/>
        </w:rPr>
      </w:pPr>
    </w:p>
    <w:p w:rsidR="000621FC" w:rsidRPr="000621FC" w:rsidRDefault="000621FC">
      <w:pPr>
        <w:rPr>
          <w:i w:val="0"/>
        </w:rPr>
      </w:pPr>
    </w:p>
    <w:p w:rsidR="000621FC" w:rsidRPr="000621FC" w:rsidRDefault="000621FC">
      <w:pPr>
        <w:rPr>
          <w:i w:val="0"/>
        </w:rPr>
      </w:pPr>
    </w:p>
    <w:p w:rsidR="000621FC" w:rsidRPr="000621FC" w:rsidRDefault="000621FC">
      <w:pPr>
        <w:rPr>
          <w:i w:val="0"/>
        </w:rPr>
      </w:pPr>
    </w:p>
    <w:p w:rsidR="000621FC" w:rsidRPr="000621FC" w:rsidRDefault="000621FC">
      <w:pPr>
        <w:rPr>
          <w:i w:val="0"/>
        </w:rPr>
      </w:pPr>
    </w:p>
    <w:sectPr w:rsidR="000621FC" w:rsidRPr="00062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14F2337A"/>
    <w:multiLevelType w:val="hybridMultilevel"/>
    <w:tmpl w:val="3DBCC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317AE4"/>
    <w:multiLevelType w:val="hybridMultilevel"/>
    <w:tmpl w:val="F6D87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48"/>
    <w:rsid w:val="000621FC"/>
    <w:rsid w:val="002939EC"/>
    <w:rsid w:val="003519C7"/>
    <w:rsid w:val="003D2EA3"/>
    <w:rsid w:val="005E7F85"/>
    <w:rsid w:val="006D020C"/>
    <w:rsid w:val="008E2C48"/>
    <w:rsid w:val="00A11A19"/>
    <w:rsid w:val="00AA01C5"/>
    <w:rsid w:val="00AF59A7"/>
    <w:rsid w:val="00C270EA"/>
    <w:rsid w:val="00F950FA"/>
    <w:rsid w:val="00F97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2D54C-C56B-45B3-8ED2-7F29F9CB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2C48"/>
    <w:pPr>
      <w:widowControl w:val="0"/>
      <w:autoSpaceDE w:val="0"/>
      <w:autoSpaceDN w:val="0"/>
      <w:adjustRightInd w:val="0"/>
      <w:spacing w:after="0" w:line="240" w:lineRule="auto"/>
    </w:pPr>
    <w:rPr>
      <w:rFonts w:ascii="Times New Roman" w:eastAsia="Times New Roman" w:hAnsi="Times New Roman" w:cs="Times New Roman"/>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link w:val="Teksttreci20"/>
    <w:locked/>
    <w:rsid w:val="008E2C48"/>
    <w:rPr>
      <w:rFonts w:ascii="Book Antiqua" w:eastAsia="Book Antiqua" w:hAnsi="Book Antiqua" w:cs="Book Antiqua"/>
      <w:sz w:val="18"/>
      <w:szCs w:val="18"/>
      <w:shd w:val="clear" w:color="auto" w:fill="FFFFFF"/>
    </w:rPr>
  </w:style>
  <w:style w:type="paragraph" w:customStyle="1" w:styleId="Teksttreci20">
    <w:name w:val="Tekst treści (2)"/>
    <w:basedOn w:val="Normalny"/>
    <w:link w:val="Teksttreci2"/>
    <w:rsid w:val="008E2C48"/>
    <w:pPr>
      <w:shd w:val="clear" w:color="auto" w:fill="FFFFFF"/>
      <w:autoSpaceDE/>
      <w:autoSpaceDN/>
      <w:adjustRightInd/>
      <w:spacing w:before="500" w:line="224" w:lineRule="exact"/>
      <w:jc w:val="right"/>
    </w:pPr>
    <w:rPr>
      <w:rFonts w:ascii="Book Antiqua" w:eastAsia="Book Antiqua" w:hAnsi="Book Antiqua" w:cs="Book Antiqua"/>
      <w:i w:val="0"/>
      <w:iCs w:val="0"/>
      <w:sz w:val="18"/>
      <w:szCs w:val="18"/>
      <w:lang w:eastAsia="en-US"/>
    </w:rPr>
  </w:style>
  <w:style w:type="paragraph" w:customStyle="1" w:styleId="Default">
    <w:name w:val="Default"/>
    <w:rsid w:val="00A11A19"/>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A11A19"/>
    <w:pPr>
      <w:widowControl/>
      <w:autoSpaceDE/>
      <w:autoSpaceDN/>
      <w:adjustRightInd/>
      <w:ind w:left="720"/>
      <w:contextualSpacing/>
    </w:pPr>
    <w:rPr>
      <w:rFonts w:asciiTheme="minorHAnsi" w:eastAsiaTheme="minorEastAsia" w:hAnsiTheme="minorHAnsi" w:cstheme="minorBidi"/>
      <w:i w:val="0"/>
      <w:iCs w:val="0"/>
      <w:sz w:val="24"/>
      <w:szCs w:val="24"/>
      <w:lang w:val="cs-CZ"/>
    </w:rPr>
  </w:style>
  <w:style w:type="paragraph" w:styleId="Tekstdymka">
    <w:name w:val="Balloon Text"/>
    <w:basedOn w:val="Normalny"/>
    <w:link w:val="TekstdymkaZnak"/>
    <w:uiPriority w:val="99"/>
    <w:semiHidden/>
    <w:unhideWhenUsed/>
    <w:rsid w:val="002939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39EC"/>
    <w:rPr>
      <w:rFonts w:ascii="Segoe UI" w:eastAsia="Times New Roman" w:hAnsi="Segoe UI" w:cs="Segoe UI"/>
      <w:i/>
      <w:iCs/>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4186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Pilewski</dc:creator>
  <cp:keywords/>
  <dc:description/>
  <cp:lastModifiedBy>Agnieszka Skotnicka</cp:lastModifiedBy>
  <cp:revision>2</cp:revision>
  <cp:lastPrinted>2019-09-03T06:24:00Z</cp:lastPrinted>
  <dcterms:created xsi:type="dcterms:W3CDTF">2019-09-03T07:35:00Z</dcterms:created>
  <dcterms:modified xsi:type="dcterms:W3CDTF">2019-09-03T07:35:00Z</dcterms:modified>
</cp:coreProperties>
</file>