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2A40" w14:textId="14409C92" w:rsidR="00C91A69" w:rsidRPr="00C91A69" w:rsidRDefault="00884B20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R.272</w:t>
      </w:r>
      <w:r w:rsidR="000D2D13">
        <w:rPr>
          <w:rFonts w:ascii="Calibri" w:eastAsia="Calibri" w:hAnsi="Calibri" w:cs="Calibri"/>
          <w:b/>
          <w:color w:val="000000"/>
          <w:szCs w:val="26"/>
          <w:lang w:eastAsia="en-US"/>
        </w:rPr>
        <w:t>.17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.202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>Załącznik nr 1</w:t>
      </w:r>
      <w:r w:rsidR="00D04039">
        <w:rPr>
          <w:rFonts w:ascii="Calibri" w:eastAsia="Calibri" w:hAnsi="Calibri" w:cs="Calibri"/>
          <w:b/>
          <w:color w:val="000000"/>
          <w:szCs w:val="26"/>
          <w:lang w:eastAsia="en-US"/>
        </w:rPr>
        <w:t>E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</w:t>
      </w:r>
      <w:r w:rsidR="00D76125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(po modyf. z dn. 24.09)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</w:p>
    <w:p w14:paraId="590DC020" w14:textId="77777777"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14:paraId="7F907485" w14:textId="77777777" w:rsidR="00C91A69" w:rsidRPr="00C91A69" w:rsidRDefault="00C91A69" w:rsidP="00D04039">
      <w:pPr>
        <w:shd w:val="clear" w:color="auto" w:fill="92D050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 xml:space="preserve">Część </w:t>
      </w:r>
      <w:r w:rsidR="00D04039">
        <w:rPr>
          <w:rFonts w:ascii="Calibri" w:eastAsia="Times New Roman" w:hAnsi="Calibri" w:cs="Calibri"/>
          <w:b/>
        </w:rPr>
        <w:t>5</w:t>
      </w:r>
      <w:r w:rsidRPr="00C91A69">
        <w:rPr>
          <w:rFonts w:ascii="Calibri" w:eastAsia="Times New Roman" w:hAnsi="Calibri" w:cs="Calibri"/>
          <w:b/>
        </w:rPr>
        <w:t xml:space="preserve">. </w:t>
      </w:r>
      <w:r w:rsidR="00C2476F">
        <w:rPr>
          <w:rFonts w:ascii="Calibri" w:eastAsia="Times New Roman" w:hAnsi="Calibri" w:cs="Calibri"/>
          <w:b/>
        </w:rPr>
        <w:t>Sprzęt multimedialny do pracowni mechatronicznej i ekonomiczno - logistycznej</w:t>
      </w:r>
      <w:r w:rsidR="00D04039" w:rsidRPr="00D04039">
        <w:rPr>
          <w:rFonts w:ascii="Calibri" w:eastAsia="Times New Roman" w:hAnsi="Calibri" w:cs="Calibri"/>
          <w:b/>
        </w:rPr>
        <w:t xml:space="preserve"> </w:t>
      </w:r>
      <w:r w:rsidR="002A704B">
        <w:rPr>
          <w:rFonts w:ascii="Calibri" w:eastAsia="Times New Roman" w:hAnsi="Calibri" w:cs="Calibri"/>
          <w:b/>
        </w:rPr>
        <w:t xml:space="preserve">w </w:t>
      </w:r>
      <w:r w:rsidR="00C2476F">
        <w:rPr>
          <w:rFonts w:ascii="Calibri" w:eastAsia="Times New Roman" w:hAnsi="Calibri" w:cs="Calibri"/>
          <w:b/>
        </w:rPr>
        <w:t xml:space="preserve">CKZiU w Wołowie </w:t>
      </w:r>
    </w:p>
    <w:p w14:paraId="63D31DE8" w14:textId="18115AD0"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="00606EBE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12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miesi</w:t>
      </w:r>
      <w:r w:rsidR="00606EBE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ę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c</w:t>
      </w:r>
      <w:r w:rsidR="00606EBE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y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tbl>
      <w:tblPr>
        <w:tblW w:w="13789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4252"/>
        <w:gridCol w:w="1315"/>
        <w:gridCol w:w="1701"/>
        <w:gridCol w:w="1701"/>
      </w:tblGrid>
      <w:tr w:rsidR="00A92E81" w:rsidRPr="009918C1" w14:paraId="202F87F4" w14:textId="4B58C692" w:rsidTr="00A92E81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352F3668" w14:textId="77777777" w:rsidR="00A92E81" w:rsidRPr="009918C1" w:rsidRDefault="00A92E81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F47078C" w14:textId="77777777" w:rsidR="00A92E81" w:rsidRPr="009918C1" w:rsidRDefault="00A92E81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2F988E9" w14:textId="77777777" w:rsidR="00A92E81" w:rsidRPr="009918C1" w:rsidRDefault="00A92E81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A0620A6" w14:textId="77777777" w:rsidR="00A92E81" w:rsidRPr="009918C1" w:rsidRDefault="00A92E81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281F3727" w14:textId="77777777" w:rsidR="00A92E81" w:rsidRPr="009918C1" w:rsidRDefault="00A92E81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5093AB82" w14:textId="77777777" w:rsidR="00A92E81" w:rsidRPr="009918C1" w:rsidRDefault="00A92E81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4C2779FC" w14:textId="77777777" w:rsidR="00A92E81" w:rsidRPr="009918C1" w:rsidRDefault="00A92E81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217F97A2" w14:textId="77777777" w:rsidR="00A92E81" w:rsidRPr="009918C1" w:rsidRDefault="00A92E81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36E8E896" w14:textId="77777777" w:rsidR="00A92E81" w:rsidRPr="009918C1" w:rsidRDefault="00A92E81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27C6A91B" w14:textId="2492942F" w:rsidR="00A92E81" w:rsidRPr="009918C1" w:rsidRDefault="00A92E81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 model/wersja</w:t>
            </w:r>
          </w:p>
        </w:tc>
      </w:tr>
      <w:tr w:rsidR="00A92E81" w:rsidRPr="004D0EC1" w14:paraId="6AA0C809" w14:textId="0B523107" w:rsidTr="00A92E81">
        <w:trPr>
          <w:trHeight w:val="9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7F5DBA" w14:textId="77777777" w:rsidR="00A92E81" w:rsidRPr="004D0EC1" w:rsidRDefault="00A92E81" w:rsidP="00DD18C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3B8A5A" w14:textId="77777777" w:rsidR="00A92E81" w:rsidRPr="004D0EC1" w:rsidRDefault="00A92E81" w:rsidP="00DD18CD">
            <w:pPr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bCs/>
                <w:color w:val="auto"/>
              </w:rPr>
              <w:t>Komputery typu all in one do pracowni mechatronicznej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377A1B" w14:textId="77777777" w:rsidR="00A92E81" w:rsidRPr="004D0EC1" w:rsidRDefault="00A92E81" w:rsidP="00DD18CD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544EBA" w14:textId="77777777" w:rsidR="00A92E81" w:rsidRPr="004D0EC1" w:rsidRDefault="00A92E81" w:rsidP="00DD18CD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0645FA" w14:textId="77777777" w:rsidR="00A92E81" w:rsidRPr="004D0EC1" w:rsidRDefault="00A92E81" w:rsidP="009A447A">
            <w:pPr>
              <w:pStyle w:val="v1msonormal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0EC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Typ komputera: Komputer All in One. </w:t>
            </w:r>
          </w:p>
          <w:p w14:paraId="0FB76D0D" w14:textId="77777777" w:rsidR="00A92E81" w:rsidRPr="004D0EC1" w:rsidRDefault="00A92E81" w:rsidP="009A447A">
            <w:pPr>
              <w:pStyle w:val="v1msonormal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EC1">
              <w:rPr>
                <w:rFonts w:asciiTheme="minorHAnsi" w:hAnsiTheme="minorHAnsi" w:cstheme="minorHAnsi"/>
                <w:sz w:val="20"/>
                <w:szCs w:val="20"/>
              </w:rPr>
              <w:t>Wydajność  obliczeniowa: Procesor klasy x86 ze zintegrowaną grafiką, czternastordzeniowy, zaprojektowany do pracy w komputerach stacjonarnych,  taktowany zegarem osiągającym 4,8 GHz, pamięcią cache CPU co najmniej 24 MB lub równoważny wydajnościowo osiągający wynik co najmniej 31800 pkt w teście PassMark CPU Mark, według wyników opublikowanych na stronie http://www.cpubenchmark.net/cpu_list.php.</w:t>
            </w:r>
          </w:p>
          <w:p w14:paraId="0ADF4E6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Parametry ekranu: Przekątna ekranu: 23,8", Rozdzielczość ekranu: 1920 x 1080 pikseli, matryca matowa IPS, bez ekranu dotykowego, </w:t>
            </w:r>
          </w:p>
          <w:p w14:paraId="33CFDEF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Pamięć RAM: 16 GB, Typ pamięci: DDR4 3200 MHz, </w:t>
            </w:r>
          </w:p>
          <w:p w14:paraId="48A8CAB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Karta graficzna: Intel® UHD 770 Graphics   lub równoważna, </w:t>
            </w:r>
          </w:p>
          <w:p w14:paraId="0E75E8C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Wbudowane dyski: Dysk 512 GB SSD, Typ dysku SSD: M.2 </w:t>
            </w:r>
          </w:p>
          <w:p w14:paraId="5C6F343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 fabrycznie wbudowany napęd DVD-RW, </w:t>
            </w:r>
          </w:p>
          <w:p w14:paraId="3133F93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Kamera: minimum 5 mln pikseli,</w:t>
            </w:r>
          </w:p>
          <w:p w14:paraId="31ED039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Karta dźwiękowa: zintegrowana</w:t>
            </w:r>
          </w:p>
          <w:p w14:paraId="6CAF38F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Wbudowane głośniki: 2szt, </w:t>
            </w:r>
          </w:p>
          <w:p w14:paraId="1929C47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mikrofon</w:t>
            </w:r>
          </w:p>
          <w:p w14:paraId="72629D3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Łączność bezprzewodowa: Bluetooth, Wi-Fi 6 (802.11ax)</w:t>
            </w:r>
          </w:p>
          <w:p w14:paraId="4C36F3B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Złącza:</w:t>
            </w:r>
          </w:p>
          <w:p w14:paraId="73319E0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HDMI: 2szt</w:t>
            </w:r>
          </w:p>
          <w:p w14:paraId="51897DB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Złącze DP: 1 szt </w:t>
            </w:r>
          </w:p>
          <w:p w14:paraId="22A8AE6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USB 3.0: 5szt</w:t>
            </w:r>
          </w:p>
          <w:p w14:paraId="3C38300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USB 3.0 typu-C: 1szt</w:t>
            </w:r>
          </w:p>
          <w:p w14:paraId="5296C791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Wyjście audio COMBO,</w:t>
            </w:r>
          </w:p>
          <w:p w14:paraId="7D72F5C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Złącze zasilania DC,</w:t>
            </w:r>
          </w:p>
          <w:p w14:paraId="3E4B563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Czytnik kart pamięci,</w:t>
            </w:r>
          </w:p>
          <w:p w14:paraId="6B37591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głośniki: 2szt,</w:t>
            </w:r>
          </w:p>
          <w:p w14:paraId="4562A54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Karta dźwiękowa: zintegrowana,</w:t>
            </w:r>
          </w:p>
          <w:p w14:paraId="746B2C1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Komputer fabrycznie wyposażony w stopę umożliwiająca regulację  wysokości w zakresie do 130mm , regulację pochyłu w zakresie 25stopni oraz obrót w zakresie +/-45 stopni</w:t>
            </w:r>
          </w:p>
          <w:p w14:paraId="4E87815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sprzętowy system diagnostyczny,</w:t>
            </w:r>
          </w:p>
          <w:p w14:paraId="5471E0E9" w14:textId="189D1CF4" w:rsidR="00887AB7" w:rsidRPr="00887AB7" w:rsidRDefault="00A92E81" w:rsidP="00887AB7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Certyfikaty: CE</w:t>
            </w:r>
            <w:r w:rsidR="006452CD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="00887AB7" w:rsidRPr="00887AB7">
              <w:rPr>
                <w:rFonts w:cstheme="minorHAnsi"/>
                <w:color w:val="auto"/>
                <w:sz w:val="20"/>
                <w:szCs w:val="20"/>
              </w:rPr>
              <w:t xml:space="preserve"> EPEAT, TCO lub równoważny - Zamawiający dopuszcza produkty charakteryzujące się poniższymi parametrami, atestami oraz standardami, ujętymi również w zakresie jednostki produkcyjnej, ze szczególnym uwzględnieniem wymogów dla oznakowania „TCO certified” tj.:</w:t>
            </w:r>
          </w:p>
          <w:p w14:paraId="2FCE2D2D" w14:textId="77777777" w:rsidR="00887AB7" w:rsidRPr="00887AB7" w:rsidRDefault="00887AB7" w:rsidP="00887AB7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7AB7">
              <w:rPr>
                <w:rFonts w:cstheme="minorHAnsi"/>
                <w:color w:val="auto"/>
                <w:sz w:val="20"/>
                <w:szCs w:val="20"/>
              </w:rPr>
              <w:t>- „Certyfikat ISO-9001” – w zakresie prawidłowego zarządzania przedsiębiorstwem</w:t>
            </w:r>
          </w:p>
          <w:p w14:paraId="3F7AB54F" w14:textId="5B953A22" w:rsidR="00A92E81" w:rsidRPr="00887AB7" w:rsidRDefault="00887AB7" w:rsidP="00887AB7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7AB7">
              <w:rPr>
                <w:rFonts w:cstheme="minorHAnsi"/>
                <w:color w:val="auto"/>
                <w:sz w:val="20"/>
                <w:szCs w:val="20"/>
              </w:rPr>
              <w:lastRenderedPageBreak/>
              <w:t>- „Certyfikat ISO-14001” – w zakresie ochrony środowiska przez przedsiębiorstwo;</w:t>
            </w:r>
          </w:p>
          <w:p w14:paraId="54AD020F" w14:textId="62996780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Mysz i klawiatura</w:t>
            </w:r>
          </w:p>
          <w:p w14:paraId="618A8072" w14:textId="77777777" w:rsidR="00A92E8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System operacyjny: zainstalowany system operacyjny co najmniej Windows 11 Professional 64-bitowy w polskiej wersji językowej </w:t>
            </w:r>
            <w:r w:rsidRPr="004D0EC1">
              <w:rPr>
                <w:rFonts w:cstheme="minorHAnsi"/>
                <w:color w:val="auto"/>
                <w:sz w:val="20"/>
                <w:szCs w:val="20"/>
                <w:u w:val="single"/>
              </w:rPr>
              <w:t>lub system równoważny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t> 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</w:t>
            </w:r>
          </w:p>
          <w:p w14:paraId="0162C643" w14:textId="77777777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>Dostarczone oprogramowanie musi być fabrycznie nowe, nieużywane oraz nieaktywowane nigdy wcześniej na innych komputerach oraz musi pochodzić z oficjalnego i legalnego kanału dystrybucyjnego producenta oprogramowania,</w:t>
            </w:r>
          </w:p>
          <w:p w14:paraId="455CA85E" w14:textId="79205DE3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>Zaoferowany sprzęt musi posiadać naklejkę hologramową potwierdzającą oryginalność zainstalowanego systemu operacyjnego, w przypadku systemu operacyjnego naklejka hologramowa winna być zabezpieczona przed możliwością odczytania klucza za pomocą zabezpieczeń stosowanych przez producenta,</w:t>
            </w:r>
          </w:p>
          <w:p w14:paraId="06960A83" w14:textId="58A47DD1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 xml:space="preserve">Zamawiający wymaga dostarczenia pełnego pakietu OEM (koperta z </w:t>
            </w:r>
            <w:r w:rsidRPr="00780476">
              <w:rPr>
                <w:rFonts w:cstheme="minorHAnsi"/>
                <w:color w:val="auto"/>
                <w:sz w:val="20"/>
                <w:szCs w:val="20"/>
              </w:rPr>
              <w:lastRenderedPageBreak/>
              <w:t>nadrukiem, płyta DVD z obrazem systemu wraz z hologramem),</w:t>
            </w:r>
          </w:p>
          <w:p w14:paraId="196E931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420CE47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03A59BA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Interfejsy  użytkownika  dostępne  w  wielu  językach  do  wyboru  –  w  tym polskim i angielskim.</w:t>
            </w:r>
          </w:p>
          <w:p w14:paraId="0350F0C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53326C2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506B9D7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4B84966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388BB64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62DCA41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dokonywania bezpłatnych aktualizacji i poprawek w ramach wersji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systemu  operacyjnego  poprzez  Internet,  mechanizmem  udostępnianym, przez  producenta  systemu  z  możliwością  wyboru  instalowanych  poprawek oraz mechanizmem sprawdzającym, które z poprawek są potrzebne.</w:t>
            </w:r>
          </w:p>
          <w:p w14:paraId="459038E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48E416B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71483CA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ustawieniami zapory i regułami IP v4 i v6. </w:t>
            </w:r>
          </w:p>
          <w:p w14:paraId="7B4C9CA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45228A6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większości  powszechnie  używanych  urządzeń  peryferyjnych (drukarek, urządzeń sieciowych, standardów USB, Plug&amp;Play, Wi-Fi).</w:t>
            </w:r>
          </w:p>
          <w:p w14:paraId="5924AC9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Funkcjonalność  automatycznej  zmiany  domyślnej  drukarki  w  zależności  od sieci, do której podłączony jest komputer. Możliwość  zarządzania  stacją  roboczą  poprzez  polityki  grupowe  –  przez politykę  rozumiemy  zestaw  reguł  definiujących  lub 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ograniczających funkcjonalność systemu lub aplikacji.</w:t>
            </w:r>
          </w:p>
          <w:p w14:paraId="6EFE23E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26B32E5B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430614C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5B57E73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564E096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0ACBF89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4E0C342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  <w:lang w:val="en-US"/>
              </w:rPr>
              <w:t>Obsługa standardu NFC (near field communication).</w:t>
            </w:r>
          </w:p>
          <w:p w14:paraId="4538EB8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Możliwość  przystosowania  stanowiska  dla  osób  niepełnosprawnych  (np. słabo widzących). </w:t>
            </w:r>
          </w:p>
          <w:p w14:paraId="33B1229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centralny.</w:t>
            </w:r>
          </w:p>
          <w:p w14:paraId="2D89C93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(smartcard), wirtualne  karty  (logowanie  w  oparciu  o  certyfikat  chroniony  poprzez moduł TPM).</w:t>
            </w:r>
          </w:p>
          <w:p w14:paraId="19F7FC5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5998A7D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uwierzytelniania na bazie Kerberos v. 5.</w:t>
            </w:r>
          </w:p>
          <w:p w14:paraId="506CB8B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75F6AF0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13A6618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70F7A5B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679C85F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JScript  i  VBScript  –  możliwość  uruchamiania  interpretera poleceń.</w:t>
            </w:r>
          </w:p>
          <w:p w14:paraId="7ACC289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Zdalna pomoc i współdzielenie aplikacji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–  możliwość zdalnego przejęcia sesji zalogowanego użytkownika celem rozwiązania problemu z komputerem,</w:t>
            </w:r>
          </w:p>
          <w:p w14:paraId="053D731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2173D06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730EE3F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Transakcyjny  system  plików  pozwalający  na  stosowanie  przydziałów  (ang. quota) na dysku dla użytkowników oraz zapewniający większą niezawodność i pozwalający tworzyć kopie zapasowe.</w:t>
            </w:r>
          </w:p>
          <w:p w14:paraId="1D4C982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1E76022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303CB6C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243BF33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2AEF3EE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Identyfikacja  sieci  komputerowych,  do  których  jest podłączony  system operacyjny,  zapamiętywanie  ustawień 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i  przypisywanie  do  min.  3  kategorii bezpieczeństwa(z  predefiniowanymi  odpowiednio  do  kategorii  ustawieniami  zapory sieciowej, udostępniania plików itp.).</w:t>
            </w:r>
          </w:p>
          <w:p w14:paraId="374E0D2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485B38BB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 mechanizm  wirtualizacji  typu  hypervisor,  umożliwiający, zgodnie z uprawnieniami licencyjnymi, uruchomienie do 4 maszyn wirtualnych.</w:t>
            </w:r>
          </w:p>
          <w:p w14:paraId="6E9C342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798A7EC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partycji  systemowych komputera, z możliwością przechowywania certyfikatów w mikrochipie TPM (Trusted  Platform  Module)  w  wersji minimum  1.2  lub  na  kluczach  pamięci przenośnej USB.</w:t>
            </w:r>
          </w:p>
          <w:p w14:paraId="512FAABB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2CB5B88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 tworzenia  i  przechowywania  kopii zapasowych  kluczy odzyskiwania do szyfrowania partycji w usługach katalogowych. </w:t>
            </w:r>
          </w:p>
          <w:p w14:paraId="5275D349" w14:textId="403B4911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Możliwość  instalowania  dodatkowych  języków  interfejsu  systemu operacyjnego  oraz  możliwość  zmiany  języka  bez  konieczności  reinstalacji systemu.</w:t>
            </w:r>
          </w:p>
          <w:p w14:paraId="6B17465D" w14:textId="3BDC9D1B" w:rsidR="00A92E81" w:rsidRPr="004D0EC1" w:rsidRDefault="00A92E81" w:rsidP="009A447A">
            <w:pPr>
              <w:widowControl w:val="0"/>
              <w:spacing w:after="0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-  Oprogramowanie producenta zaoferowanego sprzętu które będzie umożliwiało rozpoznanie modelu i numeru seryjnego komputera, aktualizację sterowników, w tym również wgranie najnowszej wersji BIOS oraz będzie posiadało narzędzie diagnostyczne do rozwiązywania problemów.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34FF9" w14:textId="77777777" w:rsidR="00A92E81" w:rsidRPr="004D0EC1" w:rsidRDefault="00A92E81" w:rsidP="00DD18C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4FFCC3" w14:textId="77777777" w:rsidR="00A92E81" w:rsidRPr="004D0EC1" w:rsidRDefault="00A92E81" w:rsidP="00DD18C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F8034" w14:textId="77777777" w:rsidR="00A92E81" w:rsidRPr="004D0EC1" w:rsidRDefault="00A92E81" w:rsidP="00DD18CD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A92E81" w:rsidRPr="004D0EC1" w14:paraId="7E2D898F" w14:textId="1856409B" w:rsidTr="00A92E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270392" w14:textId="77777777" w:rsidR="00A92E81" w:rsidRPr="004D0EC1" w:rsidRDefault="00A92E81" w:rsidP="006E2E6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C0CD02" w14:textId="77777777" w:rsidR="00A92E81" w:rsidRPr="004D0EC1" w:rsidRDefault="00A92E81" w:rsidP="006E2E6C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4D0EC1">
              <w:rPr>
                <w:color w:val="auto"/>
              </w:rPr>
              <w:t>Komputery typu all in one do pracowni ekonomiczno - logistycznej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59ED1" w14:textId="77777777" w:rsidR="00A92E81" w:rsidRPr="004D0EC1" w:rsidRDefault="00A92E81" w:rsidP="006E2E6C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2A90A5" w14:textId="77777777" w:rsidR="00A92E81" w:rsidRPr="004D0EC1" w:rsidRDefault="00A92E81" w:rsidP="006E2E6C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E68108" w14:textId="77777777" w:rsidR="00A92E81" w:rsidRPr="004D0EC1" w:rsidRDefault="00A92E81" w:rsidP="009A447A">
            <w:pPr>
              <w:pStyle w:val="v1msonormal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D0EC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Typ komputera: Komputer All in One. </w:t>
            </w:r>
          </w:p>
          <w:p w14:paraId="3AF0D477" w14:textId="77777777" w:rsidR="00A92E81" w:rsidRPr="004D0EC1" w:rsidRDefault="00A92E81" w:rsidP="009A447A">
            <w:pPr>
              <w:pStyle w:val="v1msonormal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EC1">
              <w:rPr>
                <w:rFonts w:asciiTheme="minorHAnsi" w:hAnsiTheme="minorHAnsi" w:cstheme="minorHAnsi"/>
                <w:sz w:val="20"/>
                <w:szCs w:val="20"/>
              </w:rPr>
              <w:t>Wydajność  obliczeniowa: Procesor klasy x86 ze zintegrowaną grafiką, czternastordzeniowy, zaprojektowany do pracy w komputerach stacjonarnych,  taktowany zegarem osiągającym 4,8 GHz, pamięcią cache CPU co najmniej 24 MB lub równoważny wydajnościowo osiągający wynik co najmniej 31800 pkt w teście PassMark CPU Mark, według wyników opublikowanych na stronie http://www.cpubenchmark.net/cpu_list.php.</w:t>
            </w:r>
          </w:p>
          <w:p w14:paraId="4413BAC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Parametry ekranu: Przekątna ekranu: 23,8", Rozdzielczość ekranu: 1920 x 1080 pikseli, matryca matowa IPS, bez ekranu dotykowego, </w:t>
            </w:r>
          </w:p>
          <w:p w14:paraId="43F19DE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Pamięć RAM: 16 GB, Typ pamięci: DDR4 3200 MHz, </w:t>
            </w:r>
          </w:p>
          <w:p w14:paraId="27430AB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Karta graficzna: Intel® UHD 770 Graphics   lub równoważna, </w:t>
            </w:r>
          </w:p>
          <w:p w14:paraId="52000FD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Wbudowane dyski: Dysk 512 GB SSD,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Typ dysku SSD: M.2 </w:t>
            </w:r>
          </w:p>
          <w:p w14:paraId="676C656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 fabrycznie wbudowany napęd DVD-RW, </w:t>
            </w:r>
          </w:p>
          <w:p w14:paraId="447AE00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Kamera: minimum 5 mln pikseli,</w:t>
            </w:r>
          </w:p>
          <w:p w14:paraId="38F174E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Karta dźwiękowa: zintegrowana</w:t>
            </w:r>
          </w:p>
          <w:p w14:paraId="221EFEF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Wbudowane głośniki: 2szt, </w:t>
            </w:r>
          </w:p>
          <w:p w14:paraId="1A2807E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mikrofon</w:t>
            </w:r>
          </w:p>
          <w:p w14:paraId="0CC4B97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Łączność bezprzewodowa: Bluetooth, Wi-Fi 6 (802.11ax)</w:t>
            </w:r>
          </w:p>
          <w:p w14:paraId="720AA2D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Złącza:</w:t>
            </w:r>
          </w:p>
          <w:p w14:paraId="1D1662A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HDMI: 2szt</w:t>
            </w:r>
          </w:p>
          <w:p w14:paraId="7ED2A7C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Złącze DP: 1 szt </w:t>
            </w:r>
          </w:p>
          <w:p w14:paraId="727C8A8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USB 3.0: 5szt</w:t>
            </w:r>
          </w:p>
          <w:p w14:paraId="2EDC928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Złącza USB 3.0 typu-C: 1szt</w:t>
            </w:r>
          </w:p>
          <w:p w14:paraId="5EEEF5C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Wyjście audio COMBO,</w:t>
            </w:r>
          </w:p>
          <w:p w14:paraId="1057A2D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Złącze zasilania DC,</w:t>
            </w:r>
          </w:p>
          <w:p w14:paraId="0D0FF4B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Czytnik kart pamięci,</w:t>
            </w:r>
          </w:p>
          <w:p w14:paraId="382CEB8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głośniki: 2szt,</w:t>
            </w:r>
          </w:p>
          <w:p w14:paraId="2E55417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Karta dźwiękowa: zintegrowana,</w:t>
            </w:r>
          </w:p>
          <w:p w14:paraId="17BE13E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Komputer fabrycznie wyposażony w stopę umożliwiająca regulację  wysokości w zakresie do 130mm , regulację pochyłu w zakresie 25stopni oraz obrót w zakresie +/-45 stopni</w:t>
            </w:r>
          </w:p>
          <w:p w14:paraId="720E674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sprzętowy system diagnostyczny,</w:t>
            </w:r>
          </w:p>
          <w:p w14:paraId="4F750E18" w14:textId="77777777" w:rsidR="00887AB7" w:rsidRPr="00887AB7" w:rsidRDefault="00A92E81" w:rsidP="00887AB7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Certyfikaty: CE, </w:t>
            </w:r>
            <w:r w:rsidR="00887AB7" w:rsidRPr="00887AB7">
              <w:rPr>
                <w:rFonts w:cstheme="minorHAnsi"/>
                <w:color w:val="auto"/>
                <w:sz w:val="20"/>
                <w:szCs w:val="20"/>
              </w:rPr>
              <w:t>, EPEAT, TCO lub równoważny - Zamawiający dopuszcza produkty charakteryzujące się poniższymi parametrami, atestami oraz standardami, ujętymi również w zakresie jednostki produkcyjnej, ze szczególnym uwzględnieniem wymogów dla oznakowania „TCO certified” tj.:</w:t>
            </w:r>
          </w:p>
          <w:p w14:paraId="58AA8A48" w14:textId="739640D4" w:rsidR="00887AB7" w:rsidRPr="00887AB7" w:rsidRDefault="00887AB7" w:rsidP="00887AB7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7AB7">
              <w:rPr>
                <w:rFonts w:cstheme="minorHAnsi"/>
                <w:color w:val="auto"/>
                <w:sz w:val="20"/>
                <w:szCs w:val="20"/>
              </w:rPr>
              <w:t xml:space="preserve">- „Certyfikat ISO-9001” – w zakresie prawidłowego zarządzania </w:t>
            </w:r>
            <w:r w:rsidRPr="00887AB7">
              <w:rPr>
                <w:rFonts w:cstheme="minorHAnsi"/>
                <w:color w:val="auto"/>
                <w:sz w:val="20"/>
                <w:szCs w:val="20"/>
              </w:rPr>
              <w:lastRenderedPageBreak/>
              <w:t>przedsiębiorstwem</w:t>
            </w:r>
          </w:p>
          <w:p w14:paraId="2187C4A6" w14:textId="77777777" w:rsidR="00887AB7" w:rsidRPr="00887AB7" w:rsidRDefault="00887AB7" w:rsidP="00887AB7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7AB7">
              <w:rPr>
                <w:rFonts w:cstheme="minorHAnsi"/>
                <w:color w:val="auto"/>
                <w:sz w:val="20"/>
                <w:szCs w:val="20"/>
              </w:rPr>
              <w:t>- „Certyfikat ISO-14001” – w zakresie ochrony środowiska przez przedsiębiorstwo;</w:t>
            </w:r>
          </w:p>
          <w:p w14:paraId="73A0FC68" w14:textId="708FDBA2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Mysz i klawiatura</w:t>
            </w:r>
          </w:p>
          <w:p w14:paraId="172B54BC" w14:textId="77777777" w:rsidR="00A92E8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System operacyjny: zainstalowany system operacyjny co najmniej Windows 11 Professional 64-bitowy w polskiej wersji językowej </w:t>
            </w:r>
            <w:r w:rsidRPr="004D0EC1">
              <w:rPr>
                <w:rFonts w:cstheme="minorHAnsi"/>
                <w:color w:val="auto"/>
                <w:sz w:val="20"/>
                <w:szCs w:val="20"/>
                <w:u w:val="single"/>
              </w:rPr>
              <w:t>lub system równoważny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t> 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</w:t>
            </w:r>
          </w:p>
          <w:p w14:paraId="7E672A34" w14:textId="77777777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>Dostarczone oprogramowanie musi być fabrycznie nowe, nieużywane oraz nieaktywowane nigdy wcześniej na innych komputerach oraz musi pochodzić z oficjalnego i legalnego kanału dystrybucyjnego producenta oprogramowania,</w:t>
            </w:r>
          </w:p>
          <w:p w14:paraId="56CB047A" w14:textId="231DE7DC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>Zaoferowany sprzęt musi posiadać naklejkę hologramową potwierdzającą oryginalność zainstalowanego systemu operacyjnego, w przypadku systemu operacyjnego naklejka hologramowa winna być zabezpieczona przed możliwością odczytania klucza za pomocą zabezpieczeń stosowanych przez producenta,</w:t>
            </w:r>
          </w:p>
          <w:p w14:paraId="569A59AA" w14:textId="53F0D00B" w:rsidR="00780476" w:rsidRPr="00780476" w:rsidRDefault="00780476" w:rsidP="00780476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780476">
              <w:rPr>
                <w:rFonts w:cstheme="minorHAnsi"/>
                <w:color w:val="auto"/>
                <w:sz w:val="20"/>
                <w:szCs w:val="20"/>
              </w:rPr>
              <w:t xml:space="preserve">Zamawiający wymaga dostarczenia </w:t>
            </w:r>
            <w:r w:rsidRPr="00780476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pełnego pakietu OEM (koperta z nadrukiem, płyta DVD z obrazem systemu </w:t>
            </w:r>
            <w:r>
              <w:rPr>
                <w:rFonts w:cstheme="minorHAnsi"/>
                <w:color w:val="auto"/>
                <w:sz w:val="20"/>
                <w:szCs w:val="20"/>
              </w:rPr>
              <w:t>w</w:t>
            </w:r>
            <w:r w:rsidRPr="00780476">
              <w:rPr>
                <w:rFonts w:cstheme="minorHAnsi"/>
                <w:color w:val="auto"/>
                <w:sz w:val="20"/>
                <w:szCs w:val="20"/>
              </w:rPr>
              <w:t>raz z hologramem),</w:t>
            </w:r>
          </w:p>
          <w:p w14:paraId="745E5C8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  <w:u w:val="single"/>
              </w:rPr>
              <w:t>system równoważny musi spełniać następujące wymagania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t> poprzez wbudowane mechanizmy, bez użycia dodatkowych aplikacji:</w:t>
            </w:r>
          </w:p>
          <w:p w14:paraId="630FA12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69A5F20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Interfejsy  użytkownika  dostępne  w  wielu  językach  do  wyboru  –  w  tym polskim i angielskim.</w:t>
            </w:r>
          </w:p>
          <w:p w14:paraId="1E425AA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729D3C71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system pomocy w języku polskim.</w:t>
            </w:r>
          </w:p>
          <w:p w14:paraId="1524B19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3BBDAF1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Funkcje  związane  z  obsługą  komputerów  typu  tablet,  z  wbudowanym modułem „uczenia się” pisma użytkownika – obsługa języka polskiego.</w:t>
            </w:r>
          </w:p>
          <w:p w14:paraId="76F3F3C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Funkcjonalność  rozpoznawania  mowy,  pozwalającą  na  sterowanie komputerem głosowo, wraz z modułem „uczenia się” głosu użytkownika.</w:t>
            </w:r>
          </w:p>
          <w:p w14:paraId="07DB157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dokonywania bezpłatnych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aktualizacji i poprawek w ramach wersji systemu  operacyjnego  poprzez  Internet,  mechanizmem  udostępnianym, przez  producenta  systemu  z  możliwością  wyboru  instalowanych  poprawek oraz mechanizmem sprawdzającym, które z poprawek są potrzebne.</w:t>
            </w:r>
          </w:p>
          <w:p w14:paraId="7AD46FA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42CBE3D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Dostępność  bezpłatnych  biuletynów  bezpieczeństwa  związanych  z działaniem systemu operacyjnego.</w:t>
            </w:r>
          </w:p>
          <w:p w14:paraId="22F13D6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Wbudowana  zapora  internetowa  (firewall)  dla  ochrony  połączeń internetowych;  zintegrowana  z  systemem  konsola  do  zarządzania ustawieniami zapory i regułami IP v4 i v6. </w:t>
            </w:r>
          </w:p>
          <w:p w14:paraId="1BCC462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mechanizmy  ochrony  antywirusowej  i  przeciw  złośliwemu oprogramowaniu z zapewnionymi bezpłatnymi aktualizacjami.</w:t>
            </w:r>
          </w:p>
          <w:p w14:paraId="06ACC59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większości  powszechnie  używanych  urządzeń  peryferyjnych (drukarek, urządzeń sieciowych, standardów USB, Plug&amp;Play, Wi-Fi).</w:t>
            </w:r>
          </w:p>
          <w:p w14:paraId="2D25609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Funkcjonalność  automatycznej  zmiany  domyślnej  drukarki  w  zależności  od sieci, do której podłączony jest komputer. Możliwość  zarządzania  stacją  roboczą  poprzez  polityki  grupowe  –  przez politykę  rozumiemy 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zestaw  reguł  definiujących  lub  ograniczających funkcjonalność systemu lub aplikacji.</w:t>
            </w:r>
          </w:p>
          <w:p w14:paraId="0DF74AD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Rozbudowane, definiowalne polityki bezpieczeństwa  –  polityki dla systemu operacyjnego i dla wskazanych aplikacji.</w:t>
            </w:r>
          </w:p>
          <w:p w14:paraId="62FDCBC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3D7E7BD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Zabezpieczony  hasłem  hierarchiczny  dostęp  do systemu,  konta  i  profile użytkowników  zarządzane  zdalnie;  praca  systemu  w  trybie  ochrony  kont użytkowników.</w:t>
            </w:r>
          </w:p>
          <w:p w14:paraId="3860A61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6ED09DCA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54423BA1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Zintegrowany  z  systemem  operacyjnym  moduł  synchronizacji  komputera  z urządzeniami zewnętrznymi. </w:t>
            </w:r>
          </w:p>
          <w:p w14:paraId="0BF6630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Obsługa standardu NFC (near field </w:t>
            </w:r>
            <w:r w:rsidRPr="004D0EC1">
              <w:rPr>
                <w:rFonts w:cstheme="minorHAnsi"/>
                <w:color w:val="auto"/>
                <w:sz w:val="20"/>
                <w:szCs w:val="20"/>
                <w:lang w:val="en-US"/>
              </w:rPr>
              <w:lastRenderedPageBreak/>
              <w:t>communication).</w:t>
            </w:r>
          </w:p>
          <w:p w14:paraId="0642180E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 przystosowania  stanowiska  dla  osób  niepełnosprawnych  (np. słabo widzących). </w:t>
            </w:r>
          </w:p>
          <w:p w14:paraId="30A18503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IPSEC  oparte  na  politykach  –  wdrażanie  IPSEC  oparte  na zestawach reguł definiujących ustawienia zarządzanych w sposób centralny.</w:t>
            </w:r>
          </w:p>
          <w:p w14:paraId="3F78993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Mechanizmy logowania do domeny w oparciu o: Login i hasło, Karty z certyfikatami (smartcard), wirtualne  karty  (logowanie  w  oparciu  o  certyfikat  chroniony  poprzez moduł TPM).</w:t>
            </w:r>
          </w:p>
          <w:p w14:paraId="109A6D4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Mechanizmy wieloelementowego uwierzytelniania.</w:t>
            </w:r>
          </w:p>
          <w:p w14:paraId="0F5F33A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uwierzytelniania na bazie Kerberos v. 5.</w:t>
            </w:r>
          </w:p>
          <w:p w14:paraId="524C847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5C82FFC1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algorytmów Suite B (RFC 4869).</w:t>
            </w:r>
          </w:p>
          <w:p w14:paraId="289A7B3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narzędzia  służące  do  administracji,  do  wykonywania  kopii zapasowych polityk i ich odtwarzania oraz generowania raportów z ustawień polityk.</w:t>
            </w:r>
          </w:p>
          <w:p w14:paraId="49768AC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dla środowisk Java i .NET Framework 4.x  –  możliwość uruchomienia aplikacji działających we wskazanych środowiskach.</w:t>
            </w:r>
          </w:p>
          <w:p w14:paraId="63B605C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Wsparcie  dla  JScript  i  VBScript  –  możliwość  uruchamiania  interpretera poleceń.</w:t>
            </w:r>
          </w:p>
          <w:p w14:paraId="590859D7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Zdalna pomoc i współdzielenie aplikacji –  możliwość zdalnego przejęcia sesji zalogowanego użytkownika celem rozwiązania problemu z komputerem,</w:t>
            </w:r>
          </w:p>
          <w:p w14:paraId="306B6FF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24B2141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Rozwiązanie  ma  umożliwiające  wdrożenie  nowego  obrazu  poprzez  zdalną instalację.</w:t>
            </w:r>
          </w:p>
          <w:p w14:paraId="5EB8ADC2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Transakcyjny  system  plików  pozwalający  na  stosowanie  przydziałów  (ang. quota) na dysku dla użytkowników oraz zapewniający większą niezawodność i pozwalający tworzyć kopie zapasowe.</w:t>
            </w:r>
          </w:p>
          <w:p w14:paraId="6DEEE6A8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Zarządzanie  kontami  użytkowników  sieci  oraz  urządzeniami  sieciowymi  tj. drukarki, modemy, woluminy dyskowe, usługi katalogowe.</w:t>
            </w:r>
          </w:p>
          <w:p w14:paraId="0113AC8D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Udostępnianie modemu.</w:t>
            </w:r>
          </w:p>
          <w:p w14:paraId="6ACF57E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2F6BA849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5023D175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Identyfikacja  sieci  komputerowych,  do  których  jest podłączony  system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operacyjny,  zapamiętywanie  ustawień  i  przypisywanie  do  min.  3  kategorii bezpieczeństwa(z  predefiniowanymi  odpowiednio  do  kategorii  ustawieniami  zapory sieciowej, udostępniania plików itp.).</w:t>
            </w:r>
          </w:p>
          <w:p w14:paraId="092766A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4799AC6C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Wbudowany  mechanizm  wirtualizacji  typu  hypervisor,  umożliwiający, zgodnie z uprawnieniami licencyjnymi, uruchomienie do 4 maszyn wirtualnych.</w:t>
            </w:r>
          </w:p>
          <w:p w14:paraId="6D7874F6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412BF761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partycji  systemowych komputera, z możliwością przechowywania certyfikatów w mikrochipie TPM (Trusted  Platform  Module)  w  wersji minimum  1.2  lub  na  kluczach  pamięci przenośnej USB.</w:t>
            </w:r>
          </w:p>
          <w:p w14:paraId="4EBE2160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6F13313F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Możliwość  tworzenia  i  przechowywania  kopii zapasowych  kluczy odzyskiwania do szyfrowania 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partycji w usługach katalogowych. </w:t>
            </w:r>
          </w:p>
          <w:p w14:paraId="4E5521C4" w14:textId="77777777" w:rsidR="00A92E81" w:rsidRPr="004D0EC1" w:rsidRDefault="00A92E81" w:rsidP="009A447A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Możliwość  instalowania  dodatkowych  języków  interfejsu  systemu operacyjnego  oraz  możliwość  zmiany  języka  bez  konieczności  reinstalacji systemu.</w:t>
            </w:r>
          </w:p>
          <w:p w14:paraId="7C501EB1" w14:textId="4F65B43D" w:rsidR="00A92E81" w:rsidRPr="004D0EC1" w:rsidRDefault="00A92E81" w:rsidP="009A447A">
            <w:pPr>
              <w:widowControl w:val="0"/>
              <w:spacing w:after="0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-  Oprogramowanie producenta zaoferowanego sprzętu które będzie umożliwiało rozpoznanie modelu i numeru seryjnego komputera, aktualizację sterowników, w tym również wgranie najnowszej wersji BIOS oraz będzie posiadało narzędzie diagnostyczne do rozwiązywania problemów.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B67040" w14:textId="77777777" w:rsidR="00A92E81" w:rsidRPr="004D0EC1" w:rsidRDefault="00A92E81" w:rsidP="006E2E6C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FD1C24" w14:textId="77777777" w:rsidR="00A92E81" w:rsidRPr="004D0EC1" w:rsidRDefault="00A92E81" w:rsidP="006E2E6C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F93B92" w14:textId="77777777" w:rsidR="00A92E81" w:rsidRPr="004D0EC1" w:rsidRDefault="00A92E81" w:rsidP="006E2E6C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A92E81" w:rsidRPr="004D0EC1" w14:paraId="76A6281D" w14:textId="576F31E5" w:rsidTr="00A92E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033626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412BBD" w14:textId="77777777" w:rsidR="00A92E81" w:rsidRPr="004D0EC1" w:rsidRDefault="00A92E81" w:rsidP="00C071B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4D0EC1">
              <w:rPr>
                <w:color w:val="auto"/>
              </w:rPr>
              <w:t>Monitor interaktywny do pracowni ekonomiczno - logistycznej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7ECFE" w14:textId="77777777" w:rsidR="00A92E81" w:rsidRPr="004D0EC1" w:rsidRDefault="00A92E81" w:rsidP="00C071BF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8BA583" w14:textId="77777777" w:rsidR="00A92E81" w:rsidRPr="004D0EC1" w:rsidRDefault="00A92E81" w:rsidP="00C071BF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737EEF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</w:p>
          <w:p w14:paraId="20D95E4F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4E03BB1D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Podświetlenie matrycy Direct LED</w:t>
            </w:r>
          </w:p>
          <w:p w14:paraId="002E2D24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</w:p>
          <w:p w14:paraId="06867D3F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Szkło hartowane 9H</w:t>
            </w:r>
          </w:p>
          <w:p w14:paraId="707F9215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Odświeżanie 60 Hz</w:t>
            </w:r>
          </w:p>
          <w:p w14:paraId="691420AE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Jasność</w:t>
            </w:r>
            <w:r w:rsidRPr="004D0EC1">
              <w:rPr>
                <w:rFonts w:cstheme="minorHAnsi"/>
                <w:color w:val="auto"/>
                <w:sz w:val="20"/>
                <w:szCs w:val="20"/>
              </w:rPr>
              <w:tab/>
              <w:t>400 cd/m2</w:t>
            </w:r>
          </w:p>
          <w:p w14:paraId="4436A03B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</w:p>
          <w:p w14:paraId="7EADDC49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</w:p>
          <w:p w14:paraId="6EE8C917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</w:p>
          <w:p w14:paraId="737758D6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Porty wejściowe HDMI 3× HDMI 2.0 </w:t>
            </w:r>
          </w:p>
          <w:p w14:paraId="4497EFB8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Porty wejściowe 1x VGA, 1x DP 1.2a</w:t>
            </w:r>
          </w:p>
          <w:p w14:paraId="13D447EE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Porty Audio 1 × wejście / 1 × wyjście</w:t>
            </w:r>
          </w:p>
          <w:p w14:paraId="51D82005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6B51403F" w14:textId="77777777" w:rsidR="00A92E81" w:rsidRPr="004D0EC1" w:rsidRDefault="00A92E81" w:rsidP="00C071BF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271AA853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44B8404F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Porty 2x USB 2.0-B (interfejs dotykowy)</w:t>
            </w:r>
          </w:p>
          <w:p w14:paraId="6B87ED77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58ADD51B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1FD555C9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5648C5DA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lastRenderedPageBreak/>
              <w:t>Wbudowane głośniki 2 × 20 W</w:t>
            </w:r>
          </w:p>
          <w:p w14:paraId="40DB2120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319295CD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5F89B6C2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41350FC9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Posiada w zestawie uchwyt naścienny,</w:t>
            </w:r>
          </w:p>
          <w:p w14:paraId="2BAB6DA9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Zużycie energii ≤ 0,5 W (tryb czuwania), 430 W (moc maksymalna),</w:t>
            </w:r>
          </w:p>
          <w:p w14:paraId="6A9AA57D" w14:textId="77777777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Certyfikaty: TÜV (low blue light i flicker free), certyfikat pyłoszczelności na poziomie IP5X lub równoważny</w:t>
            </w:r>
          </w:p>
          <w:p w14:paraId="49CB95FC" w14:textId="1A715471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Wbudowana obsługa języka ukraińskiego</w:t>
            </w:r>
          </w:p>
          <w:p w14:paraId="55AA5967" w14:textId="193A6DB5" w:rsidR="00A92E81" w:rsidRPr="004D0EC1" w:rsidRDefault="00A92E81" w:rsidP="00C071BF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Akcesoria w zestawie: kabel zasilający, kabel USB, kabel HDMI, pisaki (2 szt.), pilot zdalnego sterowania, moduł WiFi/Bluetooth.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349D49" w14:textId="77777777" w:rsidR="00A92E81" w:rsidRPr="004D0EC1" w:rsidRDefault="00A92E81" w:rsidP="00C071BF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82BD55" w14:textId="77777777" w:rsidR="00A92E81" w:rsidRPr="004D0EC1" w:rsidRDefault="00A92E81" w:rsidP="00C071BF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DA0092" w14:textId="77777777" w:rsidR="00A92E81" w:rsidRPr="004D0EC1" w:rsidRDefault="00A92E81" w:rsidP="00C071BF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A92E81" w:rsidRPr="004D0EC1" w14:paraId="0BB3BED9" w14:textId="4954CDD6" w:rsidTr="00A92E8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5DE741" w14:textId="77777777" w:rsidR="00A92E81" w:rsidRPr="004D0EC1" w:rsidRDefault="00A92E81" w:rsidP="00D21D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307D993B" w14:textId="77777777" w:rsidR="00A92E81" w:rsidRPr="004D0EC1" w:rsidRDefault="00A92E81" w:rsidP="00D21D1B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4D0EC1">
              <w:rPr>
                <w:color w:val="auto"/>
              </w:rPr>
              <w:t>Urządzenie wielofunkcyjne do pracowni ekonomiczno - logistycznej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C467F" w14:textId="77777777" w:rsidR="00A92E81" w:rsidRPr="004D0EC1" w:rsidRDefault="00A92E81" w:rsidP="00D21D1B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D95CB7" w14:textId="77777777" w:rsidR="00A92E81" w:rsidRPr="004D0EC1" w:rsidRDefault="00A92E81" w:rsidP="00D21D1B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D0EC1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6A77DB" w14:textId="77777777" w:rsidR="00A92E81" w:rsidRPr="004D0EC1" w:rsidRDefault="00A92E81" w:rsidP="00D21D1B">
            <w:pPr>
              <w:spacing w:after="0"/>
              <w:rPr>
                <w:rFonts w:ascii="Calibri" w:hAnsi="Calibri"/>
                <w:color w:val="auto"/>
                <w:sz w:val="20"/>
                <w:szCs w:val="20"/>
                <w:u w:val="single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  <w:u w:val="single"/>
              </w:rPr>
              <w:t xml:space="preserve">Urządzenie wielofunkcyjne posiadające co najmniej poniższe parametry: </w:t>
            </w:r>
          </w:p>
          <w:p w14:paraId="31288932" w14:textId="1A767F92" w:rsidR="00A92E81" w:rsidRPr="004D0EC1" w:rsidRDefault="00A92E81" w:rsidP="00051D1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  <w:u w:val="single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  <w:u w:val="single"/>
              </w:rPr>
              <w:t xml:space="preserve">Kopiarka </w:t>
            </w:r>
          </w:p>
          <w:p w14:paraId="62CEBC70" w14:textId="6F65D851" w:rsidR="00A92E81" w:rsidRPr="004D0EC1" w:rsidRDefault="00A92E81" w:rsidP="00051D1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Format oryginału: A4</w:t>
            </w:r>
          </w:p>
          <w:p w14:paraId="5BCE3691" w14:textId="77777777" w:rsidR="00A92E81" w:rsidRPr="004D0EC1" w:rsidRDefault="00A92E81" w:rsidP="00051D1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Sorter elektroniczny (standard) </w:t>
            </w:r>
          </w:p>
          <w:p w14:paraId="3106FC28" w14:textId="77777777" w:rsidR="00A92E81" w:rsidRPr="004D0EC1" w:rsidRDefault="00A92E81" w:rsidP="00051D1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Rozdzielczość skanowania w trybie cz.-b. (dpi): 600 x 600</w:t>
            </w:r>
          </w:p>
          <w:p w14:paraId="48D4E60A" w14:textId="02586833" w:rsidR="00A92E81" w:rsidRPr="004D0EC1" w:rsidRDefault="00A92E81" w:rsidP="00CF638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Kopiowanie ciągłe (maks. kopii): 9999</w:t>
            </w:r>
          </w:p>
          <w:p w14:paraId="043D65B4" w14:textId="0EA55618" w:rsidR="00A92E81" w:rsidRPr="004D0EC1" w:rsidRDefault="00A92E81" w:rsidP="00051D1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  <w:u w:val="single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  <w:u w:val="single"/>
              </w:rPr>
              <w:t>Skaner</w:t>
            </w:r>
          </w:p>
          <w:p w14:paraId="42735840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  <w:u w:val="single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Skaner sieciowy: STD </w:t>
            </w:r>
          </w:p>
          <w:p w14:paraId="5E0D5764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Skanowanie w trybach "pull scan" i "push scan" </w:t>
            </w:r>
          </w:p>
          <w:p w14:paraId="40DE7D9B" w14:textId="5FCD24A8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Rozdzielczość w trybie "push scan" (dpi): 75, 150, 200, 300, 400, 600 </w:t>
            </w:r>
          </w:p>
          <w:p w14:paraId="32857AD3" w14:textId="438A423E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Rozdzielczość w trybie "pull scan" (dpi): 75, 150, 200, 300, 400, 600, 1200 </w:t>
            </w:r>
          </w:p>
          <w:p w14:paraId="45C5D07C" w14:textId="2B1F3D12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Formaty plików: TIFF, PDF, PDF/A-1a, PDF/A-1b, szyfrowany PDF, JPG</w:t>
            </w:r>
          </w:p>
          <w:p w14:paraId="50DC0B19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Skanowanie na pulpit </w:t>
            </w:r>
          </w:p>
          <w:p w14:paraId="24A2A70F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Skanowanie do FTP, Email </w:t>
            </w:r>
          </w:p>
          <w:p w14:paraId="0EEFB049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Skanowanie do folderu sieciowego </w:t>
            </w:r>
          </w:p>
          <w:p w14:paraId="1C4A9F16" w14:textId="77777777" w:rsidR="00A92E81" w:rsidRPr="004D0EC1" w:rsidRDefault="00A92E81" w:rsidP="00051D1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Skanowanie do pamięci USB</w:t>
            </w:r>
          </w:p>
          <w:p w14:paraId="429C3AE8" w14:textId="25A13192" w:rsidR="00A92E81" w:rsidRPr="004D0EC1" w:rsidRDefault="00A92E81" w:rsidP="00051D17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color w:val="auto"/>
                <w:sz w:val="20"/>
                <w:szCs w:val="20"/>
                <w:u w:val="single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  <w:u w:val="single"/>
              </w:rPr>
              <w:t>Drukarka</w:t>
            </w:r>
          </w:p>
          <w:p w14:paraId="7E8CB5A9" w14:textId="22A4703C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Rozdzielczość (dpi): 600 x 600 </w:t>
            </w:r>
          </w:p>
          <w:p w14:paraId="77221D5C" w14:textId="77777777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Drukarka sieciowa: STD </w:t>
            </w:r>
          </w:p>
          <w:p w14:paraId="72CD541F" w14:textId="54371CB0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Interfejs standardowy/opcjonalny : STD USB 2.0, 10Base-T / 100Base-TX</w:t>
            </w:r>
          </w:p>
          <w:p w14:paraId="2ADAF35F" w14:textId="77777777" w:rsidR="00A92E81" w:rsidRPr="004D0EC1" w:rsidRDefault="00A92E81" w:rsidP="009044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Windows 7, 8.1, 10, Windows Server</w:t>
            </w:r>
          </w:p>
          <w:p w14:paraId="2CB73DBC" w14:textId="77777777" w:rsidR="00A92E81" w:rsidRPr="004D0EC1" w:rsidRDefault="00A92E81" w:rsidP="009044CE">
            <w:pPr>
              <w:pStyle w:val="Akapitzlist"/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2008, 2008R2, 2012, Server</w:t>
            </w:r>
          </w:p>
          <w:p w14:paraId="0CC80DF2" w14:textId="77777777" w:rsidR="00A92E81" w:rsidRPr="004D0EC1" w:rsidRDefault="00A92E81" w:rsidP="009044CE">
            <w:pPr>
              <w:pStyle w:val="Akapitzlist"/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2012R2,Server 2016, Server 2019,</w:t>
            </w:r>
          </w:p>
          <w:p w14:paraId="71CBBCAD" w14:textId="77777777" w:rsidR="00A92E81" w:rsidRPr="004D0EC1" w:rsidRDefault="00A92E81" w:rsidP="009044CE">
            <w:pPr>
              <w:pStyle w:val="Akapitzlist"/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Mac OS 10.10, 10.11, 10.12, 10.13,</w:t>
            </w:r>
          </w:p>
          <w:p w14:paraId="71EDB241" w14:textId="43B3B59C" w:rsidR="00A92E81" w:rsidRPr="004D0EC1" w:rsidRDefault="00A92E81" w:rsidP="009044CE">
            <w:pPr>
              <w:pStyle w:val="Akapitzlist"/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10.14, 10.15 lub inne równoważne,</w:t>
            </w:r>
          </w:p>
          <w:p w14:paraId="46DC668B" w14:textId="77777777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 xml:space="preserve">Protokoły sieciowe: Protokół TCP/IP </w:t>
            </w:r>
          </w:p>
          <w:p w14:paraId="01E8D0E1" w14:textId="45BC0E93" w:rsidR="00A92E81" w:rsidRPr="004D0EC1" w:rsidRDefault="00A92E81" w:rsidP="009044CE">
            <w:pPr>
              <w:pStyle w:val="Akapitzlist"/>
              <w:numPr>
                <w:ilvl w:val="0"/>
                <w:numId w:val="11"/>
              </w:numPr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Szybkość urządzenia, tryb cz.-b. w str./min (A4): 40</w:t>
            </w:r>
          </w:p>
          <w:p w14:paraId="521AB4A2" w14:textId="3009C574" w:rsidR="00A92E81" w:rsidRPr="004D0EC1" w:rsidRDefault="00A92E81" w:rsidP="009044CE">
            <w:pPr>
              <w:pStyle w:val="Akapitzlist"/>
              <w:numPr>
                <w:ilvl w:val="0"/>
                <w:numId w:val="11"/>
              </w:numPr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Protokoły druku: LPD, Raw TCP (port 9100), ulepszony IP (port 9400), FTP,</w:t>
            </w:r>
          </w:p>
          <w:p w14:paraId="375267CA" w14:textId="06D18C8E" w:rsidR="00A92E81" w:rsidRPr="004D0EC1" w:rsidRDefault="00A92E81" w:rsidP="009044CE">
            <w:pPr>
              <w:pStyle w:val="Akapitzlist"/>
              <w:rPr>
                <w:rFonts w:ascii="Calibri" w:hAnsi="Calibri"/>
                <w:color w:val="auto"/>
                <w:sz w:val="20"/>
                <w:szCs w:val="20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TFTP, IPP</w:t>
            </w:r>
          </w:p>
          <w:p w14:paraId="0A2F419C" w14:textId="77777777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rPr>
                <w:rFonts w:ascii="Calibri" w:hAnsi="Calibri"/>
                <w:color w:val="auto"/>
              </w:rPr>
            </w:pPr>
            <w:r w:rsidRPr="004D0EC1">
              <w:rPr>
                <w:rFonts w:ascii="Calibri" w:hAnsi="Calibri"/>
                <w:color w:val="auto"/>
                <w:sz w:val="20"/>
                <w:szCs w:val="20"/>
              </w:rPr>
              <w:t>Druk dwustronny automatyczny</w:t>
            </w:r>
          </w:p>
          <w:p w14:paraId="68CF1492" w14:textId="2DBD67C4" w:rsidR="00A92E81" w:rsidRPr="004D0EC1" w:rsidRDefault="00A92E81" w:rsidP="00051D17">
            <w:pPr>
              <w:pStyle w:val="Akapitzlist"/>
              <w:numPr>
                <w:ilvl w:val="0"/>
                <w:numId w:val="11"/>
              </w:numPr>
              <w:rPr>
                <w:rFonts w:ascii="Calibri" w:hAnsi="Calibri"/>
                <w:color w:val="auto"/>
              </w:rPr>
            </w:pPr>
            <w:r w:rsidRPr="004D0EC1">
              <w:rPr>
                <w:rFonts w:ascii="Calibri" w:hAnsi="Calibri"/>
                <w:color w:val="auto"/>
                <w:sz w:val="20"/>
              </w:rPr>
              <w:t>Pamięć ogólna (MB): 512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550B04" w14:textId="77777777" w:rsidR="00A92E81" w:rsidRPr="004D0EC1" w:rsidRDefault="00A92E81" w:rsidP="00D21D1B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47A76" w14:textId="77777777" w:rsidR="00A92E81" w:rsidRPr="004D0EC1" w:rsidRDefault="00A92E81" w:rsidP="00D21D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  <w:p w14:paraId="332ACAD3" w14:textId="77777777" w:rsidR="00A92E81" w:rsidRPr="004D0EC1" w:rsidRDefault="00A92E81" w:rsidP="00D21D1B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95AB1" w14:textId="77777777" w:rsidR="00A92E81" w:rsidRPr="004D0EC1" w:rsidRDefault="00A92E81" w:rsidP="00D21D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4D0EC1" w:rsidRPr="004D0EC1" w14:paraId="54DD7E26" w14:textId="77777777" w:rsidTr="00E565B8">
        <w:trPr>
          <w:trHeight w:val="1992"/>
        </w:trPr>
        <w:tc>
          <w:tcPr>
            <w:tcW w:w="5471" w:type="dxa"/>
          </w:tcPr>
          <w:p w14:paraId="09AD352C" w14:textId="77777777" w:rsidR="00E565B8" w:rsidRPr="004D0EC1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auto"/>
                <w:sz w:val="23"/>
                <w:szCs w:val="23"/>
              </w:rPr>
            </w:pPr>
          </w:p>
        </w:tc>
      </w:tr>
    </w:tbl>
    <w:p w14:paraId="503D553D" w14:textId="77777777" w:rsidR="00036A15" w:rsidRPr="004D0EC1" w:rsidRDefault="00036A15" w:rsidP="00036A15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auto"/>
          <w:sz w:val="18"/>
          <w:szCs w:val="20"/>
        </w:rPr>
      </w:pPr>
    </w:p>
    <w:p w14:paraId="5BFBF267" w14:textId="6C9FE5F0" w:rsidR="00C91A69" w:rsidRPr="00B84B6A" w:rsidRDefault="00C91A69" w:rsidP="00051D1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606EBE">
        <w:rPr>
          <w:rFonts w:ascii="Arial" w:hAnsi="Arial" w:cs="Arial"/>
          <w:color w:val="000000"/>
          <w:sz w:val="18"/>
          <w:szCs w:val="20"/>
        </w:rPr>
        <w:t xml:space="preserve">licencje / </w:t>
      </w:r>
      <w:r w:rsidR="000B3AB7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14:paraId="6B8F532D" w14:textId="77777777" w:rsidR="00C91A69" w:rsidRPr="00B84B6A" w:rsidRDefault="00C91A69" w:rsidP="00051D1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7476C58D" w14:textId="77777777" w:rsidR="00C91A69" w:rsidRPr="00B84B6A" w:rsidRDefault="00C91A69" w:rsidP="00051D1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kompletne, gotowe do użytkowania, bez </w:t>
      </w:r>
      <w:r w:rsidR="002A704B" w:rsidRPr="00B84B6A">
        <w:rPr>
          <w:rFonts w:ascii="Arial" w:hAnsi="Arial" w:cs="Arial"/>
          <w:color w:val="000000"/>
          <w:sz w:val="18"/>
          <w:szCs w:val="20"/>
        </w:rPr>
        <w:t>konieczności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składania ich przez Zamawiającego,</w:t>
      </w:r>
    </w:p>
    <w:p w14:paraId="0B85BB1F" w14:textId="2431D0C7" w:rsidR="00C91A69" w:rsidRPr="00B84B6A" w:rsidRDefault="00C91A69" w:rsidP="00051D17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</w:t>
      </w:r>
      <w:r w:rsidR="00606EBE">
        <w:rPr>
          <w:rFonts w:ascii="Arial" w:hAnsi="Arial" w:cs="Arial"/>
          <w:color w:val="000000"/>
          <w:sz w:val="18"/>
          <w:szCs w:val="20"/>
        </w:rPr>
        <w:t xml:space="preserve">jej </w:t>
      </w:r>
      <w:r w:rsidRPr="00B84B6A">
        <w:rPr>
          <w:rFonts w:ascii="Arial" w:hAnsi="Arial" w:cs="Arial"/>
          <w:color w:val="000000"/>
          <w:sz w:val="18"/>
          <w:szCs w:val="20"/>
        </w:rPr>
        <w:t>element,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14:paraId="24684258" w14:textId="77777777" w:rsidR="00C91A69" w:rsidRPr="00B84B6A" w:rsidRDefault="00C91A69" w:rsidP="00051D1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14:paraId="4EC5F8A5" w14:textId="7FFF9A30" w:rsidR="00C91A69" w:rsidRPr="00B84B6A" w:rsidRDefault="00C91A69" w:rsidP="00051D17">
      <w:pPr>
        <w:pStyle w:val="Akapitzlist"/>
        <w:numPr>
          <w:ilvl w:val="0"/>
          <w:numId w:val="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>wyposażenie /</w:t>
      </w:r>
      <w:r w:rsidR="00606EBE">
        <w:rPr>
          <w:rFonts w:ascii="Arial" w:hAnsi="Arial" w:cs="Arial"/>
          <w:color w:val="000000"/>
          <w:sz w:val="18"/>
          <w:szCs w:val="20"/>
        </w:rPr>
        <w:t xml:space="preserve"> licencje /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 </w:t>
      </w:r>
      <w:r w:rsidR="000B3AB7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14:paraId="1BE0A125" w14:textId="77777777" w:rsidR="00C91A69" w:rsidRPr="00B84B6A" w:rsidRDefault="00C91A69" w:rsidP="00051D17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14:paraId="1392BBB2" w14:textId="77777777" w:rsidR="00C91A69" w:rsidRPr="000B3AB7" w:rsidRDefault="00C91A69" w:rsidP="00051D17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14:paraId="4308B4AB" w14:textId="2FEDA699" w:rsidR="000B3AB7" w:rsidRPr="000B3AB7" w:rsidRDefault="000B3AB7" w:rsidP="00051D17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 w:rsidRPr="000B3AB7">
        <w:rPr>
          <w:rFonts w:ascii="Arial" w:hAnsi="Arial" w:cs="Arial"/>
          <w:b/>
          <w:bCs/>
          <w:sz w:val="18"/>
          <w:szCs w:val="20"/>
          <w:u w:val="single"/>
        </w:rPr>
        <w:t>Miejsce dostawy</w:t>
      </w:r>
      <w:r w:rsidRPr="000B3AB7">
        <w:rPr>
          <w:rFonts w:ascii="Arial" w:hAnsi="Arial" w:cs="Arial"/>
          <w:sz w:val="18"/>
          <w:szCs w:val="20"/>
        </w:rPr>
        <w:t xml:space="preserve">: Centrum Kształcenia Zawodowego i Ustawicznego w Wołowie, ul. Tadeusza Kościuszki 27, 56 – 100 Wołów. </w:t>
      </w:r>
    </w:p>
    <w:p w14:paraId="05E9D9ED" w14:textId="77777777" w:rsidR="000B3AB7" w:rsidRDefault="000B3AB7" w:rsidP="00051D17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Jeśli w dokumentach składających się na opis przedmiotu zamówienia, wskazana jest nazwa handlowa firmy, towaru lub produktu normy, czy też aprobaty techniczne, Zamawiający w odniesieniu do wskazanych wprost w dokumentacji parametrów, czy danych (technicznych lub jakichkolwiek innych), identyfikujących pośrednio lub bezpośrednio towar bądź produkt - </w:t>
      </w:r>
      <w:r>
        <w:rPr>
          <w:rFonts w:ascii="Arial" w:hAnsi="Arial" w:cs="Arial"/>
          <w:b/>
          <w:bCs/>
          <w:sz w:val="18"/>
          <w:szCs w:val="20"/>
          <w:u w:val="single"/>
        </w:rPr>
        <w:t xml:space="preserve">dopuszcza rozwiązania równoważne </w:t>
      </w:r>
      <w:r>
        <w:rPr>
          <w:rFonts w:ascii="Arial" w:hAnsi="Arial" w:cs="Arial"/>
          <w:sz w:val="18"/>
          <w:szCs w:val="20"/>
        </w:rPr>
        <w:t>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5564AC47" w14:textId="77777777" w:rsidR="000B3AB7" w:rsidRDefault="000B3AB7" w:rsidP="00051D17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 przypadku opisania przedmiotu zamówienia przez wskazanie znaków towarowych, patentów lub pochodzenia, Zamawiający dopuszcza złożenie oferty na usługę </w:t>
      </w:r>
      <w:r>
        <w:rPr>
          <w:rFonts w:ascii="Arial" w:hAnsi="Arial" w:cs="Arial"/>
          <w:b/>
          <w:bCs/>
          <w:sz w:val="18"/>
          <w:szCs w:val="20"/>
          <w:u w:val="single"/>
        </w:rPr>
        <w:t>o parametrach równoważnych jakościowo</w:t>
      </w:r>
      <w:r>
        <w:rPr>
          <w:rFonts w:ascii="Arial" w:hAnsi="Arial" w:cs="Arial"/>
          <w:sz w:val="18"/>
          <w:szCs w:val="20"/>
        </w:rPr>
        <w:t>. Za równoważny Zamawiający uzna usługę o parametrach takich samych lub lepszych od pierwowzoru, posiadający minimum funkcji, zastosowanie i przeznaczenie jakie posiada pierwowzór. Udowodnienie równoważności będzie należało do Wykonawcy.</w:t>
      </w:r>
    </w:p>
    <w:p w14:paraId="26366001" w14:textId="77777777" w:rsidR="000B3AB7" w:rsidRDefault="000B3AB7" w:rsidP="00051D17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Zamawiający dopuszcza rozwiązania równoważne opisywanym w dokumentacji. Jeżeli Zamawiający nie podaje minimalnych parametrów, które by tę równoważność potwierdzały - Wykonawca obowiązany jest zaoferować produkt o właściwościach zbliżonych, nadający się funkcjonalnie do zapotrzebowanego zastosowania.</w:t>
      </w:r>
    </w:p>
    <w:p w14:paraId="094859B8" w14:textId="77777777"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14:paraId="0BBE8031" w14:textId="29B9E471" w:rsidR="00493B82" w:rsidRPr="00051D17" w:rsidRDefault="00C91A69" w:rsidP="00051D17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sectPr w:rsidR="00493B82" w:rsidRPr="00051D17" w:rsidSect="004E3C21">
      <w:headerReference w:type="default" r:id="rId7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E0BB" w14:textId="77777777" w:rsidR="00623A04" w:rsidRDefault="00623A04">
      <w:pPr>
        <w:spacing w:after="0" w:line="240" w:lineRule="auto"/>
      </w:pPr>
      <w:r>
        <w:separator/>
      </w:r>
    </w:p>
  </w:endnote>
  <w:endnote w:type="continuationSeparator" w:id="0">
    <w:p w14:paraId="007684D1" w14:textId="77777777" w:rsidR="00623A04" w:rsidRDefault="006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1F84" w14:textId="77777777" w:rsidR="00623A04" w:rsidRDefault="00623A04">
      <w:pPr>
        <w:spacing w:after="0" w:line="240" w:lineRule="auto"/>
      </w:pPr>
      <w:r>
        <w:separator/>
      </w:r>
    </w:p>
  </w:footnote>
  <w:footnote w:type="continuationSeparator" w:id="0">
    <w:p w14:paraId="00475B1B" w14:textId="77777777" w:rsidR="00623A04" w:rsidRDefault="0062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B9CF" w14:textId="77777777" w:rsidR="00B409B7" w:rsidRDefault="00961839" w:rsidP="00961839">
    <w:pPr>
      <w:tabs>
        <w:tab w:val="center" w:pos="4536"/>
        <w:tab w:val="right" w:pos="9072"/>
      </w:tabs>
      <w:spacing w:after="0" w:line="240" w:lineRule="auto"/>
      <w:jc w:val="center"/>
    </w:pPr>
    <w:r w:rsidRPr="00FC7679">
      <w:rPr>
        <w:noProof/>
      </w:rPr>
      <w:drawing>
        <wp:inline distT="0" distB="0" distL="0" distR="0" wp14:anchorId="1CBE2430" wp14:editId="457F00EE">
          <wp:extent cx="5760720" cy="792480"/>
          <wp:effectExtent l="0" t="0" r="0" b="7620"/>
          <wp:docPr id="639301152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E75"/>
    <w:multiLevelType w:val="hybridMultilevel"/>
    <w:tmpl w:val="299C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8B5BDC"/>
    <w:multiLevelType w:val="hybridMultilevel"/>
    <w:tmpl w:val="3DE4A436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0DE94607"/>
    <w:multiLevelType w:val="hybridMultilevel"/>
    <w:tmpl w:val="D5B2B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745D9"/>
    <w:multiLevelType w:val="hybridMultilevel"/>
    <w:tmpl w:val="BD26DBE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6BDB"/>
    <w:multiLevelType w:val="hybridMultilevel"/>
    <w:tmpl w:val="57FE1CC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1572"/>
    <w:multiLevelType w:val="hybridMultilevel"/>
    <w:tmpl w:val="CCFEEBA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54C1"/>
    <w:multiLevelType w:val="hybridMultilevel"/>
    <w:tmpl w:val="8342084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B216B2F"/>
    <w:multiLevelType w:val="hybridMultilevel"/>
    <w:tmpl w:val="0A9C58AE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575C29EE"/>
    <w:multiLevelType w:val="hybridMultilevel"/>
    <w:tmpl w:val="8F6A5E8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D22B4"/>
    <w:multiLevelType w:val="hybridMultilevel"/>
    <w:tmpl w:val="0D16531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74EA0B42"/>
    <w:multiLevelType w:val="hybridMultilevel"/>
    <w:tmpl w:val="1780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0427313">
    <w:abstractNumId w:val="5"/>
  </w:num>
  <w:num w:numId="2" w16cid:durableId="41702358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3" w16cid:durableId="1643920340">
    <w:abstractNumId w:val="1"/>
  </w:num>
  <w:num w:numId="4" w16cid:durableId="206720342">
    <w:abstractNumId w:val="13"/>
  </w:num>
  <w:num w:numId="5" w16cid:durableId="876741882">
    <w:abstractNumId w:val="2"/>
  </w:num>
  <w:num w:numId="6" w16cid:durableId="534274180">
    <w:abstractNumId w:val="10"/>
  </w:num>
  <w:num w:numId="7" w16cid:durableId="1272392175">
    <w:abstractNumId w:val="2"/>
  </w:num>
  <w:num w:numId="8" w16cid:durableId="1986396974">
    <w:abstractNumId w:val="7"/>
  </w:num>
  <w:num w:numId="9" w16cid:durableId="1793939676">
    <w:abstractNumId w:val="4"/>
  </w:num>
  <w:num w:numId="10" w16cid:durableId="1919055963">
    <w:abstractNumId w:val="8"/>
  </w:num>
  <w:num w:numId="11" w16cid:durableId="1912539316">
    <w:abstractNumId w:val="9"/>
  </w:num>
  <w:num w:numId="12" w16cid:durableId="664819755">
    <w:abstractNumId w:val="3"/>
  </w:num>
  <w:num w:numId="13" w16cid:durableId="311645675">
    <w:abstractNumId w:val="11"/>
  </w:num>
  <w:num w:numId="14" w16cid:durableId="1015687778">
    <w:abstractNumId w:val="6"/>
  </w:num>
  <w:num w:numId="15" w16cid:durableId="985083671">
    <w:abstractNumId w:val="15"/>
  </w:num>
  <w:num w:numId="16" w16cid:durableId="1931349422">
    <w:abstractNumId w:val="12"/>
  </w:num>
  <w:num w:numId="17" w16cid:durableId="1388528443">
    <w:abstractNumId w:val="0"/>
  </w:num>
  <w:num w:numId="18" w16cid:durableId="303505992">
    <w:abstractNumId w:val="14"/>
  </w:num>
  <w:num w:numId="19" w16cid:durableId="8301047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38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82"/>
    <w:rsid w:val="00020E0A"/>
    <w:rsid w:val="00033859"/>
    <w:rsid w:val="00036A15"/>
    <w:rsid w:val="00051D17"/>
    <w:rsid w:val="00056889"/>
    <w:rsid w:val="00071002"/>
    <w:rsid w:val="00094592"/>
    <w:rsid w:val="000B3AB7"/>
    <w:rsid w:val="000D2D13"/>
    <w:rsid w:val="000F42AE"/>
    <w:rsid w:val="00103728"/>
    <w:rsid w:val="00107B00"/>
    <w:rsid w:val="00110756"/>
    <w:rsid w:val="0011311E"/>
    <w:rsid w:val="00124769"/>
    <w:rsid w:val="001516E6"/>
    <w:rsid w:val="00172799"/>
    <w:rsid w:val="001744E3"/>
    <w:rsid w:val="00174B1A"/>
    <w:rsid w:val="00175E17"/>
    <w:rsid w:val="00177225"/>
    <w:rsid w:val="0019266D"/>
    <w:rsid w:val="001A3FD4"/>
    <w:rsid w:val="001C3ADC"/>
    <w:rsid w:val="001E1DFE"/>
    <w:rsid w:val="001E6E26"/>
    <w:rsid w:val="001E6E48"/>
    <w:rsid w:val="001F2EA4"/>
    <w:rsid w:val="001F3986"/>
    <w:rsid w:val="001F7433"/>
    <w:rsid w:val="00207BBF"/>
    <w:rsid w:val="002130FA"/>
    <w:rsid w:val="00216209"/>
    <w:rsid w:val="0022116A"/>
    <w:rsid w:val="002464B1"/>
    <w:rsid w:val="002522E3"/>
    <w:rsid w:val="00255A38"/>
    <w:rsid w:val="00277655"/>
    <w:rsid w:val="002A704B"/>
    <w:rsid w:val="002B13D5"/>
    <w:rsid w:val="002C40D5"/>
    <w:rsid w:val="002D3F54"/>
    <w:rsid w:val="002D6927"/>
    <w:rsid w:val="002E3577"/>
    <w:rsid w:val="002F464A"/>
    <w:rsid w:val="00302484"/>
    <w:rsid w:val="003073FD"/>
    <w:rsid w:val="00310623"/>
    <w:rsid w:val="00310755"/>
    <w:rsid w:val="003263F2"/>
    <w:rsid w:val="003274AE"/>
    <w:rsid w:val="00330233"/>
    <w:rsid w:val="00331320"/>
    <w:rsid w:val="003351ED"/>
    <w:rsid w:val="003420FA"/>
    <w:rsid w:val="003702E3"/>
    <w:rsid w:val="003B43EB"/>
    <w:rsid w:val="003B58EE"/>
    <w:rsid w:val="003B650D"/>
    <w:rsid w:val="003C67C7"/>
    <w:rsid w:val="003D0325"/>
    <w:rsid w:val="003D5D48"/>
    <w:rsid w:val="003D74D8"/>
    <w:rsid w:val="003F09D6"/>
    <w:rsid w:val="0040438E"/>
    <w:rsid w:val="0040642E"/>
    <w:rsid w:val="00421445"/>
    <w:rsid w:val="00440A74"/>
    <w:rsid w:val="00441F92"/>
    <w:rsid w:val="004622DB"/>
    <w:rsid w:val="004712A8"/>
    <w:rsid w:val="0048735E"/>
    <w:rsid w:val="00493B82"/>
    <w:rsid w:val="004A7CD3"/>
    <w:rsid w:val="004B35C4"/>
    <w:rsid w:val="004B48BB"/>
    <w:rsid w:val="004D0EC1"/>
    <w:rsid w:val="004E1D5F"/>
    <w:rsid w:val="004E3C21"/>
    <w:rsid w:val="004E6639"/>
    <w:rsid w:val="004F36CA"/>
    <w:rsid w:val="00512091"/>
    <w:rsid w:val="00516BCE"/>
    <w:rsid w:val="00533768"/>
    <w:rsid w:val="00553F0A"/>
    <w:rsid w:val="00581005"/>
    <w:rsid w:val="00595B91"/>
    <w:rsid w:val="005A356B"/>
    <w:rsid w:val="005B0B20"/>
    <w:rsid w:val="005C02B9"/>
    <w:rsid w:val="005C60D1"/>
    <w:rsid w:val="005C743E"/>
    <w:rsid w:val="005D6FBF"/>
    <w:rsid w:val="005E3655"/>
    <w:rsid w:val="005E40BE"/>
    <w:rsid w:val="005E4D76"/>
    <w:rsid w:val="00606EBE"/>
    <w:rsid w:val="00612081"/>
    <w:rsid w:val="00614D1A"/>
    <w:rsid w:val="00621C1A"/>
    <w:rsid w:val="00623A04"/>
    <w:rsid w:val="006452CD"/>
    <w:rsid w:val="006460F2"/>
    <w:rsid w:val="006462A0"/>
    <w:rsid w:val="00647E70"/>
    <w:rsid w:val="00655966"/>
    <w:rsid w:val="0065622F"/>
    <w:rsid w:val="006713F7"/>
    <w:rsid w:val="00672F8A"/>
    <w:rsid w:val="00681257"/>
    <w:rsid w:val="006858F5"/>
    <w:rsid w:val="00690E0D"/>
    <w:rsid w:val="00693FAE"/>
    <w:rsid w:val="00696E3B"/>
    <w:rsid w:val="006B7B0A"/>
    <w:rsid w:val="006E2E6C"/>
    <w:rsid w:val="006E3DAA"/>
    <w:rsid w:val="006F0176"/>
    <w:rsid w:val="00703DC6"/>
    <w:rsid w:val="007153BC"/>
    <w:rsid w:val="00744B9A"/>
    <w:rsid w:val="007642EB"/>
    <w:rsid w:val="00765BDA"/>
    <w:rsid w:val="0077416E"/>
    <w:rsid w:val="00780476"/>
    <w:rsid w:val="00785424"/>
    <w:rsid w:val="00791D5A"/>
    <w:rsid w:val="00796119"/>
    <w:rsid w:val="00801F3D"/>
    <w:rsid w:val="008434B5"/>
    <w:rsid w:val="00884B20"/>
    <w:rsid w:val="00887AB7"/>
    <w:rsid w:val="008934DF"/>
    <w:rsid w:val="008B1C8E"/>
    <w:rsid w:val="008D18E6"/>
    <w:rsid w:val="008D6E8C"/>
    <w:rsid w:val="008E68AF"/>
    <w:rsid w:val="0090117D"/>
    <w:rsid w:val="009044CE"/>
    <w:rsid w:val="0093090A"/>
    <w:rsid w:val="00934F99"/>
    <w:rsid w:val="00942429"/>
    <w:rsid w:val="00945292"/>
    <w:rsid w:val="0095559E"/>
    <w:rsid w:val="00961839"/>
    <w:rsid w:val="00963943"/>
    <w:rsid w:val="009918C1"/>
    <w:rsid w:val="00995E5C"/>
    <w:rsid w:val="0099783D"/>
    <w:rsid w:val="009A447A"/>
    <w:rsid w:val="009B39B2"/>
    <w:rsid w:val="009C07C9"/>
    <w:rsid w:val="00A13F0F"/>
    <w:rsid w:val="00A5606C"/>
    <w:rsid w:val="00A601D8"/>
    <w:rsid w:val="00A61320"/>
    <w:rsid w:val="00A64F97"/>
    <w:rsid w:val="00A77C99"/>
    <w:rsid w:val="00A875A4"/>
    <w:rsid w:val="00A92E81"/>
    <w:rsid w:val="00A9434A"/>
    <w:rsid w:val="00A96E9B"/>
    <w:rsid w:val="00AA1520"/>
    <w:rsid w:val="00AA5060"/>
    <w:rsid w:val="00AA74E8"/>
    <w:rsid w:val="00AC30DA"/>
    <w:rsid w:val="00AC4D1C"/>
    <w:rsid w:val="00AD0A69"/>
    <w:rsid w:val="00B02DA6"/>
    <w:rsid w:val="00B13B81"/>
    <w:rsid w:val="00B2763C"/>
    <w:rsid w:val="00B32947"/>
    <w:rsid w:val="00B409B7"/>
    <w:rsid w:val="00B411C9"/>
    <w:rsid w:val="00B430E9"/>
    <w:rsid w:val="00B44651"/>
    <w:rsid w:val="00B6192D"/>
    <w:rsid w:val="00B63823"/>
    <w:rsid w:val="00B71783"/>
    <w:rsid w:val="00B919BE"/>
    <w:rsid w:val="00BA5EA6"/>
    <w:rsid w:val="00BB00BF"/>
    <w:rsid w:val="00BD0EC1"/>
    <w:rsid w:val="00BE4C75"/>
    <w:rsid w:val="00BF0C2F"/>
    <w:rsid w:val="00C0547B"/>
    <w:rsid w:val="00C071BF"/>
    <w:rsid w:val="00C2476F"/>
    <w:rsid w:val="00C3611F"/>
    <w:rsid w:val="00C536F5"/>
    <w:rsid w:val="00C5739B"/>
    <w:rsid w:val="00C64F24"/>
    <w:rsid w:val="00C80030"/>
    <w:rsid w:val="00C83E88"/>
    <w:rsid w:val="00C85A71"/>
    <w:rsid w:val="00C877FC"/>
    <w:rsid w:val="00C91A69"/>
    <w:rsid w:val="00C932F0"/>
    <w:rsid w:val="00C9641E"/>
    <w:rsid w:val="00CA2A19"/>
    <w:rsid w:val="00CC517D"/>
    <w:rsid w:val="00CF6387"/>
    <w:rsid w:val="00D02404"/>
    <w:rsid w:val="00D04039"/>
    <w:rsid w:val="00D13C40"/>
    <w:rsid w:val="00D21369"/>
    <w:rsid w:val="00D21D1B"/>
    <w:rsid w:val="00D236A2"/>
    <w:rsid w:val="00D23EF4"/>
    <w:rsid w:val="00D326F3"/>
    <w:rsid w:val="00D343E5"/>
    <w:rsid w:val="00D36550"/>
    <w:rsid w:val="00D56BC5"/>
    <w:rsid w:val="00D76125"/>
    <w:rsid w:val="00D772DC"/>
    <w:rsid w:val="00D774A0"/>
    <w:rsid w:val="00D865FA"/>
    <w:rsid w:val="00D97AB1"/>
    <w:rsid w:val="00DC101D"/>
    <w:rsid w:val="00DD18CD"/>
    <w:rsid w:val="00DD77B2"/>
    <w:rsid w:val="00DF0118"/>
    <w:rsid w:val="00E00C27"/>
    <w:rsid w:val="00E02C8E"/>
    <w:rsid w:val="00E0551E"/>
    <w:rsid w:val="00E14FC8"/>
    <w:rsid w:val="00E21D6E"/>
    <w:rsid w:val="00E50945"/>
    <w:rsid w:val="00E549D9"/>
    <w:rsid w:val="00E565B8"/>
    <w:rsid w:val="00E60E2B"/>
    <w:rsid w:val="00E9366E"/>
    <w:rsid w:val="00EA0471"/>
    <w:rsid w:val="00EA48EE"/>
    <w:rsid w:val="00ED210B"/>
    <w:rsid w:val="00F425F4"/>
    <w:rsid w:val="00F43443"/>
    <w:rsid w:val="00F575BF"/>
    <w:rsid w:val="00F668A3"/>
    <w:rsid w:val="00F67DAA"/>
    <w:rsid w:val="00F70677"/>
    <w:rsid w:val="00F91BCE"/>
    <w:rsid w:val="00FA1F43"/>
    <w:rsid w:val="00FB274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4F00E8"/>
  <w15:docId w15:val="{8B9E610E-CF76-4075-A66D-AC341B26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3581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Angelika Błońska</cp:lastModifiedBy>
  <cp:revision>4</cp:revision>
  <cp:lastPrinted>2022-05-20T12:45:00Z</cp:lastPrinted>
  <dcterms:created xsi:type="dcterms:W3CDTF">2024-09-23T12:04:00Z</dcterms:created>
  <dcterms:modified xsi:type="dcterms:W3CDTF">2024-09-24T06:05:00Z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