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4588500B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E761A5" w:rsidRPr="00E761A5">
        <w:rPr>
          <w:rFonts w:ascii="Calibri" w:hAnsi="Calibri" w:cs="Calibri"/>
          <w:b/>
          <w:bCs/>
          <w:color w:val="000000"/>
        </w:rPr>
        <w:t>Przebudowa dróg wewnętrznych na terenie Gminy Skołyszyn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3226A8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5F35FAF4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36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y</w:t>
            </w:r>
            <w:proofErr w:type="spellEnd"/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3226A8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0A36A658" w:rsidR="0014210F" w:rsidRPr="0014210F" w:rsidRDefault="00E761A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3A3D10">
              <w:rPr>
                <w:rFonts w:asciiTheme="minorHAnsi" w:hAnsiTheme="minorHAnsi" w:cstheme="minorHAnsi"/>
                <w:b/>
              </w:rPr>
              <w:t>2 miesięcy</w:t>
            </w:r>
            <w:r>
              <w:rPr>
                <w:rFonts w:asciiTheme="minorHAnsi" w:hAnsiTheme="minorHAnsi" w:cstheme="minorHAnsi"/>
                <w:b/>
              </w:rPr>
              <w:t xml:space="preserve"> od zawarcia umowy</w:t>
            </w: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3A2979C9" w:rsidR="00AB090A" w:rsidRPr="0014210F" w:rsidRDefault="009425F9" w:rsidP="009425F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Zgodnie z załączonym do oferty wykazem cen</w:t>
      </w: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6A167F97" w:rsidR="00EF01FD" w:rsidRPr="00890748" w:rsidRDefault="00E761A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7357E4E7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</w:t>
      </w:r>
      <w:proofErr w:type="spellStart"/>
      <w:r w:rsidR="00F6156C">
        <w:rPr>
          <w:rFonts w:ascii="Calibri" w:hAnsi="Calibri" w:cs="Calibri"/>
          <w:bCs/>
        </w:rPr>
        <w:t>t.j.</w:t>
      </w:r>
      <w:r w:rsidR="0018719B">
        <w:rPr>
          <w:rFonts w:ascii="Calibri" w:hAnsi="Calibri" w:cs="Calibri"/>
          <w:bCs/>
        </w:rPr>
        <w:t>Dz</w:t>
      </w:r>
      <w:proofErr w:type="spellEnd"/>
      <w:r w:rsidR="0018719B">
        <w:rPr>
          <w:rFonts w:ascii="Calibri" w:hAnsi="Calibri" w:cs="Calibri"/>
          <w:bCs/>
        </w:rPr>
        <w:t>. U. z 202</w:t>
      </w:r>
      <w:r w:rsidR="00F6156C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F6156C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D331C06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F6156C">
        <w:rPr>
          <w:rFonts w:ascii="Calibri" w:hAnsi="Calibri" w:cs="Calibri"/>
          <w:bCs/>
        </w:rPr>
        <w:t xml:space="preserve">                      </w:t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F6156C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F6156C" w:rsidRDefault="00F6156C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0DB06E7E" w:rsidR="00F6156C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40FCB864" w14:textId="5671430C" w:rsidR="00F6156C" w:rsidRPr="003226A8" w:rsidRDefault="000D076A" w:rsidP="00E761A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E761A5" w:rsidRPr="00E761A5">
      <w:rPr>
        <w:rFonts w:ascii="Calibri" w:hAnsi="Calibri" w:cs="Calibri"/>
        <w:b/>
        <w:bCs/>
        <w:i/>
        <w:iCs/>
        <w:sz w:val="18"/>
        <w:szCs w:val="20"/>
      </w:rPr>
      <w:t>Przebudowa dróg wewnętrznych na terenie Gminy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2CB3641B" w:rsidR="00F6156C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E761A5">
      <w:rPr>
        <w:rFonts w:ascii="Calibri" w:hAnsi="Calibri"/>
        <w:b/>
        <w:bCs/>
        <w:color w:val="4F81BD"/>
        <w:sz w:val="18"/>
        <w:szCs w:val="18"/>
        <w:lang w:val="pl-PL"/>
      </w:rPr>
      <w:t>7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9425F9">
      <w:rPr>
        <w:rFonts w:ascii="Calibri" w:hAnsi="Calibri"/>
        <w:b/>
        <w:bCs/>
        <w:color w:val="4F81BD"/>
        <w:sz w:val="18"/>
        <w:szCs w:val="18"/>
        <w:lang w:val="pl-PL"/>
      </w:rPr>
      <w:t>4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226A8"/>
    <w:rsid w:val="003A3D10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425F9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6156C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18</cp:revision>
  <cp:lastPrinted>2023-01-10T08:58:00Z</cp:lastPrinted>
  <dcterms:created xsi:type="dcterms:W3CDTF">2021-02-03T07:40:00Z</dcterms:created>
  <dcterms:modified xsi:type="dcterms:W3CDTF">2024-03-25T15:15:00Z</dcterms:modified>
</cp:coreProperties>
</file>