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81CD" w14:textId="592676F6" w:rsidR="003B59F5" w:rsidRPr="003B59F5" w:rsidRDefault="003B59F5" w:rsidP="003B59F5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05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7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.2022 r.</w:t>
      </w:r>
    </w:p>
    <w:p w14:paraId="31766354" w14:textId="77777777" w:rsidR="003B59F5" w:rsidRPr="003B59F5" w:rsidRDefault="003B59F5" w:rsidP="003B59F5">
      <w:pPr>
        <w:jc w:val="right"/>
        <w:rPr>
          <w:rFonts w:ascii="Arial" w:eastAsiaTheme="minorEastAsia" w:hAnsi="Arial" w:cs="Arial"/>
          <w:lang w:eastAsia="pl-PL"/>
        </w:rPr>
      </w:pPr>
    </w:p>
    <w:p w14:paraId="25CD4D6E" w14:textId="77777777" w:rsidR="003B59F5" w:rsidRPr="003B59F5" w:rsidRDefault="003B59F5" w:rsidP="003B59F5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>Zmiana Nr 1 do treści Specyfikacji Warunków Zamówienia</w:t>
      </w:r>
    </w:p>
    <w:p w14:paraId="0222C428" w14:textId="200589B8" w:rsidR="003B59F5" w:rsidRDefault="003B59F5" w:rsidP="003B59F5">
      <w:pPr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postępowaniu prowadzonym w trybie podstawowym z negocjacjami </w:t>
      </w:r>
      <w:bookmarkStart w:id="0" w:name="_Hlk106605023"/>
      <w:r>
        <w:rPr>
          <w:rFonts w:ascii="Arial" w:eastAsiaTheme="minorEastAsia" w:hAnsi="Arial" w:cs="Arial"/>
          <w:b/>
          <w:sz w:val="24"/>
          <w:szCs w:val="24"/>
          <w:lang w:eastAsia="pl-PL"/>
        </w:rPr>
        <w:t>na „</w:t>
      </w: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>Wzmocnienie atrakcyjności inwestycyjnej Gminy Kołbaskowo poprzez kompleksowe uzbrojenie terenów inwestycyjnych w m. Rosówek w obrębie Kamieniec</w:t>
      </w:r>
      <w:bookmarkEnd w:id="0"/>
      <w:r>
        <w:rPr>
          <w:rFonts w:ascii="Arial" w:eastAsiaTheme="minorEastAsia" w:hAnsi="Arial" w:cs="Arial"/>
          <w:b/>
          <w:sz w:val="24"/>
          <w:szCs w:val="24"/>
          <w:lang w:eastAsia="pl-PL"/>
        </w:rPr>
        <w:t>”.</w:t>
      </w:r>
    </w:p>
    <w:p w14:paraId="63C2B83D" w14:textId="77777777" w:rsidR="003B59F5" w:rsidRPr="003B59F5" w:rsidRDefault="003B59F5" w:rsidP="003B59F5">
      <w:pPr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0ACBF239" w14:textId="105F013A" w:rsidR="003B59F5" w:rsidRPr="003B59F5" w:rsidRDefault="003B59F5" w:rsidP="003B59F5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Informuję, że w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załączniku nr 5 do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Specyfikacji Warunków Zamówienia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(wzór umowy) wprowadzono następujące zmiany</w:t>
      </w:r>
      <w:r w:rsidR="00872802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14:paraId="1A619D94" w14:textId="693C7C80" w:rsidR="003B59F5" w:rsidRPr="00872802" w:rsidRDefault="003B59F5" w:rsidP="0087280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bCs/>
          <w:sz w:val="24"/>
          <w:szCs w:val="24"/>
          <w:lang w:val="fr-FR" w:eastAsia="fr-FR"/>
        </w:rPr>
      </w:pPr>
      <w:r w:rsidRPr="00872802">
        <w:rPr>
          <w:rFonts w:ascii="Arial" w:eastAsiaTheme="minorEastAsia" w:hAnsi="Arial" w:cs="Arial"/>
          <w:bCs/>
          <w:sz w:val="24"/>
          <w:szCs w:val="24"/>
          <w:lang w:val="fr-FR" w:eastAsia="fr-FR"/>
        </w:rPr>
        <w:t xml:space="preserve">w § 12 ust. 1 pkt 6) </w:t>
      </w:r>
      <w:r w:rsidR="00872802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zapis otrzymuje brzmienie</w:t>
      </w:r>
      <w:r w:rsidRPr="00872802">
        <w:rPr>
          <w:rFonts w:ascii="Arial" w:eastAsiaTheme="minorEastAsia" w:hAnsi="Arial" w:cs="Arial"/>
          <w:bCs/>
          <w:sz w:val="24"/>
          <w:szCs w:val="24"/>
          <w:lang w:val="fr-FR" w:eastAsia="fr-FR"/>
        </w:rPr>
        <w:t xml:space="preserve">:  </w:t>
      </w:r>
    </w:p>
    <w:p w14:paraId="208976FA" w14:textId="1BE5B2BC" w:rsidR="003B59F5" w:rsidRDefault="003B59F5" w:rsidP="00872802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bCs/>
          <w:sz w:val="24"/>
          <w:szCs w:val="24"/>
          <w:lang w:val="fr-FR" w:eastAsia="fr-FR"/>
        </w:rPr>
      </w:pPr>
      <w:r w:rsidRPr="003B59F5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„6) za dłuższy niż miesiąc brak zapłaty wynagrodzenia należnego podwykonawcom lub dalszym podwykonawcom - w wysokości 10% wynagrodzenia wynikającego z umowy o podwykonawstwo, nie mniej niż 0,5% wynagrodzenia umownego o którym mowa § 9 ust. 1  umowy,”</w:t>
      </w:r>
    </w:p>
    <w:p w14:paraId="56069935" w14:textId="77777777" w:rsidR="00872802" w:rsidRPr="003B59F5" w:rsidRDefault="00872802" w:rsidP="00872802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bCs/>
          <w:sz w:val="24"/>
          <w:szCs w:val="24"/>
          <w:lang w:val="fr-FR" w:eastAsia="fr-FR"/>
        </w:rPr>
      </w:pPr>
    </w:p>
    <w:p w14:paraId="6C0875D5" w14:textId="6B8D4152" w:rsidR="00872802" w:rsidRPr="00872802" w:rsidRDefault="00872802" w:rsidP="0087280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872802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w § 12 ust. 1 pkt 8) 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>zapis otrzymuje brzmienie</w:t>
      </w:r>
      <w:r w:rsidRPr="00872802">
        <w:rPr>
          <w:rFonts w:ascii="Arial" w:eastAsiaTheme="minorEastAsia" w:hAnsi="Arial" w:cs="Arial"/>
          <w:sz w:val="24"/>
          <w:szCs w:val="24"/>
          <w:lang w:val="fr-FR" w:eastAsia="fr-FR"/>
        </w:rPr>
        <w:t>:</w:t>
      </w:r>
    </w:p>
    <w:p w14:paraId="7E46C15B" w14:textId="250FCF04" w:rsidR="00872802" w:rsidRDefault="00872802" w:rsidP="00872802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872802">
        <w:rPr>
          <w:rFonts w:ascii="Arial" w:eastAsiaTheme="minorEastAsia" w:hAnsi="Arial" w:cs="Arial"/>
          <w:sz w:val="24"/>
          <w:szCs w:val="24"/>
          <w:lang w:val="fr-FR" w:eastAsia="fr-FR"/>
        </w:rPr>
        <w:t>„8) za nieprzedłożenie poświadczonej za zgodność z oryginałem pisemnej kopii umowy o podwykonawstwo lub jej zmiany - w wysokości 0,3% wynagrodzenia umownego o którym mowa w § 9 ust. 1 umowy,”</w:t>
      </w:r>
    </w:p>
    <w:p w14:paraId="59656DA5" w14:textId="77777777" w:rsidR="00872802" w:rsidRDefault="00872802" w:rsidP="00872802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</w:p>
    <w:p w14:paraId="54A620B9" w14:textId="7DF1BABD" w:rsidR="003B59F5" w:rsidRPr="003B59F5" w:rsidRDefault="00872802" w:rsidP="003B59F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>
        <w:rPr>
          <w:rFonts w:ascii="Arial" w:eastAsiaTheme="minorEastAsia" w:hAnsi="Arial" w:cs="Arial"/>
          <w:sz w:val="24"/>
          <w:szCs w:val="24"/>
          <w:lang w:val="fr-FR" w:eastAsia="fr-FR"/>
        </w:rPr>
        <w:t>w związku z zmianami w treści wzoru umowy, z</w:t>
      </w:r>
      <w:r w:rsidR="003B59F5" w:rsidRPr="003B59F5">
        <w:rPr>
          <w:rFonts w:ascii="Arial" w:eastAsiaTheme="minorEastAsia" w:hAnsi="Arial" w:cs="Arial"/>
          <w:sz w:val="24"/>
          <w:szCs w:val="24"/>
          <w:lang w:val="fr-FR" w:eastAsia="fr-FR"/>
        </w:rPr>
        <w:t>mianie ulegają daty otwarcia ofert oraz związania ofertą :</w:t>
      </w:r>
    </w:p>
    <w:p w14:paraId="04423320" w14:textId="77777777" w:rsidR="003B59F5" w:rsidRPr="003B59F5" w:rsidRDefault="003B59F5" w:rsidP="003B59F5">
      <w:pPr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3B59F5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Rozdział XVIII SWZ – zmiana w puktach 1,3, 7: </w:t>
      </w:r>
    </w:p>
    <w:p w14:paraId="7AB004E6" w14:textId="4BEB4AD1" w:rsidR="003B59F5" w:rsidRPr="003B59F5" w:rsidRDefault="003B59F5" w:rsidP="003B59F5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Ofertę należy złożyć w terminie do dnia </w:t>
      </w:r>
      <w:r w:rsidR="00872802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22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 w:rsidR="00872802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7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.2022 r.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do godz. 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10.50.</w:t>
      </w:r>
    </w:p>
    <w:p w14:paraId="4DB8E730" w14:textId="4E98D458" w:rsidR="003B59F5" w:rsidRPr="003B59F5" w:rsidRDefault="003B59F5" w:rsidP="003B59F5">
      <w:pPr>
        <w:numPr>
          <w:ilvl w:val="1"/>
          <w:numId w:val="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Otwarcie ofert nastąpi w dniu </w:t>
      </w:r>
      <w:r w:rsidR="00872802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22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 w:rsidR="00872802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7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.2022 r.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o godz. 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11.00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poprzez odszyfrowanie wczytanych na Platformie ofert.</w:t>
      </w:r>
    </w:p>
    <w:p w14:paraId="4989EB30" w14:textId="316D27E5" w:rsidR="003B59F5" w:rsidRPr="003B59F5" w:rsidRDefault="003B59F5" w:rsidP="003B59F5">
      <w:pPr>
        <w:numPr>
          <w:ilvl w:val="1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Wykonawca pozostaje związany ofertą do dnia </w:t>
      </w:r>
      <w:r w:rsidR="00872802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21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 w:rsidR="00872802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8</w:t>
      </w:r>
      <w:r w:rsidRPr="003B59F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.2022 r.</w:t>
      </w:r>
    </w:p>
    <w:p w14:paraId="4B10669B" w14:textId="77777777" w:rsidR="003B59F5" w:rsidRPr="003B59F5" w:rsidRDefault="003B59F5" w:rsidP="003B59F5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F3D1DCD" w14:textId="77777777" w:rsidR="003B59F5" w:rsidRPr="003B59F5" w:rsidRDefault="003B59F5" w:rsidP="003B59F5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76AD24F9" w14:textId="77777777" w:rsidR="003B59F5" w:rsidRPr="003B59F5" w:rsidRDefault="003B59F5" w:rsidP="003B59F5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6B706D0D" w14:textId="77777777" w:rsidR="003B59F5" w:rsidRPr="003B59F5" w:rsidRDefault="003B59F5" w:rsidP="003B59F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</w:t>
      </w:r>
    </w:p>
    <w:p w14:paraId="53146AA8" w14:textId="77777777" w:rsidR="003B59F5" w:rsidRPr="003B59F5" w:rsidRDefault="003B59F5" w:rsidP="003B59F5">
      <w:pPr>
        <w:rPr>
          <w:rFonts w:eastAsiaTheme="minorEastAsia" w:cs="Times New Roman"/>
          <w:lang w:eastAsia="pl-PL"/>
        </w:rPr>
      </w:pPr>
    </w:p>
    <w:p w14:paraId="514C8E44" w14:textId="77777777" w:rsidR="003B59F5" w:rsidRPr="003B59F5" w:rsidRDefault="003B59F5" w:rsidP="003B59F5"/>
    <w:p w14:paraId="71F43B5A" w14:textId="77777777" w:rsidR="0096521C" w:rsidRDefault="0096521C"/>
    <w:sectPr w:rsidR="0096521C" w:rsidSect="0025623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2309" w14:textId="77777777" w:rsidR="003402C0" w:rsidRDefault="003402C0" w:rsidP="003B59F5">
      <w:pPr>
        <w:spacing w:after="0" w:line="240" w:lineRule="auto"/>
      </w:pPr>
      <w:r>
        <w:separator/>
      </w:r>
    </w:p>
  </w:endnote>
  <w:endnote w:type="continuationSeparator" w:id="0">
    <w:p w14:paraId="1FD4A97C" w14:textId="77777777" w:rsidR="003402C0" w:rsidRDefault="003402C0" w:rsidP="003B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BB47" w14:textId="77777777" w:rsidR="003402C0" w:rsidRDefault="003402C0" w:rsidP="003B59F5">
      <w:pPr>
        <w:spacing w:after="0" w:line="240" w:lineRule="auto"/>
      </w:pPr>
      <w:r>
        <w:separator/>
      </w:r>
    </w:p>
  </w:footnote>
  <w:footnote w:type="continuationSeparator" w:id="0">
    <w:p w14:paraId="252C6B6A" w14:textId="77777777" w:rsidR="003402C0" w:rsidRDefault="003402C0" w:rsidP="003B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6F18" w14:textId="569FC528" w:rsidR="00672589" w:rsidRDefault="003B59F5" w:rsidP="00672589">
    <w:pPr>
      <w:pStyle w:val="Nagwek"/>
    </w:pPr>
    <w:r>
      <w:rPr>
        <w:noProof/>
      </w:rPr>
      <w:drawing>
        <wp:inline distT="0" distB="0" distL="0" distR="0" wp14:anchorId="668A25EC" wp14:editId="5CDDCD36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EB8E9A" w14:textId="77777777" w:rsidR="003B59F5" w:rsidRPr="001540DD" w:rsidRDefault="003B59F5" w:rsidP="003B59F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107392550"/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4A5B67F2" w14:textId="7BB86F8A" w:rsidR="003B59F5" w:rsidRPr="003B59F5" w:rsidRDefault="003B59F5" w:rsidP="003B59F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  <w:bookmarkEnd w:id="1"/>
  </w:p>
  <w:p w14:paraId="68DDAE8E" w14:textId="77777777" w:rsidR="00672589" w:rsidRDefault="003402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B9"/>
    <w:multiLevelType w:val="hybridMultilevel"/>
    <w:tmpl w:val="C23C2D2C"/>
    <w:lvl w:ilvl="0" w:tplc="935C9FE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51362A"/>
    <w:multiLevelType w:val="multilevel"/>
    <w:tmpl w:val="6AB4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112EB"/>
    <w:multiLevelType w:val="hybridMultilevel"/>
    <w:tmpl w:val="DD1E40CA"/>
    <w:lvl w:ilvl="0" w:tplc="6564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C5364"/>
    <w:multiLevelType w:val="hybridMultilevel"/>
    <w:tmpl w:val="D90A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A0C"/>
    <w:multiLevelType w:val="multilevel"/>
    <w:tmpl w:val="5B6E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7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CC13B7"/>
    <w:multiLevelType w:val="hybridMultilevel"/>
    <w:tmpl w:val="25DA99FA"/>
    <w:lvl w:ilvl="0" w:tplc="72A0EF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B42886"/>
    <w:multiLevelType w:val="hybridMultilevel"/>
    <w:tmpl w:val="5B8C732A"/>
    <w:lvl w:ilvl="0" w:tplc="06123E2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3013739">
    <w:abstractNumId w:val="6"/>
  </w:num>
  <w:num w:numId="2" w16cid:durableId="1472286311">
    <w:abstractNumId w:val="7"/>
  </w:num>
  <w:num w:numId="3" w16cid:durableId="67731439">
    <w:abstractNumId w:val="1"/>
  </w:num>
  <w:num w:numId="4" w16cid:durableId="1207177150">
    <w:abstractNumId w:val="0"/>
  </w:num>
  <w:num w:numId="5" w16cid:durableId="837619145">
    <w:abstractNumId w:val="2"/>
  </w:num>
  <w:num w:numId="6" w16cid:durableId="140779593">
    <w:abstractNumId w:val="5"/>
  </w:num>
  <w:num w:numId="7" w16cid:durableId="1390499997">
    <w:abstractNumId w:val="4"/>
  </w:num>
  <w:num w:numId="8" w16cid:durableId="809253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F5"/>
    <w:rsid w:val="00264DDE"/>
    <w:rsid w:val="003402C0"/>
    <w:rsid w:val="003B59F5"/>
    <w:rsid w:val="00872802"/>
    <w:rsid w:val="0096521C"/>
    <w:rsid w:val="00C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9065"/>
  <w15:chartTrackingRefBased/>
  <w15:docId w15:val="{2EB8104A-898B-4C2D-A439-EC881E91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9F5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59F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9F5"/>
  </w:style>
  <w:style w:type="paragraph" w:styleId="Akapitzlist">
    <w:name w:val="List Paragraph"/>
    <w:basedOn w:val="Normalny"/>
    <w:uiPriority w:val="34"/>
    <w:qFormat/>
    <w:rsid w:val="0087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2022-07-05T09:50:00Z</dcterms:created>
  <dcterms:modified xsi:type="dcterms:W3CDTF">2022-07-05T10:00:00Z</dcterms:modified>
</cp:coreProperties>
</file>