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F117EA">
        <w:rPr>
          <w:rFonts w:ascii="Century Gothic" w:hAnsi="Century Gothic"/>
          <w:b/>
        </w:rPr>
        <w:t>„</w:t>
      </w:r>
      <w:bookmarkStart w:id="1" w:name="_Hlk117578462"/>
      <w:r w:rsidR="00F20421" w:rsidRPr="00A01904">
        <w:rPr>
          <w:rFonts w:ascii="Century Gothic" w:hAnsi="Century Gothic"/>
          <w:b/>
        </w:rPr>
        <w:t xml:space="preserve">Modernizacja infrastruktury drogowej na </w:t>
      </w:r>
      <w:r w:rsidR="00F20421">
        <w:rPr>
          <w:rFonts w:ascii="Century Gothic" w:hAnsi="Century Gothic"/>
          <w:b/>
        </w:rPr>
        <w:t xml:space="preserve">terenie Gminy Wodzierady część </w:t>
      </w:r>
      <w:r w:rsidR="00484218">
        <w:rPr>
          <w:rFonts w:ascii="Century Gothic" w:hAnsi="Century Gothic"/>
          <w:b/>
        </w:rPr>
        <w:t>1 (Edycja 2</w:t>
      </w:r>
      <w:r w:rsidR="00F20421" w:rsidRPr="00A01904">
        <w:rPr>
          <w:rFonts w:ascii="Century Gothic" w:hAnsi="Century Gothic"/>
          <w:b/>
        </w:rPr>
        <w:t>)</w:t>
      </w:r>
      <w:r w:rsidRPr="00F117EA">
        <w:rPr>
          <w:rFonts w:ascii="Century Gothic" w:hAnsi="Century Gothic"/>
          <w:b/>
        </w:rPr>
        <w:t>.</w:t>
      </w:r>
      <w:bookmarkEnd w:id="1"/>
      <w:r w:rsidRPr="00F117EA">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BE1723"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IZP.271.4</w:t>
      </w:r>
      <w:r w:rsidR="00F20421">
        <w:rPr>
          <w:rFonts w:ascii="Century Gothic" w:eastAsia="Times New Roman" w:hAnsi="Century Gothic"/>
          <w:bCs/>
          <w:color w:val="000000"/>
          <w:sz w:val="22"/>
          <w:szCs w:val="22"/>
        </w:rPr>
        <w:t>.2024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BE1723">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BE1723">
      <w:pPr>
        <w:spacing w:line="276" w:lineRule="auto"/>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BE1723">
      <w:pPr>
        <w:spacing w:line="276" w:lineRule="auto"/>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BE1723">
        <w:rPr>
          <w:rFonts w:ascii="Century Gothic" w:eastAsia="Times New Roman" w:hAnsi="Century Gothic"/>
          <w:color w:val="000000"/>
          <w:sz w:val="22"/>
          <w:szCs w:val="22"/>
        </w:rPr>
        <w:t>luty</w:t>
      </w:r>
      <w:r w:rsidR="00F20421">
        <w:rPr>
          <w:rFonts w:ascii="Century Gothic" w:eastAsia="Times New Roman" w:hAnsi="Century Gothic"/>
          <w:color w:val="000000"/>
          <w:sz w:val="22"/>
          <w:szCs w:val="22"/>
        </w:rPr>
        <w:t xml:space="preserve">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9"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10"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w:t>
      </w:r>
      <w:r w:rsidR="00DC2333">
        <w:rPr>
          <w:rFonts w:ascii="Century Gothic" w:eastAsia="Times New Roman" w:hAnsi="Century Gothic" w:cs="Arial"/>
          <w:sz w:val="22"/>
          <w:szCs w:val="22"/>
          <w:lang w:eastAsia="en-US"/>
        </w:rPr>
        <w:t>pkt 1 ustawy z 11 września 2019</w:t>
      </w:r>
      <w:r w:rsidRPr="0057215A">
        <w:rPr>
          <w:rFonts w:ascii="Century Gothic" w:eastAsia="Times New Roman" w:hAnsi="Century Gothic" w:cs="Arial"/>
          <w:sz w:val="22"/>
          <w:szCs w:val="22"/>
          <w:lang w:eastAsia="en-US"/>
        </w:rPr>
        <w:t xml:space="preserve">r. – Prawo zamówień </w:t>
      </w:r>
      <w:r w:rsidRPr="0057215A">
        <w:rPr>
          <w:rFonts w:ascii="Century Gothic" w:eastAsia="Times New Roman" w:hAnsi="Century Gothic" w:cs="Arial"/>
          <w:color w:val="000000"/>
          <w:sz w:val="22"/>
          <w:szCs w:val="22"/>
          <w:lang w:eastAsia="en-US"/>
        </w:rPr>
        <w:t xml:space="preserve">publicznych </w:t>
      </w:r>
      <w:r w:rsidR="00DC2333">
        <w:rPr>
          <w:rFonts w:ascii="Century Gothic" w:eastAsia="Times New Roman" w:hAnsi="Century Gothic"/>
          <w:color w:val="000000"/>
          <w:sz w:val="22"/>
          <w:szCs w:val="22"/>
          <w:lang w:eastAsia="en-US"/>
        </w:rPr>
        <w:t>(t.j. Dz. U. z 2023</w:t>
      </w:r>
      <w:r w:rsidRPr="0057215A">
        <w:rPr>
          <w:rFonts w:ascii="Century Gothic" w:eastAsia="Times New Roman" w:hAnsi="Century Gothic"/>
          <w:color w:val="000000"/>
          <w:sz w:val="22"/>
          <w:szCs w:val="22"/>
          <w:lang w:eastAsia="en-US"/>
        </w:rPr>
        <w:t xml:space="preserve">r. </w:t>
      </w:r>
      <w:r w:rsidR="00DC2333">
        <w:rPr>
          <w:rFonts w:ascii="Century Gothic" w:eastAsia="Times New Roman" w:hAnsi="Century Gothic"/>
          <w:color w:val="000000"/>
          <w:sz w:val="22"/>
          <w:szCs w:val="22"/>
          <w:lang w:eastAsia="en-US"/>
        </w:rPr>
        <w:t>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D935CB">
        <w:rPr>
          <w:rFonts w:ascii="Century Gothic" w:eastAsia="Times New Roman" w:hAnsi="Century Gothic"/>
          <w:sz w:val="22"/>
          <w:szCs w:val="22"/>
          <w:lang w:eastAsia="en-US"/>
        </w:rPr>
        <w:t xml:space="preserve">Wykonawca jest zobowiązany wskazać Formularzu ofertowym – załącznik nr </w:t>
      </w:r>
      <w:r w:rsidR="00F20421" w:rsidRPr="00D935CB">
        <w:rPr>
          <w:rFonts w:ascii="Century Gothic" w:eastAsia="Times New Roman" w:hAnsi="Century Gothic"/>
          <w:sz w:val="22"/>
          <w:szCs w:val="22"/>
          <w:lang w:eastAsia="en-US"/>
        </w:rPr>
        <w:t>3</w:t>
      </w:r>
      <w:r w:rsidRPr="00D935CB">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3">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7">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9">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20">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4">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BC44B5"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rPr>
      </w:pPr>
      <w:r w:rsidRPr="009F7D89">
        <w:rPr>
          <w:rFonts w:ascii="Century Gothic" w:hAnsi="Century Gothic"/>
          <w:color w:val="000000"/>
        </w:rPr>
        <w:t xml:space="preserve">Przy tego typu robotach wykonywanych przez różnych Wykonawców opóźnienie </w:t>
      </w:r>
      <w:r w:rsidRPr="00BC44B5">
        <w:rPr>
          <w:rFonts w:ascii="Century Gothic" w:hAnsi="Century Gothic"/>
        </w:rPr>
        <w:t>jednego z Wykonawców wpłynęłoby negatywnie na terminowość wykonania innych elementów inwestycji – zależnych od terminowego wykonania prac przez innego Wykonawcę.</w:t>
      </w:r>
    </w:p>
    <w:p w:rsidR="009F7D89" w:rsidRPr="00BC44B5" w:rsidRDefault="009F7D89" w:rsidP="009F7D89">
      <w:pPr>
        <w:spacing w:after="200" w:line="360" w:lineRule="auto"/>
        <w:contextualSpacing/>
        <w:rPr>
          <w:rFonts w:ascii="Century Gothic" w:eastAsia="Times New Roman" w:hAnsi="Century Gothic"/>
          <w:i/>
          <w:sz w:val="22"/>
          <w:szCs w:val="22"/>
          <w:lang w:eastAsia="en-US"/>
        </w:rPr>
      </w:pPr>
      <w:r w:rsidRPr="00BC44B5">
        <w:rPr>
          <w:rFonts w:ascii="Century Gothic" w:hAnsi="Century Gothic"/>
          <w:sz w:val="22"/>
          <w:szCs w:val="22"/>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w:t>
      </w:r>
      <w:r w:rsidR="00BC44B5">
        <w:rPr>
          <w:rFonts w:ascii="Century Gothic" w:hAnsi="Century Gothic"/>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93643C" w:rsidRDefault="00674E21" w:rsidP="002120B7">
      <w:pPr>
        <w:numPr>
          <w:ilvl w:val="0"/>
          <w:numId w:val="7"/>
        </w:numPr>
        <w:spacing w:after="200" w:line="360" w:lineRule="auto"/>
        <w:contextualSpacing/>
        <w:rPr>
          <w:rFonts w:ascii="Century Gothic" w:eastAsia="Times New Roman" w:hAnsi="Century Gothic"/>
          <w:bCs/>
          <w:sz w:val="22"/>
          <w:szCs w:val="22"/>
          <w:lang w:eastAsia="en-US"/>
        </w:rPr>
      </w:pPr>
      <w:r>
        <w:rPr>
          <w:rFonts w:ascii="Century Gothic" w:eastAsia="Times New Roman" w:hAnsi="Century Gothic"/>
          <w:bCs/>
          <w:sz w:val="22"/>
          <w:szCs w:val="22"/>
          <w:lang w:eastAsia="en-US"/>
        </w:rPr>
        <w:t>Przedmiot zamówienia stanowi:</w:t>
      </w:r>
    </w:p>
    <w:p w:rsidR="005A3BA7" w:rsidRPr="00052643" w:rsidRDefault="005A3BA7" w:rsidP="005A3BA7">
      <w:pPr>
        <w:widowControl w:val="0"/>
        <w:spacing w:after="200" w:line="360" w:lineRule="auto"/>
        <w:ind w:firstLine="360"/>
        <w:contextualSpacing/>
        <w:rPr>
          <w:rFonts w:ascii="Century Gothic" w:hAnsi="Century Gothic"/>
          <w:b/>
          <w:sz w:val="22"/>
          <w:szCs w:val="22"/>
        </w:rPr>
      </w:pPr>
      <w:r w:rsidRPr="00052643">
        <w:rPr>
          <w:rFonts w:ascii="Century Gothic" w:eastAsia="Times New Roman" w:hAnsi="Century Gothic"/>
          <w:b/>
          <w:bCs/>
          <w:color w:val="000000"/>
          <w:sz w:val="22"/>
          <w:szCs w:val="22"/>
          <w:lang w:eastAsia="en-US"/>
        </w:rPr>
        <w:t>Roboty budowlane, tj. zadanie p.n.: „</w:t>
      </w:r>
      <w:r w:rsidRPr="00052643">
        <w:rPr>
          <w:rFonts w:ascii="Century Gothic" w:hAnsi="Century Gothic"/>
          <w:b/>
          <w:sz w:val="22"/>
          <w:szCs w:val="22"/>
        </w:rPr>
        <w:t xml:space="preserve">Modernizacja infrastruktury drogowej na </w:t>
      </w:r>
      <w:r w:rsidR="00016C7F">
        <w:rPr>
          <w:rFonts w:ascii="Century Gothic" w:hAnsi="Century Gothic"/>
          <w:b/>
          <w:sz w:val="22"/>
          <w:szCs w:val="22"/>
        </w:rPr>
        <w:t>terenie Gminy Wodzierady część 1</w:t>
      </w:r>
      <w:r w:rsidRPr="00052643">
        <w:rPr>
          <w:rFonts w:ascii="Century Gothic" w:hAnsi="Century Gothic"/>
          <w:b/>
          <w:sz w:val="22"/>
          <w:szCs w:val="22"/>
        </w:rPr>
        <w:t xml:space="preserve"> (Edycja 2)”</w:t>
      </w:r>
      <w:r w:rsidRPr="00052643">
        <w:rPr>
          <w:rFonts w:ascii="Century Gothic" w:eastAsia="Arial" w:hAnsi="Century Gothic"/>
          <w:bCs/>
          <w:sz w:val="22"/>
          <w:szCs w:val="22"/>
          <w:lang w:eastAsia="zh-CN"/>
        </w:rPr>
        <w:t xml:space="preserve"> w skład której</w:t>
      </w:r>
      <w:r w:rsidRPr="00052643">
        <w:rPr>
          <w:rFonts w:ascii="Century Gothic" w:eastAsia="Arial" w:hAnsi="Century Gothic"/>
          <w:bCs/>
          <w:color w:val="00B050"/>
          <w:sz w:val="22"/>
          <w:szCs w:val="22"/>
          <w:lang w:eastAsia="zh-CN"/>
        </w:rPr>
        <w:t xml:space="preserve"> </w:t>
      </w:r>
      <w:r w:rsidRPr="00052643">
        <w:rPr>
          <w:rFonts w:ascii="Century Gothic" w:eastAsia="Arial" w:hAnsi="Century Gothic"/>
          <w:bCs/>
          <w:sz w:val="22"/>
          <w:szCs w:val="22"/>
          <w:lang w:eastAsia="zh-CN"/>
        </w:rPr>
        <w:t>wchodzą następujące zadania</w:t>
      </w:r>
      <w:r w:rsidRPr="00052643">
        <w:rPr>
          <w:rFonts w:ascii="Century Gothic" w:hAnsi="Century Gothic"/>
          <w:b/>
          <w:sz w:val="22"/>
          <w:szCs w:val="22"/>
        </w:rPr>
        <w:t>:</w:t>
      </w:r>
    </w:p>
    <w:p w:rsidR="005A3BA7" w:rsidRPr="00395719" w:rsidRDefault="00016C7F" w:rsidP="005A3BA7">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cs="Arial"/>
          <w:bCs/>
          <w:color w:val="000000"/>
          <w:spacing w:val="-1"/>
        </w:rPr>
        <w:t>Przebudowa drogi wewnętrznej wzdłuż działki nr 73/1 w miejscowości Dobków</w:t>
      </w:r>
      <w:r w:rsidR="00C84D6E">
        <w:rPr>
          <w:rFonts w:ascii="Century Gothic" w:hAnsi="Century Gothic" w:cs="Arial"/>
          <w:bCs/>
          <w:color w:val="000000"/>
          <w:spacing w:val="-1"/>
        </w:rPr>
        <w:t>.</w:t>
      </w:r>
    </w:p>
    <w:p w:rsidR="005A3BA7" w:rsidRPr="00395719" w:rsidRDefault="00016C7F" w:rsidP="005A3BA7">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bCs/>
        </w:rPr>
        <w:t>Rozbudowa drogi gminnej nr 103404E Leśnica-Dobków</w:t>
      </w:r>
      <w:r w:rsidR="005A3BA7" w:rsidRPr="00395719">
        <w:rPr>
          <w:rFonts w:ascii="Century Gothic" w:hAnsi="Century Gothic"/>
          <w:bCs/>
        </w:rPr>
        <w:t>.</w:t>
      </w:r>
    </w:p>
    <w:p w:rsidR="005A3BA7" w:rsidRPr="005A3BA7" w:rsidRDefault="00016C7F" w:rsidP="005A3BA7">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bCs/>
        </w:rPr>
        <w:t>Rozbudowa drogi publicznej Leśnica-Chorzeszów – droga nr DG103411E</w:t>
      </w:r>
      <w:r w:rsidR="005A3BA7" w:rsidRPr="00395719">
        <w:rPr>
          <w:rFonts w:ascii="Century Gothic" w:hAnsi="Century Gothic"/>
          <w:bCs/>
        </w:rPr>
        <w:t>.</w:t>
      </w:r>
    </w:p>
    <w:p w:rsidR="0093643C" w:rsidRPr="005A3BA7" w:rsidRDefault="00016C7F" w:rsidP="005A3BA7">
      <w:pPr>
        <w:pStyle w:val="Akapitzlist"/>
        <w:numPr>
          <w:ilvl w:val="1"/>
          <w:numId w:val="2"/>
        </w:numPr>
        <w:spacing w:line="360" w:lineRule="auto"/>
        <w:rPr>
          <w:rFonts w:ascii="Century Gothic" w:hAnsi="Century Gothic" w:cs="Arial"/>
          <w:bCs/>
          <w:color w:val="000000"/>
          <w:spacing w:val="-1"/>
        </w:rPr>
      </w:pPr>
      <w:r w:rsidRPr="00052643">
        <w:rPr>
          <w:rFonts w:ascii="Century Gothic" w:hAnsi="Century Gothic"/>
        </w:rPr>
        <w:t>Rozbudowa drogi gminnej wewnętrznej w miejscowości Kiki (działka nr 232 położona</w:t>
      </w:r>
      <w:r>
        <w:rPr>
          <w:rFonts w:ascii="Century Gothic" w:hAnsi="Century Gothic"/>
        </w:rPr>
        <w:t xml:space="preserve"> w miejscowości Kiki, obręb Kiki</w:t>
      </w:r>
      <w:r w:rsidR="0064395C">
        <w:rPr>
          <w:rFonts w:ascii="Century Gothic" w:hAnsi="Century Gothic"/>
        </w:rPr>
        <w:t>)</w:t>
      </w:r>
      <w:r w:rsidR="000B2C86" w:rsidRPr="005A3BA7">
        <w:rPr>
          <w:rFonts w:ascii="Century Gothic" w:hAnsi="Century Gothic" w:cs="Arial"/>
          <w:bCs/>
          <w:color w:val="000000"/>
          <w:spacing w:val="-1"/>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w:t>
      </w:r>
      <w:r w:rsidR="005445F8" w:rsidRPr="00C84D6E">
        <w:rPr>
          <w:rFonts w:ascii="Century Gothic" w:hAnsi="Century Gothic" w:cs="Arial"/>
          <w:sz w:val="22"/>
          <w:szCs w:val="22"/>
        </w:rPr>
        <w:t>tj. załącznik nr 1a – dokumentacja projektowa</w:t>
      </w:r>
      <w:r w:rsidRPr="00C84D6E">
        <w:rPr>
          <w:rFonts w:ascii="Century Gothic" w:hAnsi="Century Gothic" w:cs="Arial"/>
          <w:sz w:val="22"/>
          <w:szCs w:val="22"/>
        </w:rPr>
        <w:t>.</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8C2929" w:rsidRDefault="0093643C" w:rsidP="0093643C">
      <w:pPr>
        <w:spacing w:line="360" w:lineRule="auto"/>
        <w:rPr>
          <w:rFonts w:ascii="Century Gothic" w:hAnsi="Century Gothic" w:cs="Arial"/>
          <w:color w:val="FF0000"/>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r w:rsidR="008C2929" w:rsidRPr="008C2929">
        <w:rPr>
          <w:rFonts w:ascii="Century Gothic" w:hAnsi="Century Gothic" w:cs="Arial"/>
          <w:color w:val="FF0000"/>
          <w:sz w:val="22"/>
          <w:szCs w:val="22"/>
        </w:rPr>
        <w:t xml:space="preserve"> </w:t>
      </w:r>
    </w:p>
    <w:p w:rsidR="008C2929" w:rsidRDefault="008C2929" w:rsidP="0093643C">
      <w:pPr>
        <w:spacing w:line="360" w:lineRule="auto"/>
        <w:rPr>
          <w:rFonts w:ascii="Century Gothic" w:hAnsi="Century Gothic" w:cs="Arial"/>
          <w:color w:val="FF0000"/>
          <w:sz w:val="22"/>
          <w:szCs w:val="22"/>
        </w:rPr>
      </w:pPr>
    </w:p>
    <w:p w:rsidR="0093643C" w:rsidRDefault="008C2929" w:rsidP="0093643C">
      <w:pPr>
        <w:spacing w:line="360" w:lineRule="auto"/>
        <w:rPr>
          <w:rFonts w:ascii="Century Gothic" w:hAnsi="Century Gothic" w:cs="Arial"/>
          <w:sz w:val="22"/>
          <w:szCs w:val="22"/>
        </w:rPr>
      </w:pPr>
      <w:r w:rsidRPr="008C2929">
        <w:rPr>
          <w:rFonts w:ascii="Century Gothic" w:hAnsi="Century Gothic" w:cs="Arial"/>
          <w:sz w:val="22"/>
          <w:szCs w:val="22"/>
          <w:u w:val="single"/>
        </w:rPr>
        <w:lastRenderedPageBreak/>
        <w:t>W tym miejscu w szczególności należy wymienić, że Wykonawca w cenie ofertowej winien uwzględnić koszty i obowiązki związane z reprezentowaniem Inwestora i pozyskaniem w jego imieniu umów z gestorami sieci na ich przebudowę, remont, zabezpieczenie oraz pozyskanie właściwych zgód i wyłączeń zasilana na czas prowadzenia robót.</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lastRenderedPageBreak/>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lastRenderedPageBreak/>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7E414E">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r w:rsidRPr="0093643C">
        <w:rPr>
          <w:rFonts w:ascii="Century Gothic" w:hAnsi="Century Gothic" w:cs="Arial"/>
          <w:sz w:val="22"/>
          <w:szCs w:val="22"/>
        </w:rPr>
        <w: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lastRenderedPageBreak/>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4D363A">
        <w:rPr>
          <w:rFonts w:ascii="Century Gothic" w:hAnsi="Century Gothic" w:cs="Times-Roman"/>
          <w:bCs/>
          <w:color w:val="000000"/>
          <w:sz w:val="22"/>
          <w:szCs w:val="22"/>
        </w:rPr>
        <w:t>t.j. Dz. U. z 2023r. poz. 682</w:t>
      </w:r>
      <w:r w:rsidRPr="0093643C">
        <w:rPr>
          <w:rFonts w:ascii="Century Gothic" w:hAnsi="Century Gothic" w:cs="Times-Roman"/>
          <w:bCs/>
          <w:color w:val="000000"/>
          <w:sz w:val="22"/>
          <w:szCs w:val="22"/>
        </w:rPr>
        <w:t>,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Default="00D36DB4" w:rsidP="0093643C">
      <w:pPr>
        <w:autoSpaceDE w:val="0"/>
        <w:autoSpaceDN w:val="0"/>
        <w:adjustRightInd w:val="0"/>
        <w:spacing w:line="360" w:lineRule="auto"/>
        <w:rPr>
          <w:rFonts w:ascii="Century Gothic" w:hAnsi="Century Gothic" w:cs="Times-Roman"/>
          <w:bCs/>
          <w:color w:val="000000"/>
          <w:sz w:val="22"/>
          <w:szCs w:val="22"/>
        </w:rPr>
      </w:pPr>
      <w:r w:rsidRPr="00450AF2">
        <w:rPr>
          <w:rFonts w:ascii="Century Gothic" w:hAnsi="Century Gothic" w:cs="Times-Roman"/>
          <w:bCs/>
          <w:color w:val="000000"/>
          <w:sz w:val="22"/>
          <w:szCs w:val="22"/>
        </w:rPr>
        <w:t xml:space="preserve">Inwestycja obejmuje </w:t>
      </w:r>
      <w:r w:rsidR="00C33087">
        <w:rPr>
          <w:rFonts w:ascii="Century Gothic" w:hAnsi="Century Gothic" w:cs="Times-Roman"/>
          <w:bCs/>
          <w:color w:val="000000"/>
          <w:sz w:val="22"/>
          <w:szCs w:val="22"/>
        </w:rPr>
        <w:t>swoim zakresem szereg robót budowlanych</w:t>
      </w:r>
      <w:r w:rsidRPr="00450AF2">
        <w:rPr>
          <w:rFonts w:ascii="Century Gothic" w:hAnsi="Century Gothic" w:cs="Times-Roman"/>
          <w:bCs/>
          <w:color w:val="000000"/>
          <w:sz w:val="22"/>
          <w:szCs w:val="22"/>
        </w:rPr>
        <w:t xml:space="preserve"> mających </w:t>
      </w:r>
      <w:r w:rsidR="00C33087">
        <w:rPr>
          <w:rFonts w:ascii="Century Gothic" w:hAnsi="Century Gothic" w:cs="Times-Roman"/>
          <w:bCs/>
          <w:color w:val="000000"/>
          <w:sz w:val="22"/>
          <w:szCs w:val="22"/>
        </w:rPr>
        <w:t>za zadanie</w:t>
      </w:r>
      <w:r w:rsidRPr="00450AF2">
        <w:rPr>
          <w:rFonts w:ascii="Century Gothic" w:hAnsi="Century Gothic" w:cs="Times-Roman"/>
          <w:bCs/>
          <w:color w:val="000000"/>
          <w:sz w:val="22"/>
          <w:szCs w:val="22"/>
        </w:rPr>
        <w:t xml:space="preserve"> poprawę dostępności komunikacyjnej na terenie</w:t>
      </w:r>
      <w:r w:rsidR="00C33087">
        <w:rPr>
          <w:rFonts w:ascii="Century Gothic" w:hAnsi="Century Gothic" w:cs="Times-Roman"/>
          <w:bCs/>
          <w:color w:val="000000"/>
          <w:sz w:val="22"/>
          <w:szCs w:val="22"/>
        </w:rPr>
        <w:t xml:space="preserve"> gminy</w:t>
      </w:r>
      <w:r w:rsidRPr="00450AF2">
        <w:rPr>
          <w:rFonts w:ascii="Century Gothic" w:hAnsi="Century Gothic" w:cs="Times-Roman"/>
          <w:bCs/>
          <w:color w:val="000000"/>
          <w:sz w:val="22"/>
          <w:szCs w:val="22"/>
        </w:rPr>
        <w:t>.</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Przebudowie</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poddane zostaną drogi</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gminne. Drogi</w:t>
      </w:r>
      <w:r w:rsidR="007E1667">
        <w:rPr>
          <w:rFonts w:ascii="Century Gothic" w:hAnsi="Century Gothic" w:cs="Times-Roman"/>
          <w:bCs/>
          <w:color w:val="000000"/>
          <w:sz w:val="22"/>
          <w:szCs w:val="22"/>
        </w:rPr>
        <w:t xml:space="preserve"> przebiega</w:t>
      </w:r>
      <w:r w:rsidR="004D363A">
        <w:rPr>
          <w:rFonts w:ascii="Century Gothic" w:hAnsi="Century Gothic" w:cs="Times-Roman"/>
          <w:bCs/>
          <w:color w:val="000000"/>
          <w:sz w:val="22"/>
          <w:szCs w:val="22"/>
        </w:rPr>
        <w:t>ją</w:t>
      </w:r>
      <w:r w:rsidR="007E1667">
        <w:rPr>
          <w:rFonts w:ascii="Century Gothic" w:hAnsi="Century Gothic" w:cs="Times-Roman"/>
          <w:bCs/>
          <w:color w:val="000000"/>
          <w:sz w:val="22"/>
          <w:szCs w:val="22"/>
        </w:rPr>
        <w:t xml:space="preserve"> całkowicie p</w:t>
      </w:r>
      <w:r w:rsidR="004D363A">
        <w:rPr>
          <w:rFonts w:ascii="Century Gothic" w:hAnsi="Century Gothic" w:cs="Times-Roman"/>
          <w:bCs/>
          <w:color w:val="000000"/>
          <w:sz w:val="22"/>
          <w:szCs w:val="22"/>
        </w:rPr>
        <w:t>rzez obszar wiejski i dzięki ich</w:t>
      </w:r>
      <w:r w:rsidR="007E1667">
        <w:rPr>
          <w:rFonts w:ascii="Century Gothic" w:hAnsi="Century Gothic" w:cs="Times-Roman"/>
          <w:bCs/>
          <w:color w:val="000000"/>
          <w:sz w:val="22"/>
          <w:szCs w:val="22"/>
        </w:rPr>
        <w:t xml:space="preserve"> przebudowie wzrośnie bezpieczeństwo pieszych oraz kierowców i pasażerów. Nowa</w:t>
      </w:r>
      <w:r w:rsidR="004D363A">
        <w:rPr>
          <w:rFonts w:ascii="Century Gothic" w:hAnsi="Century Gothic" w:cs="Times-Roman"/>
          <w:bCs/>
          <w:color w:val="000000"/>
          <w:sz w:val="22"/>
          <w:szCs w:val="22"/>
        </w:rPr>
        <w:t xml:space="preserve"> nawierzchnia umożliwi na drogach lokalnych</w:t>
      </w:r>
      <w:r w:rsidR="007E1667">
        <w:rPr>
          <w:rFonts w:ascii="Century Gothic" w:hAnsi="Century Gothic" w:cs="Times-Roman"/>
          <w:bCs/>
          <w:color w:val="000000"/>
          <w:sz w:val="22"/>
          <w:szCs w:val="22"/>
        </w:rPr>
        <w:t xml:space="preserve"> redukcję hałasu, co wpłynie poz</w:t>
      </w:r>
      <w:r w:rsidR="004D363A">
        <w:rPr>
          <w:rFonts w:ascii="Century Gothic" w:hAnsi="Century Gothic" w:cs="Times-Roman"/>
          <w:bCs/>
          <w:color w:val="000000"/>
          <w:sz w:val="22"/>
          <w:szCs w:val="22"/>
        </w:rPr>
        <w:t>ytywnie na środowisko naturalne</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W związku z tym przebudowa dróg</w:t>
      </w:r>
      <w:r w:rsidR="007E1667">
        <w:rPr>
          <w:rFonts w:ascii="Century Gothic" w:hAnsi="Century Gothic" w:cs="Times-Roman"/>
          <w:bCs/>
          <w:color w:val="000000"/>
          <w:sz w:val="22"/>
          <w:szCs w:val="22"/>
        </w:rPr>
        <w:t xml:space="preserve"> umożliwi powstanie komfortowej i ekonomicznej infrastruktury dr</w:t>
      </w:r>
      <w:r w:rsidR="004D363A">
        <w:rPr>
          <w:rFonts w:ascii="Century Gothic" w:hAnsi="Century Gothic" w:cs="Times-Roman"/>
          <w:bCs/>
          <w:color w:val="000000"/>
          <w:sz w:val="22"/>
          <w:szCs w:val="22"/>
        </w:rPr>
        <w:t>ogowej. Ponadto przebudowa dróg</w:t>
      </w:r>
      <w:r w:rsidR="007E1667">
        <w:rPr>
          <w:rFonts w:ascii="Century Gothic" w:hAnsi="Century Gothic" w:cs="Times-Roman"/>
          <w:bCs/>
          <w:color w:val="000000"/>
          <w:sz w:val="22"/>
          <w:szCs w:val="22"/>
        </w:rPr>
        <w:t xml:space="preserve"> zapewni ekonomiczne użytkowanie i utrzymanie. Zastosowana nawierzchnia przyczyni się do zmniejszenia uciążliwości transportu samochodowego zapewniając dobrą nośność i podział obciążeń wpływając tym samym pozy</w:t>
      </w:r>
      <w:r w:rsidR="004D363A">
        <w:rPr>
          <w:rFonts w:ascii="Century Gothic" w:hAnsi="Century Gothic" w:cs="Times-Roman"/>
          <w:bCs/>
          <w:color w:val="000000"/>
          <w:sz w:val="22"/>
          <w:szCs w:val="22"/>
        </w:rPr>
        <w:t>tywnie na środowisko naturalne.</w:t>
      </w: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ma obowiązek przed przystąpieniem do prac opracować i przedstawić </w:t>
      </w:r>
      <w:r w:rsidR="004D363A">
        <w:rPr>
          <w:rFonts w:ascii="Century Gothic" w:hAnsi="Century Gothic"/>
          <w:bCs/>
          <w:color w:val="000000"/>
          <w:sz w:val="22"/>
          <w:szCs w:val="22"/>
        </w:rPr>
        <w:t xml:space="preserve">Inspektorowi Nadzoru Inwestorskiego </w:t>
      </w:r>
      <w:r w:rsidRPr="0093643C">
        <w:rPr>
          <w:rFonts w:ascii="Century Gothic" w:hAnsi="Century Gothic"/>
          <w:bCs/>
          <w:color w:val="000000"/>
          <w:sz w:val="22"/>
          <w:szCs w:val="22"/>
        </w:rPr>
        <w:t xml:space="preserve">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004D363A">
        <w:rPr>
          <w:rFonts w:ascii="Century Gothic" w:hAnsi="Century Gothic" w:cs="Times-Roman"/>
          <w:bCs/>
          <w:color w:val="000000"/>
          <w:sz w:val="22"/>
          <w:szCs w:val="22"/>
        </w:rPr>
        <w:t xml:space="preserve"> (t.j. Dz. U. z 2023r. poz. 1587</w:t>
      </w:r>
      <w:r w:rsidRPr="0093643C">
        <w:rPr>
          <w:rFonts w:ascii="Century Gothic" w:hAnsi="Century Gothic" w:cs="Times-Roman"/>
          <w:bCs/>
          <w:color w:val="000000"/>
          <w:sz w:val="22"/>
          <w:szCs w:val="22"/>
        </w:rPr>
        <w:t>,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4D363A" w:rsidP="0093643C">
      <w:pPr>
        <w:spacing w:after="200" w:line="360" w:lineRule="auto"/>
        <w:ind w:left="360"/>
        <w:contextualSpacing/>
        <w:rPr>
          <w:rFonts w:ascii="Century Gothic" w:eastAsia="Times New Roman" w:hAnsi="Century Gothic"/>
          <w:sz w:val="22"/>
          <w:szCs w:val="22"/>
          <w:lang w:eastAsia="en-US"/>
        </w:rPr>
      </w:pPr>
      <w:r>
        <w:rPr>
          <w:rFonts w:ascii="Century Gothic" w:eastAsia="Times New Roman" w:hAnsi="Century Gothic"/>
          <w:sz w:val="22"/>
          <w:szCs w:val="22"/>
          <w:lang w:eastAsia="en-US"/>
        </w:rPr>
        <w:t>GWARANCJA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lastRenderedPageBreak/>
        <w:t>Okres gwarancji udzielonej przez wykonawc</w:t>
      </w:r>
      <w:r w:rsidRPr="0017392B">
        <w:rPr>
          <w:rFonts w:ascii="Century Gothic" w:hAnsi="Century Gothic" w:cs="TimesNewRoman-OneByteIdentityH"/>
          <w:sz w:val="22"/>
          <w:szCs w:val="22"/>
        </w:rPr>
        <w:t xml:space="preserve">ę na wykonane prace </w:t>
      </w:r>
      <w:r w:rsidRPr="0017392B">
        <w:rPr>
          <w:rFonts w:ascii="Century Gothic" w:hAnsi="Century Gothic" w:cs="Times-Roman"/>
          <w:sz w:val="22"/>
          <w:szCs w:val="22"/>
        </w:rPr>
        <w:t>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Default="0093643C" w:rsidP="001543C9">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78508A" w:rsidRDefault="00EA0961" w:rsidP="001543C9">
      <w:pPr>
        <w:pStyle w:val="Nagwek3"/>
        <w:shd w:val="clear" w:color="auto" w:fill="FFFFFF"/>
        <w:spacing w:line="360" w:lineRule="auto"/>
        <w:ind w:firstLine="360"/>
        <w:jc w:val="both"/>
        <w:rPr>
          <w:rFonts w:ascii="Century Gothic" w:hAnsi="Century Gothic"/>
          <w:i w:val="0"/>
          <w:color w:val="000000"/>
          <w:sz w:val="22"/>
          <w:szCs w:val="22"/>
        </w:rPr>
      </w:pPr>
      <w:r w:rsidRPr="0078508A">
        <w:rPr>
          <w:rFonts w:ascii="Century Gothic" w:hAnsi="Century Gothic"/>
          <w:i w:val="0"/>
          <w:color w:val="000000"/>
          <w:sz w:val="22"/>
          <w:szCs w:val="22"/>
        </w:rPr>
        <w:t>77211400-6 - Usługi wycinania</w:t>
      </w:r>
      <w:r w:rsidR="008B1567" w:rsidRPr="0078508A">
        <w:rPr>
          <w:rFonts w:ascii="Century Gothic" w:hAnsi="Century Gothic"/>
          <w:i w:val="0"/>
          <w:color w:val="000000"/>
          <w:sz w:val="22"/>
          <w:szCs w:val="22"/>
        </w:rPr>
        <w:t xml:space="preserve"> drzew</w:t>
      </w:r>
    </w:p>
    <w:p w:rsidR="001543C9" w:rsidRPr="001543C9" w:rsidRDefault="001543C9" w:rsidP="001543C9">
      <w:pPr>
        <w:spacing w:line="360" w:lineRule="auto"/>
        <w:ind w:firstLine="360"/>
        <w:rPr>
          <w:rFonts w:ascii="Century Gothic" w:hAnsi="Century Gothic"/>
          <w:sz w:val="22"/>
          <w:szCs w:val="22"/>
        </w:rPr>
      </w:pPr>
      <w:r w:rsidRPr="001543C9">
        <w:rPr>
          <w:rFonts w:ascii="Century Gothic" w:hAnsi="Century Gothic"/>
          <w:sz w:val="22"/>
          <w:szCs w:val="22"/>
        </w:rPr>
        <w:t>45110000-1 – Roboty w zakresie burzenia i rozbiórki obiektów budowlanych; roboty ziemne</w:t>
      </w:r>
    </w:p>
    <w:p w:rsidR="001543C9" w:rsidRPr="001543C9" w:rsidRDefault="001543C9" w:rsidP="001543C9">
      <w:pPr>
        <w:spacing w:line="360" w:lineRule="auto"/>
        <w:ind w:firstLine="360"/>
        <w:rPr>
          <w:rFonts w:ascii="Century Gothic" w:hAnsi="Century Gothic"/>
          <w:sz w:val="22"/>
          <w:szCs w:val="22"/>
        </w:rPr>
      </w:pPr>
      <w:r w:rsidRPr="001543C9">
        <w:rPr>
          <w:rFonts w:ascii="Century Gothic" w:hAnsi="Century Gothic"/>
          <w:sz w:val="22"/>
          <w:szCs w:val="22"/>
        </w:rPr>
        <w:t>45233000-9 – Roboty w zakresie konstruowania, fundamentowania oraz wykonywania nawierzchni autostrad, dróg</w:t>
      </w:r>
    </w:p>
    <w:p w:rsidR="001543C9" w:rsidRPr="001543C9" w:rsidRDefault="001543C9" w:rsidP="001543C9">
      <w:pPr>
        <w:spacing w:line="360" w:lineRule="auto"/>
        <w:ind w:firstLine="360"/>
        <w:rPr>
          <w:rFonts w:ascii="Century Gothic" w:hAnsi="Century Gothic"/>
          <w:sz w:val="22"/>
          <w:szCs w:val="22"/>
        </w:rPr>
      </w:pPr>
      <w:r w:rsidRPr="001543C9">
        <w:rPr>
          <w:rFonts w:ascii="Century Gothic" w:hAnsi="Century Gothic"/>
          <w:sz w:val="22"/>
          <w:szCs w:val="22"/>
        </w:rPr>
        <w:t>45316213-1 – Instalowanie oznakowania drogowego</w:t>
      </w:r>
    </w:p>
    <w:p w:rsidR="001543C9" w:rsidRPr="001543C9" w:rsidRDefault="001543C9" w:rsidP="001543C9">
      <w:pPr>
        <w:spacing w:line="360" w:lineRule="auto"/>
        <w:ind w:firstLine="360"/>
        <w:rPr>
          <w:rFonts w:ascii="Century Gothic" w:hAnsi="Century Gothic"/>
          <w:sz w:val="22"/>
          <w:szCs w:val="22"/>
        </w:rPr>
      </w:pPr>
      <w:r w:rsidRPr="001543C9">
        <w:rPr>
          <w:rFonts w:ascii="Century Gothic" w:hAnsi="Century Gothic"/>
          <w:sz w:val="22"/>
          <w:szCs w:val="22"/>
        </w:rPr>
        <w:t>45316110-9 – Instalowanie urządzeń oświetlenia ulicznego</w:t>
      </w:r>
    </w:p>
    <w:p w:rsidR="0093643C" w:rsidRPr="0093643C" w:rsidRDefault="0093643C" w:rsidP="0093643C">
      <w:pPr>
        <w:spacing w:line="360" w:lineRule="auto"/>
        <w:ind w:firstLine="360"/>
        <w:rPr>
          <w:rFonts w:ascii="Century Gothic" w:hAnsi="Century Gothic"/>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lastRenderedPageBreak/>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lastRenderedPageBreak/>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0A21FB" w:rsidRDefault="00E7623A" w:rsidP="00E7623A">
      <w:pPr>
        <w:spacing w:line="360" w:lineRule="auto"/>
        <w:jc w:val="both"/>
        <w:rPr>
          <w:rFonts w:ascii="Century Gothic" w:eastAsia="Times New Roman" w:hAnsi="Century Gothic"/>
          <w:bCs/>
          <w:color w:val="FF0000"/>
          <w:sz w:val="22"/>
          <w:szCs w:val="22"/>
          <w:lang w:eastAsia="en-US"/>
        </w:rPr>
      </w:pPr>
      <w:r w:rsidRPr="000A21FB">
        <w:rPr>
          <w:rFonts w:ascii="Century Gothic" w:eastAsia="Garamond" w:hAnsi="Century Gothic" w:cs="Arial"/>
          <w:sz w:val="22"/>
          <w:szCs w:val="22"/>
        </w:rPr>
        <w:t xml:space="preserve">Termin realizacji zamówienia wynosi: </w:t>
      </w:r>
      <w:r w:rsidRPr="000A21FB">
        <w:rPr>
          <w:rFonts w:ascii="Century Gothic" w:hAnsi="Century Gothic" w:cs="Arial"/>
          <w:bCs/>
          <w:sz w:val="22"/>
          <w:szCs w:val="22"/>
        </w:rPr>
        <w:t xml:space="preserve">do </w:t>
      </w:r>
      <w:bookmarkStart w:id="3" w:name="_GoBack"/>
      <w:r w:rsidR="00DC128F" w:rsidRPr="000A21FB">
        <w:rPr>
          <w:rFonts w:ascii="Century Gothic" w:hAnsi="Century Gothic" w:cs="Arial"/>
          <w:bCs/>
          <w:sz w:val="22"/>
          <w:szCs w:val="22"/>
        </w:rPr>
        <w:t>6</w:t>
      </w:r>
      <w:r w:rsidRPr="000A21FB">
        <w:rPr>
          <w:rFonts w:ascii="Century Gothic" w:hAnsi="Century Gothic" w:cs="Arial"/>
          <w:bCs/>
          <w:sz w:val="22"/>
          <w:szCs w:val="22"/>
        </w:rPr>
        <w:t xml:space="preserve"> </w:t>
      </w:r>
      <w:r w:rsidR="00DC128F" w:rsidRPr="000A21FB">
        <w:rPr>
          <w:rFonts w:ascii="Century Gothic" w:hAnsi="Century Gothic" w:cs="Arial"/>
          <w:bCs/>
          <w:sz w:val="22"/>
          <w:szCs w:val="22"/>
        </w:rPr>
        <w:t>mie</w:t>
      </w:r>
      <w:bookmarkEnd w:id="3"/>
      <w:r w:rsidR="00DC128F" w:rsidRPr="000A21FB">
        <w:rPr>
          <w:rFonts w:ascii="Century Gothic" w:hAnsi="Century Gothic" w:cs="Arial"/>
          <w:bCs/>
          <w:sz w:val="22"/>
          <w:szCs w:val="22"/>
        </w:rPr>
        <w:t xml:space="preserve">sięcy </w:t>
      </w:r>
      <w:r w:rsidR="00023E27" w:rsidRPr="000A21FB">
        <w:rPr>
          <w:rFonts w:ascii="Century Gothic" w:hAnsi="Century Gothic" w:cs="Arial"/>
          <w:bCs/>
          <w:sz w:val="22"/>
          <w:szCs w:val="22"/>
        </w:rPr>
        <w:t>od dnia podpisania umowy</w:t>
      </w:r>
      <w:r w:rsidR="00DC128F" w:rsidRPr="000A21FB">
        <w:rPr>
          <w:rFonts w:ascii="Century Gothic" w:eastAsia="Times New Roman" w:hAnsi="Century Gothic"/>
          <w:sz w:val="22"/>
          <w:szCs w:val="22"/>
          <w:lang w:eastAsia="en-US"/>
        </w:rPr>
        <w:t xml:space="preserve">, z zastrzeżeniem, że </w:t>
      </w:r>
      <w:r w:rsidR="00DC128F" w:rsidRPr="000A21FB">
        <w:rPr>
          <w:rFonts w:ascii="Century Gothic" w:hAnsi="Century Gothic"/>
          <w:bCs/>
          <w:sz w:val="22"/>
          <w:szCs w:val="22"/>
        </w:rPr>
        <w:t xml:space="preserve">w przypadku </w:t>
      </w:r>
      <w:r w:rsidR="00E06B29" w:rsidRPr="000A21FB">
        <w:rPr>
          <w:rFonts w:ascii="Century Gothic" w:hAnsi="Century Gothic"/>
          <w:bCs/>
          <w:sz w:val="22"/>
          <w:szCs w:val="22"/>
        </w:rPr>
        <w:t>rozbudowy drogi publicznej Leśnica-Chorzeszów – droga nr DG103411E</w:t>
      </w:r>
      <w:r w:rsidR="00DC128F" w:rsidRPr="000A21FB">
        <w:rPr>
          <w:rFonts w:ascii="Century Gothic" w:hAnsi="Century Gothic"/>
          <w:bCs/>
          <w:sz w:val="22"/>
          <w:szCs w:val="22"/>
        </w:rPr>
        <w:t>, rozpoczęcie robót budowlanych na</w:t>
      </w:r>
      <w:r w:rsidR="000A21FB" w:rsidRPr="000A21FB">
        <w:rPr>
          <w:rFonts w:ascii="Century Gothic" w:hAnsi="Century Gothic"/>
          <w:bCs/>
          <w:sz w:val="22"/>
          <w:szCs w:val="22"/>
        </w:rPr>
        <w:t>stąpi nie wcześniej niż od 01.08</w:t>
      </w:r>
      <w:r w:rsidR="00DC128F" w:rsidRPr="000A21FB">
        <w:rPr>
          <w:rFonts w:ascii="Century Gothic" w:hAnsi="Century Gothic"/>
          <w:bCs/>
          <w:sz w:val="22"/>
          <w:szCs w:val="22"/>
        </w:rPr>
        <w:t>.2024r.</w:t>
      </w:r>
      <w:r w:rsidR="000A21FB" w:rsidRPr="000A21FB">
        <w:rPr>
          <w:rFonts w:ascii="Century Gothic" w:eastAsia="Times New Roman" w:hAnsi="Century Gothic"/>
          <w:sz w:val="22"/>
          <w:szCs w:val="22"/>
          <w:lang w:eastAsia="en-US"/>
        </w:rPr>
        <w:t xml:space="preserve">, natomiast w przypadku </w:t>
      </w:r>
      <w:r w:rsidR="000A21FB" w:rsidRPr="000A21FB">
        <w:rPr>
          <w:rFonts w:ascii="Century Gothic" w:hAnsi="Century Gothic"/>
          <w:sz w:val="22"/>
          <w:szCs w:val="22"/>
        </w:rPr>
        <w:t>rozbudowy drogi gminnej wewnętrznej w miejscowości Kiki (działka nr 232 położona w miejscowości Kiki, obręb Kiki),</w:t>
      </w:r>
      <w:r w:rsidR="000A21FB" w:rsidRPr="000A21FB">
        <w:rPr>
          <w:rFonts w:ascii="Century Gothic" w:hAnsi="Century Gothic"/>
          <w:bCs/>
          <w:sz w:val="22"/>
          <w:szCs w:val="22"/>
        </w:rPr>
        <w:t xml:space="preserve"> rozpoczęcie robót budowlanych nastąpi nie wcześniej niż od 01.04.2024r.</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lastRenderedPageBreak/>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A71676" w:rsidRDefault="00E83F0A" w:rsidP="00DC2333">
      <w:pPr>
        <w:pStyle w:val="Akapitzlist"/>
        <w:widowControl w:val="0"/>
        <w:numPr>
          <w:ilvl w:val="0"/>
          <w:numId w:val="47"/>
        </w:numPr>
        <w:tabs>
          <w:tab w:val="left" w:pos="709"/>
        </w:tabs>
        <w:suppressAutoHyphens/>
        <w:spacing w:before="48" w:after="96" w:line="360" w:lineRule="auto"/>
        <w:ind w:left="567" w:hanging="283"/>
        <w:rPr>
          <w:rFonts w:ascii="Century Gothic" w:hAnsi="Century Gothic" w:cs="Arial"/>
        </w:rPr>
      </w:pPr>
      <w:r w:rsidRPr="00E83F0A">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DE6378">
        <w:rPr>
          <w:rFonts w:ascii="Century Gothic" w:hAnsi="Century Gothic" w:cs="Arial"/>
        </w:rPr>
        <w:t xml:space="preserve">w tym okresie: co najmniej </w:t>
      </w:r>
      <w:r w:rsidRPr="00DE6378">
        <w:rPr>
          <w:rFonts w:ascii="Century Gothic" w:hAnsi="Century Gothic" w:cs="Arial"/>
          <w:b/>
        </w:rPr>
        <w:t>dwie roboty budowlane, kt</w:t>
      </w:r>
      <w:r w:rsidR="00023E27" w:rsidRPr="00DE6378">
        <w:rPr>
          <w:rFonts w:ascii="Century Gothic" w:hAnsi="Century Gothic" w:cs="Arial"/>
          <w:b/>
        </w:rPr>
        <w:t>óre polegały na budowie</w:t>
      </w:r>
      <w:r w:rsidR="00DE6378" w:rsidRPr="00DE6378">
        <w:rPr>
          <w:rFonts w:ascii="Century Gothic" w:hAnsi="Century Gothic" w:cs="Arial"/>
          <w:b/>
        </w:rPr>
        <w:t>, rozbudowie lub prze</w:t>
      </w:r>
      <w:r w:rsidRPr="00DE6378">
        <w:rPr>
          <w:rFonts w:ascii="Century Gothic" w:hAnsi="Century Gothic" w:cs="Arial"/>
          <w:b/>
        </w:rPr>
        <w:t>budowie drogi</w:t>
      </w:r>
      <w:r w:rsidRPr="00DE6378">
        <w:rPr>
          <w:rFonts w:ascii="Century Gothic" w:hAnsi="Century Gothic" w:cs="Arial"/>
        </w:rPr>
        <w:t xml:space="preserve"> o wartości minimum </w:t>
      </w:r>
      <w:r w:rsidR="00983714">
        <w:rPr>
          <w:rFonts w:ascii="Century Gothic" w:hAnsi="Century Gothic" w:cs="Arial"/>
          <w:b/>
        </w:rPr>
        <w:t>1 0</w:t>
      </w:r>
      <w:r w:rsidRPr="00DE6378">
        <w:rPr>
          <w:rFonts w:ascii="Century Gothic" w:hAnsi="Century Gothic" w:cs="Arial"/>
          <w:b/>
        </w:rPr>
        <w:t>00 000,00 zł brutto</w:t>
      </w:r>
      <w:r w:rsidR="00023E27" w:rsidRPr="00DE6378">
        <w:rPr>
          <w:rFonts w:ascii="Century Gothic" w:hAnsi="Century Gothic" w:cs="Arial"/>
          <w:b/>
        </w:rPr>
        <w:t xml:space="preserve"> każda</w:t>
      </w:r>
      <w:r w:rsidR="00C6109B" w:rsidRPr="00DE6378">
        <w:rPr>
          <w:rFonts w:ascii="Century Gothic" w:hAnsi="Century Gothic" w:cs="Arial"/>
        </w:rPr>
        <w:t xml:space="preserve"> </w:t>
      </w:r>
      <w:r w:rsidR="00C6109B" w:rsidRPr="00A71676">
        <w:rPr>
          <w:rFonts w:ascii="Century Gothic" w:hAnsi="Century Gothic" w:cs="Arial"/>
        </w:rPr>
        <w:t>(słownie</w:t>
      </w:r>
      <w:r w:rsidRPr="00A71676">
        <w:rPr>
          <w:rFonts w:ascii="Century Gothic" w:hAnsi="Century Gothic" w:cs="Arial"/>
        </w:rPr>
        <w:t xml:space="preserve">: </w:t>
      </w:r>
      <w:r w:rsidR="00983714" w:rsidRPr="00A71676">
        <w:rPr>
          <w:rFonts w:ascii="Century Gothic" w:hAnsi="Century Gothic" w:cs="Arial"/>
        </w:rPr>
        <w:t xml:space="preserve">jeden milion </w:t>
      </w:r>
      <w:r w:rsidRPr="00A71676">
        <w:rPr>
          <w:rFonts w:ascii="Century Gothic" w:hAnsi="Century Gothic" w:cs="Arial"/>
        </w:rPr>
        <w:t xml:space="preserve">złotych 00/100) wraz </w:t>
      </w:r>
      <w:r w:rsidRPr="00A71676">
        <w:rPr>
          <w:rFonts w:ascii="Century Gothic" w:eastAsia="Times New Roman" w:hAnsi="Century Gothic" w:cs="Arial"/>
          <w:lang w:eastAsia="pl-PL"/>
        </w:rPr>
        <w:t xml:space="preserve">z załączeniem dowodów określających, że roboty te zostały wykonane należycie, tj. wykaz robót budowlanych </w:t>
      </w:r>
      <w:r w:rsidRPr="00A71676">
        <w:rPr>
          <w:rFonts w:ascii="Century Gothic" w:hAnsi="Century Gothic" w:cs="Arial"/>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A71676">
        <w:rPr>
          <w:rFonts w:ascii="Century Gothic" w:hAnsi="Century Gothic" w:cs="Arial"/>
          <w:noProof/>
          <w:shd w:val="clear" w:color="auto" w:fill="FFFFFF"/>
        </w:rPr>
        <w:t>inne</w:t>
      </w:r>
      <w:r w:rsidRPr="00A71676">
        <w:rPr>
          <w:rFonts w:ascii="Century Gothic" w:hAnsi="Century Gothic" w:cs="Arial"/>
          <w:shd w:val="clear" w:color="auto" w:fill="FFFFFF"/>
        </w:rPr>
        <w:t xml:space="preserve"> dokumenty sporządzone przez podmiot, na rzecz którego roboty budowlane zostały wykonane, a jeżeli wykonawca z przyczyn niezależnych od niego nie jest w stanie uzyskać tych dokument</w:t>
      </w:r>
      <w:r w:rsidR="00BF7EF7" w:rsidRPr="00A71676">
        <w:rPr>
          <w:rFonts w:ascii="Century Gothic" w:hAnsi="Century Gothic" w:cs="Arial"/>
          <w:shd w:val="clear" w:color="auto" w:fill="FFFFFF"/>
        </w:rPr>
        <w:t>ów - inne odpowiednie do</w:t>
      </w:r>
      <w:r w:rsidR="00023E27" w:rsidRPr="00A71676">
        <w:rPr>
          <w:rFonts w:ascii="Century Gothic" w:hAnsi="Century Gothic" w:cs="Arial"/>
          <w:shd w:val="clear" w:color="auto" w:fill="FFFFFF"/>
        </w:rPr>
        <w:t>kumenty.</w:t>
      </w:r>
    </w:p>
    <w:p w:rsidR="00E83F0A" w:rsidRPr="00A71676" w:rsidRDefault="00E83F0A" w:rsidP="00DC2333">
      <w:pPr>
        <w:pStyle w:val="Akapitzlist"/>
        <w:widowControl w:val="0"/>
        <w:numPr>
          <w:ilvl w:val="0"/>
          <w:numId w:val="47"/>
        </w:numPr>
        <w:tabs>
          <w:tab w:val="left" w:pos="709"/>
        </w:tabs>
        <w:suppressAutoHyphens/>
        <w:spacing w:before="48" w:after="0" w:line="360" w:lineRule="auto"/>
        <w:textAlignment w:val="baseline"/>
        <w:rPr>
          <w:rFonts w:ascii="Century Gothic" w:hAnsi="Century Gothic" w:cs="Arial"/>
        </w:rPr>
      </w:pPr>
      <w:r w:rsidRPr="00A71676">
        <w:rPr>
          <w:rFonts w:ascii="Century Gothic" w:hAnsi="Century Gothic" w:cs="Arial"/>
        </w:rPr>
        <w:t xml:space="preserve"> O udzielenie zamówienia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BC44B5">
        <w:rPr>
          <w:rFonts w:ascii="Century Gothic" w:hAnsi="Century Gothic" w:cs="Arial"/>
          <w:sz w:val="22"/>
          <w:szCs w:val="22"/>
        </w:rPr>
        <w:t xml:space="preserve">- </w:t>
      </w:r>
      <w:r w:rsidRPr="00BC44B5">
        <w:rPr>
          <w:rFonts w:ascii="Century Gothic" w:hAnsi="Century Gothic" w:cs="Arial"/>
          <w:b/>
          <w:sz w:val="22"/>
          <w:szCs w:val="22"/>
        </w:rPr>
        <w:t>min. jedną osobą</w:t>
      </w:r>
      <w:r w:rsidRPr="00BC44B5">
        <w:rPr>
          <w:rFonts w:ascii="Century Gothic" w:hAnsi="Century Gothic" w:cs="Arial"/>
          <w:sz w:val="22"/>
          <w:szCs w:val="22"/>
        </w:rPr>
        <w:t xml:space="preserve"> posiadającą uprawnienia budowlane do kierowania robotami </w:t>
      </w:r>
      <w:r w:rsidRPr="00E83F0A">
        <w:rPr>
          <w:rFonts w:ascii="Century Gothic" w:hAnsi="Century Gothic" w:cs="Arial"/>
          <w:sz w:val="22"/>
          <w:szCs w:val="22"/>
        </w:rPr>
        <w:t xml:space="preserve">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lastRenderedPageBreak/>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 xml:space="preserve">mogą polegać na zdolnościach tych z Wykonawców, którzy wykonają roboty budowlane lub usługi, do realizacji których te </w:t>
      </w:r>
      <w:r w:rsidRPr="00E83F0A">
        <w:rPr>
          <w:rFonts w:ascii="Century Gothic" w:hAnsi="Century Gothic" w:cs="Arial"/>
          <w:bCs/>
          <w:sz w:val="22"/>
          <w:szCs w:val="22"/>
          <w:lang w:val="pl-PL"/>
        </w:rPr>
        <w:lastRenderedPageBreak/>
        <w:t>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lastRenderedPageBreak/>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lastRenderedPageBreak/>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lastRenderedPageBreak/>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lastRenderedPageBreak/>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w:t>
      </w:r>
      <w:r w:rsidRPr="008110C8">
        <w:rPr>
          <w:rFonts w:ascii="Century Gothic" w:hAnsi="Century Gothic"/>
          <w:sz w:val="22"/>
          <w:szCs w:val="22"/>
        </w:rPr>
        <w:lastRenderedPageBreak/>
        <w:t xml:space="preserve">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ich złożenia, poprawienia lub uzupełnienia w wyznaczonym terminie, chyba że oferta </w:t>
      </w:r>
      <w:r w:rsidRPr="008110C8">
        <w:rPr>
          <w:rFonts w:ascii="Century Gothic" w:hAnsi="Century Gothic"/>
          <w:sz w:val="22"/>
          <w:szCs w:val="22"/>
        </w:rPr>
        <w:lastRenderedPageBreak/>
        <w:t>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lub </w:t>
      </w:r>
      <w:r w:rsidRPr="008110C8">
        <w:rPr>
          <w:rFonts w:ascii="Century Gothic" w:hAnsi="Century Gothic" w:cs="Arial"/>
          <w:iCs/>
          <w:sz w:val="22"/>
          <w:szCs w:val="22"/>
          <w:lang w:val="pl-PL"/>
        </w:rPr>
        <w:lastRenderedPageBreak/>
        <w:t>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lastRenderedPageBreak/>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5">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6">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8">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9">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882414" w:rsidP="00A94BFD">
      <w:pPr>
        <w:spacing w:line="360" w:lineRule="auto"/>
        <w:ind w:left="426"/>
        <w:rPr>
          <w:rFonts w:ascii="Century Gothic" w:hAnsi="Century Gothic" w:cs="Arial"/>
          <w:sz w:val="22"/>
          <w:szCs w:val="22"/>
          <w:u w:val="single"/>
        </w:rPr>
      </w:pPr>
      <w:hyperlink r:id="rId30">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5"/>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7E414E"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1">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2"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w:t>
      </w:r>
      <w:r w:rsidRPr="007E414E">
        <w:rPr>
          <w:rFonts w:ascii="Century Gothic" w:hAnsi="Century Gothic" w:cs="Arial"/>
        </w:rPr>
        <w:t xml:space="preserve">stronie internetowej prowadzonego postępowania  </w:t>
      </w:r>
      <w:r w:rsidR="00253D59">
        <w:rPr>
          <w:rFonts w:ascii="Century Gothic" w:hAnsi="Century Gothic" w:cs="Arial"/>
          <w:b/>
        </w:rPr>
        <w:t>do dnia 12</w:t>
      </w:r>
      <w:r w:rsidR="00BA2754" w:rsidRPr="007E414E">
        <w:rPr>
          <w:rFonts w:ascii="Century Gothic" w:hAnsi="Century Gothic" w:cs="Arial"/>
          <w:b/>
        </w:rPr>
        <w:t>.03</w:t>
      </w:r>
      <w:r w:rsidR="00983714" w:rsidRPr="007E414E">
        <w:rPr>
          <w:rFonts w:ascii="Century Gothic" w:hAnsi="Century Gothic" w:cs="Arial"/>
          <w:b/>
        </w:rPr>
        <w:t>.2024</w:t>
      </w:r>
      <w:r w:rsidR="001863A3" w:rsidRPr="007E414E">
        <w:rPr>
          <w:rFonts w:ascii="Century Gothic" w:hAnsi="Century Gothic" w:cs="Arial"/>
          <w:b/>
        </w:rPr>
        <w:t xml:space="preserve">r. do godziny </w:t>
      </w:r>
      <w:r w:rsidR="007E414E" w:rsidRPr="007E414E">
        <w:rPr>
          <w:rFonts w:ascii="Century Gothic" w:hAnsi="Century Gothic" w:cs="Arial"/>
          <w:b/>
        </w:rPr>
        <w:t>0</w:t>
      </w:r>
      <w:r w:rsidR="00253D59">
        <w:rPr>
          <w:rFonts w:ascii="Century Gothic" w:hAnsi="Century Gothic" w:cs="Arial"/>
          <w:b/>
        </w:rPr>
        <w:t>8</w:t>
      </w:r>
      <w:r w:rsidRPr="007E414E">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4">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5">
        <w:r w:rsidRPr="00A32F93">
          <w:rPr>
            <w:rFonts w:ascii="Century Gothic" w:hAnsi="Century Gothic" w:cs="Arial"/>
            <w:sz w:val="22"/>
            <w:szCs w:val="22"/>
            <w:u w:val="single"/>
          </w:rPr>
          <w:t>https://platformazakupowa.pl/strona/45-instrukcje</w:t>
        </w:r>
      </w:hyperlink>
    </w:p>
    <w:p w:rsidR="00316256" w:rsidRPr="007E414E"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253D59">
        <w:rPr>
          <w:rFonts w:ascii="Century Gothic" w:hAnsi="Century Gothic" w:cs="Arial"/>
          <w:b/>
          <w:sz w:val="22"/>
          <w:szCs w:val="22"/>
        </w:rPr>
        <w:t>12</w:t>
      </w:r>
      <w:r w:rsidR="00BA2754" w:rsidRPr="007E414E">
        <w:rPr>
          <w:rFonts w:ascii="Century Gothic" w:hAnsi="Century Gothic" w:cs="Arial"/>
          <w:b/>
          <w:sz w:val="22"/>
          <w:szCs w:val="22"/>
        </w:rPr>
        <w:t>.03</w:t>
      </w:r>
      <w:r w:rsidR="00983714" w:rsidRPr="007E414E">
        <w:rPr>
          <w:rFonts w:ascii="Century Gothic" w:hAnsi="Century Gothic" w:cs="Arial"/>
          <w:b/>
          <w:sz w:val="22"/>
          <w:szCs w:val="22"/>
        </w:rPr>
        <w:t>.2024</w:t>
      </w:r>
      <w:r w:rsidR="001863A3" w:rsidRPr="007E414E">
        <w:rPr>
          <w:rFonts w:ascii="Century Gothic" w:hAnsi="Century Gothic" w:cs="Arial"/>
          <w:b/>
          <w:sz w:val="22"/>
          <w:szCs w:val="22"/>
        </w:rPr>
        <w:t xml:space="preserve">r. o godzinie </w:t>
      </w:r>
      <w:r w:rsidR="00253D59">
        <w:rPr>
          <w:rFonts w:ascii="Century Gothic" w:hAnsi="Century Gothic" w:cs="Arial"/>
          <w:b/>
          <w:sz w:val="22"/>
          <w:szCs w:val="22"/>
        </w:rPr>
        <w:t>08</w:t>
      </w:r>
      <w:r w:rsidR="00056F00" w:rsidRPr="007E414E">
        <w:rPr>
          <w:rFonts w:ascii="Century Gothic" w:hAnsi="Century Gothic" w:cs="Arial"/>
          <w:b/>
          <w:sz w:val="22"/>
          <w:szCs w:val="22"/>
        </w:rPr>
        <w:t>:3</w:t>
      </w:r>
      <w:r w:rsidRPr="007E414E">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6">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7E414E"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7E414E">
        <w:rPr>
          <w:rFonts w:ascii="Century Gothic" w:hAnsi="Century Gothic"/>
          <w:b/>
          <w:bCs/>
          <w:color w:val="000000"/>
          <w:sz w:val="22"/>
          <w:szCs w:val="22"/>
        </w:rPr>
        <w:t xml:space="preserve">do </w:t>
      </w:r>
      <w:r w:rsidR="00253D59">
        <w:rPr>
          <w:rFonts w:ascii="Century Gothic" w:hAnsi="Century Gothic"/>
          <w:b/>
          <w:bCs/>
          <w:color w:val="000000"/>
          <w:sz w:val="22"/>
          <w:szCs w:val="22"/>
        </w:rPr>
        <w:t>dnia 10</w:t>
      </w:r>
      <w:r w:rsidR="00BA2754" w:rsidRPr="007E414E">
        <w:rPr>
          <w:rFonts w:ascii="Century Gothic" w:hAnsi="Century Gothic"/>
          <w:b/>
          <w:bCs/>
          <w:color w:val="000000"/>
          <w:sz w:val="22"/>
          <w:szCs w:val="22"/>
        </w:rPr>
        <w:t>.04</w:t>
      </w:r>
      <w:r w:rsidR="00983714" w:rsidRPr="007E414E">
        <w:rPr>
          <w:rFonts w:ascii="Century Gothic" w:hAnsi="Century Gothic"/>
          <w:b/>
          <w:bCs/>
          <w:color w:val="000000"/>
          <w:sz w:val="22"/>
          <w:szCs w:val="22"/>
        </w:rPr>
        <w:t>.2024</w:t>
      </w:r>
      <w:r w:rsidRPr="007E414E">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lastRenderedPageBreak/>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 xml:space="preserve">Spółdzielczy w Szadku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w:t>
      </w:r>
      <w:r w:rsidRPr="00983714">
        <w:rPr>
          <w:rFonts w:ascii="Century Gothic" w:hAnsi="Century Gothic"/>
          <w:sz w:val="22"/>
          <w:szCs w:val="22"/>
        </w:rPr>
        <w:t xml:space="preserve">dopiskiem: </w:t>
      </w:r>
      <w:r w:rsidRPr="00983714">
        <w:rPr>
          <w:rFonts w:ascii="Century Gothic" w:hAnsi="Century Gothic" w:cs="Times-Roman"/>
          <w:sz w:val="22"/>
          <w:szCs w:val="22"/>
        </w:rPr>
        <w:t>„</w:t>
      </w:r>
      <w:r w:rsidR="00983714" w:rsidRPr="00983714">
        <w:rPr>
          <w:rFonts w:ascii="Century Gothic" w:hAnsi="Century Gothic"/>
          <w:b/>
          <w:sz w:val="22"/>
          <w:szCs w:val="22"/>
        </w:rPr>
        <w:t xml:space="preserve">Modernizacja infrastruktury drogowej na terenie Gminy Wodzierady część </w:t>
      </w:r>
      <w:r w:rsidR="00BA2754">
        <w:rPr>
          <w:rFonts w:ascii="Century Gothic" w:hAnsi="Century Gothic"/>
          <w:b/>
          <w:sz w:val="22"/>
          <w:szCs w:val="22"/>
        </w:rPr>
        <w:t>1</w:t>
      </w:r>
      <w:r w:rsidR="00983714" w:rsidRPr="00983714">
        <w:rPr>
          <w:rFonts w:ascii="Century Gothic" w:hAnsi="Century Gothic"/>
          <w:b/>
          <w:sz w:val="22"/>
          <w:szCs w:val="22"/>
        </w:rPr>
        <w:t xml:space="preserve"> (Edycja 2)</w:t>
      </w:r>
      <w:r w:rsidRPr="00983714">
        <w:rPr>
          <w:rFonts w:ascii="Century Gothic" w:eastAsia="Times New Roman" w:hAnsi="Century Gothic"/>
          <w:b/>
          <w:bCs/>
          <w:sz w:val="22"/>
          <w:szCs w:val="22"/>
          <w:lang w:eastAsia="en-US"/>
        </w:rPr>
        <w:t>”</w:t>
      </w:r>
      <w:r w:rsidR="007E6686" w:rsidRPr="00983714">
        <w:rPr>
          <w:rFonts w:ascii="Century Gothic" w:eastAsia="Times New Roman" w:hAnsi="Century Gothic"/>
          <w:b/>
          <w:bCs/>
          <w:sz w:val="22"/>
          <w:szCs w:val="22"/>
          <w:lang w:eastAsia="en-US"/>
        </w:rPr>
        <w:t xml:space="preserve"> –</w:t>
      </w:r>
      <w:r w:rsidR="00330552" w:rsidRPr="00983714">
        <w:rPr>
          <w:rFonts w:ascii="Century Gothic" w:eastAsia="Times New Roman" w:hAnsi="Century Gothic"/>
          <w:b/>
          <w:bCs/>
          <w:sz w:val="22"/>
          <w:szCs w:val="22"/>
          <w:lang w:eastAsia="en-US"/>
        </w:rPr>
        <w:t xml:space="preserve"> </w:t>
      </w:r>
      <w:r w:rsidR="00BA2754">
        <w:rPr>
          <w:rFonts w:ascii="Century Gothic" w:hAnsi="Century Gothic" w:cs="Times-Roman"/>
          <w:b/>
          <w:sz w:val="22"/>
          <w:szCs w:val="22"/>
        </w:rPr>
        <w:t>nr sprawy: IZP.271.4</w:t>
      </w:r>
      <w:r w:rsidR="00983714">
        <w:rPr>
          <w:rFonts w:ascii="Century Gothic" w:hAnsi="Century Gothic" w:cs="Times-Roman"/>
          <w:b/>
          <w:sz w:val="22"/>
          <w:szCs w:val="22"/>
        </w:rPr>
        <w:t>.2024</w:t>
      </w:r>
      <w:r w:rsidRPr="00983714">
        <w:rPr>
          <w:rFonts w:ascii="Century Gothic" w:hAnsi="Century Gothic" w:cs="Times-Roman"/>
          <w:b/>
          <w:sz w:val="22"/>
          <w:szCs w:val="22"/>
        </w:rPr>
        <w:t>”</w:t>
      </w:r>
      <w:r w:rsidR="00330552" w:rsidRPr="00983714">
        <w:rPr>
          <w:rFonts w:ascii="Century Gothic" w:hAnsi="Century Gothic" w:cs="Times-Roman"/>
          <w:b/>
          <w:sz w:val="22"/>
          <w:szCs w:val="22"/>
        </w:rPr>
        <w:t>.</w:t>
      </w:r>
      <w:r w:rsidRPr="00983714">
        <w:rPr>
          <w:rFonts w:ascii="Century Gothic" w:hAnsi="Century Gothic" w:cs="Times-Roman"/>
          <w:b/>
          <w:sz w:val="22"/>
          <w:szCs w:val="22"/>
        </w:rPr>
        <w:t xml:space="preserve"> </w:t>
      </w:r>
      <w:r w:rsidRPr="00983714">
        <w:rPr>
          <w:rFonts w:ascii="Century Gothic" w:hAnsi="Century Gothic" w:cs="Times-Roman"/>
          <w:sz w:val="22"/>
          <w:szCs w:val="22"/>
        </w:rPr>
        <w:t>W</w:t>
      </w:r>
      <w:r w:rsidRPr="00250D74">
        <w:rPr>
          <w:rFonts w:ascii="Century Gothic" w:hAnsi="Century Gothic" w:cs="Times-Roman"/>
          <w:sz w:val="22"/>
          <w:szCs w:val="22"/>
        </w:rPr>
        <w:t xml:space="preserve"> przypadku </w:t>
      </w:r>
      <w:r w:rsidRPr="00250D74">
        <w:rPr>
          <w:rFonts w:ascii="Century Gothic" w:hAnsi="Century Gothic" w:cs="Times-Roman"/>
          <w:sz w:val="22"/>
          <w:szCs w:val="22"/>
        </w:rPr>
        <w:lastRenderedPageBreak/>
        <w:t>wniesienia zabezpieczeni</w:t>
      </w:r>
      <w:r w:rsidRPr="00BC6119">
        <w:rPr>
          <w:rFonts w:ascii="Century Gothic" w:hAnsi="Century Gothic" w:cs="Times-Roman"/>
          <w:sz w:val="22"/>
          <w:szCs w:val="22"/>
        </w:rPr>
        <w:t>a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t>
      </w:r>
      <w:r w:rsidRPr="00AA1A3F">
        <w:rPr>
          <w:rFonts w:ascii="Century Gothic" w:hAnsi="Century Gothic"/>
          <w:sz w:val="22"/>
          <w:szCs w:val="22"/>
        </w:rPr>
        <w:lastRenderedPageBreak/>
        <w:t>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w:t>
      </w:r>
      <w:r w:rsidR="00AD02D2">
        <w:rPr>
          <w:rFonts w:ascii="Century Gothic" w:hAnsi="Century Gothic" w:cs="Arial"/>
          <w:sz w:val="22"/>
          <w:szCs w:val="22"/>
        </w:rPr>
        <w:t>ałącznik nr 8 – Wykaz osób</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7"/>
      <w:footerReference w:type="default" r:id="rId38"/>
      <w:headerReference w:type="first" r:id="rId39"/>
      <w:footerReference w:type="first" r:id="rId40"/>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14" w:rsidRDefault="00882414">
      <w:r>
        <w:separator/>
      </w:r>
    </w:p>
  </w:endnote>
  <w:endnote w:type="continuationSeparator" w:id="0">
    <w:p w:rsidR="00882414" w:rsidRDefault="008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C0" w:rsidRPr="00974697" w:rsidRDefault="00740EC0"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A71676">
      <w:rPr>
        <w:rStyle w:val="Numerstrony"/>
        <w:rFonts w:ascii="Century Gothic" w:hAnsi="Century Gothic"/>
        <w:noProof/>
        <w:sz w:val="16"/>
        <w:szCs w:val="16"/>
      </w:rPr>
      <w:t>2</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C0" w:rsidRPr="00BA4BE7" w:rsidRDefault="00740EC0"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w:t>
    </w:r>
    <w:r>
      <w:rPr>
        <w:rFonts w:ascii="Century Gothic" w:eastAsia="Times New Roman" w:hAnsi="Century Gothic"/>
        <w:sz w:val="18"/>
        <w:szCs w:val="18"/>
        <w:lang w:eastAsia="en-US"/>
      </w:rPr>
      <w:t>rt. 3 ustawy z 11 września 2019</w:t>
    </w:r>
    <w:r w:rsidRPr="00BA4BE7">
      <w:rPr>
        <w:rFonts w:ascii="Century Gothic" w:eastAsia="Times New Roman" w:hAnsi="Century Gothic"/>
        <w:sz w:val="18"/>
        <w:szCs w:val="18"/>
        <w:lang w:eastAsia="en-US"/>
      </w:rPr>
      <w:t xml:space="preserve">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14" w:rsidRDefault="00882414">
      <w:r>
        <w:separator/>
      </w:r>
    </w:p>
  </w:footnote>
  <w:footnote w:type="continuationSeparator" w:id="0">
    <w:p w:rsidR="00882414" w:rsidRDefault="00882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C0" w:rsidRPr="00711B21" w:rsidRDefault="00740EC0"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740EC0" w:rsidRPr="00711B21" w:rsidRDefault="00740EC0"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C0" w:rsidRDefault="00740EC0" w:rsidP="00FC6746">
    <w:pPr>
      <w:pStyle w:val="Nagwek"/>
    </w:pPr>
  </w:p>
  <w:p w:rsidR="00740EC0" w:rsidRPr="00DA1330" w:rsidRDefault="00740EC0"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8963C0"/>
    <w:multiLevelType w:val="hybridMultilevel"/>
    <w:tmpl w:val="F5987054"/>
    <w:lvl w:ilvl="0" w:tplc="4566A55E">
      <w:start w:val="1"/>
      <w:numFmt w:val="lowerLetter"/>
      <w:lvlText w:val="%1)"/>
      <w:lvlJc w:val="left"/>
      <w:pPr>
        <w:ind w:left="860" w:hanging="43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6"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19"/>
  </w:num>
  <w:num w:numId="3">
    <w:abstractNumId w:val="45"/>
  </w:num>
  <w:num w:numId="4">
    <w:abstractNumId w:val="8"/>
  </w:num>
  <w:num w:numId="5">
    <w:abstractNumId w:val="21"/>
  </w:num>
  <w:num w:numId="6">
    <w:abstractNumId w:val="29"/>
  </w:num>
  <w:num w:numId="7">
    <w:abstractNumId w:val="32"/>
  </w:num>
  <w:num w:numId="8">
    <w:abstractNumId w:val="34"/>
  </w:num>
  <w:num w:numId="9">
    <w:abstractNumId w:val="3"/>
  </w:num>
  <w:num w:numId="10">
    <w:abstractNumId w:val="12"/>
  </w:num>
  <w:num w:numId="11">
    <w:abstractNumId w:val="37"/>
  </w:num>
  <w:num w:numId="12">
    <w:abstractNumId w:val="30"/>
  </w:num>
  <w:num w:numId="13">
    <w:abstractNumId w:val="23"/>
  </w:num>
  <w:num w:numId="14">
    <w:abstractNumId w:val="27"/>
  </w:num>
  <w:num w:numId="15">
    <w:abstractNumId w:val="38"/>
  </w:num>
  <w:num w:numId="16">
    <w:abstractNumId w:val="16"/>
  </w:num>
  <w:num w:numId="17">
    <w:abstractNumId w:val="9"/>
  </w:num>
  <w:num w:numId="18">
    <w:abstractNumId w:val="26"/>
  </w:num>
  <w:num w:numId="19">
    <w:abstractNumId w:val="11"/>
  </w:num>
  <w:num w:numId="20">
    <w:abstractNumId w:val="14"/>
  </w:num>
  <w:num w:numId="21">
    <w:abstractNumId w:val="36"/>
  </w:num>
  <w:num w:numId="22">
    <w:abstractNumId w:val="13"/>
  </w:num>
  <w:num w:numId="23">
    <w:abstractNumId w:val="7"/>
  </w:num>
  <w:num w:numId="24">
    <w:abstractNumId w:val="17"/>
  </w:num>
  <w:num w:numId="25">
    <w:abstractNumId w:val="22"/>
  </w:num>
  <w:num w:numId="26">
    <w:abstractNumId w:val="20"/>
  </w:num>
  <w:num w:numId="27">
    <w:abstractNumId w:val="41"/>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5"/>
  </w:num>
  <w:num w:numId="39">
    <w:abstractNumId w:val="33"/>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4"/>
  </w:num>
  <w:num w:numId="4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16C7F"/>
    <w:rsid w:val="00023E27"/>
    <w:rsid w:val="00056F00"/>
    <w:rsid w:val="000A21FB"/>
    <w:rsid w:val="000B2C86"/>
    <w:rsid w:val="000B5182"/>
    <w:rsid w:val="000C57BF"/>
    <w:rsid w:val="000F397D"/>
    <w:rsid w:val="0010192F"/>
    <w:rsid w:val="001048A6"/>
    <w:rsid w:val="00132612"/>
    <w:rsid w:val="001543C9"/>
    <w:rsid w:val="00165A5A"/>
    <w:rsid w:val="0017392B"/>
    <w:rsid w:val="0017594C"/>
    <w:rsid w:val="0018408D"/>
    <w:rsid w:val="001863A3"/>
    <w:rsid w:val="001D675C"/>
    <w:rsid w:val="002062B2"/>
    <w:rsid w:val="0020782E"/>
    <w:rsid w:val="002120B7"/>
    <w:rsid w:val="00224CA7"/>
    <w:rsid w:val="00250D74"/>
    <w:rsid w:val="00251101"/>
    <w:rsid w:val="00253D59"/>
    <w:rsid w:val="00264B89"/>
    <w:rsid w:val="002F21F8"/>
    <w:rsid w:val="00311DAC"/>
    <w:rsid w:val="00316256"/>
    <w:rsid w:val="00330552"/>
    <w:rsid w:val="003A12C2"/>
    <w:rsid w:val="003D6E1B"/>
    <w:rsid w:val="003F6DB4"/>
    <w:rsid w:val="00450AF2"/>
    <w:rsid w:val="00484218"/>
    <w:rsid w:val="004926AD"/>
    <w:rsid w:val="004D31BA"/>
    <w:rsid w:val="004D363A"/>
    <w:rsid w:val="00511510"/>
    <w:rsid w:val="005128B4"/>
    <w:rsid w:val="00534DEC"/>
    <w:rsid w:val="00537B15"/>
    <w:rsid w:val="005445F8"/>
    <w:rsid w:val="00554D6A"/>
    <w:rsid w:val="00566765"/>
    <w:rsid w:val="0057215A"/>
    <w:rsid w:val="005A3BA7"/>
    <w:rsid w:val="005A6BAD"/>
    <w:rsid w:val="005B2AC8"/>
    <w:rsid w:val="005B7469"/>
    <w:rsid w:val="005E30A5"/>
    <w:rsid w:val="006112F0"/>
    <w:rsid w:val="00623D90"/>
    <w:rsid w:val="00623E75"/>
    <w:rsid w:val="0064395C"/>
    <w:rsid w:val="00674E21"/>
    <w:rsid w:val="00691902"/>
    <w:rsid w:val="00693DCA"/>
    <w:rsid w:val="006B78C0"/>
    <w:rsid w:val="00713EF2"/>
    <w:rsid w:val="00725EB1"/>
    <w:rsid w:val="00740EC0"/>
    <w:rsid w:val="00762766"/>
    <w:rsid w:val="00777161"/>
    <w:rsid w:val="0078508A"/>
    <w:rsid w:val="007C21F0"/>
    <w:rsid w:val="007E1667"/>
    <w:rsid w:val="007E414E"/>
    <w:rsid w:val="007E6686"/>
    <w:rsid w:val="007F540B"/>
    <w:rsid w:val="008110C8"/>
    <w:rsid w:val="00822F65"/>
    <w:rsid w:val="00827510"/>
    <w:rsid w:val="008522A7"/>
    <w:rsid w:val="008566E7"/>
    <w:rsid w:val="00872A20"/>
    <w:rsid w:val="00877308"/>
    <w:rsid w:val="00882414"/>
    <w:rsid w:val="00894870"/>
    <w:rsid w:val="008B1567"/>
    <w:rsid w:val="008C2929"/>
    <w:rsid w:val="008D17B1"/>
    <w:rsid w:val="008E3E59"/>
    <w:rsid w:val="0090568D"/>
    <w:rsid w:val="0093643C"/>
    <w:rsid w:val="00945D5A"/>
    <w:rsid w:val="00983714"/>
    <w:rsid w:val="009A3DCA"/>
    <w:rsid w:val="009B65A6"/>
    <w:rsid w:val="009D252E"/>
    <w:rsid w:val="009F205F"/>
    <w:rsid w:val="009F7D89"/>
    <w:rsid w:val="00A270F2"/>
    <w:rsid w:val="00A32F93"/>
    <w:rsid w:val="00A71676"/>
    <w:rsid w:val="00A74818"/>
    <w:rsid w:val="00A94BFD"/>
    <w:rsid w:val="00AA1A3F"/>
    <w:rsid w:val="00AA6B75"/>
    <w:rsid w:val="00AC3E60"/>
    <w:rsid w:val="00AD02D2"/>
    <w:rsid w:val="00AD587E"/>
    <w:rsid w:val="00B519D4"/>
    <w:rsid w:val="00B92836"/>
    <w:rsid w:val="00BA0D53"/>
    <w:rsid w:val="00BA159D"/>
    <w:rsid w:val="00BA2754"/>
    <w:rsid w:val="00BA57DA"/>
    <w:rsid w:val="00BB4062"/>
    <w:rsid w:val="00BB6ADA"/>
    <w:rsid w:val="00BC44B5"/>
    <w:rsid w:val="00BC6119"/>
    <w:rsid w:val="00BC6296"/>
    <w:rsid w:val="00BD21FE"/>
    <w:rsid w:val="00BD41EC"/>
    <w:rsid w:val="00BE1723"/>
    <w:rsid w:val="00BF11C0"/>
    <w:rsid w:val="00BF7EF7"/>
    <w:rsid w:val="00C022BA"/>
    <w:rsid w:val="00C2617F"/>
    <w:rsid w:val="00C313A6"/>
    <w:rsid w:val="00C33087"/>
    <w:rsid w:val="00C51634"/>
    <w:rsid w:val="00C6109B"/>
    <w:rsid w:val="00C65528"/>
    <w:rsid w:val="00C84D6E"/>
    <w:rsid w:val="00CA0E02"/>
    <w:rsid w:val="00CE2626"/>
    <w:rsid w:val="00CF79C1"/>
    <w:rsid w:val="00CF7F9E"/>
    <w:rsid w:val="00D04FA1"/>
    <w:rsid w:val="00D17715"/>
    <w:rsid w:val="00D2143C"/>
    <w:rsid w:val="00D30244"/>
    <w:rsid w:val="00D30C2F"/>
    <w:rsid w:val="00D326FC"/>
    <w:rsid w:val="00D36DB4"/>
    <w:rsid w:val="00D4786F"/>
    <w:rsid w:val="00D67EEF"/>
    <w:rsid w:val="00D87FAA"/>
    <w:rsid w:val="00D908F4"/>
    <w:rsid w:val="00D935CB"/>
    <w:rsid w:val="00D96F57"/>
    <w:rsid w:val="00DA5672"/>
    <w:rsid w:val="00DC128F"/>
    <w:rsid w:val="00DC2333"/>
    <w:rsid w:val="00DE6378"/>
    <w:rsid w:val="00DF4AF0"/>
    <w:rsid w:val="00DF61F5"/>
    <w:rsid w:val="00E06B29"/>
    <w:rsid w:val="00E14F90"/>
    <w:rsid w:val="00E16609"/>
    <w:rsid w:val="00E55122"/>
    <w:rsid w:val="00E730AC"/>
    <w:rsid w:val="00E7623A"/>
    <w:rsid w:val="00E83F0A"/>
    <w:rsid w:val="00E96845"/>
    <w:rsid w:val="00E97827"/>
    <w:rsid w:val="00EA0961"/>
    <w:rsid w:val="00F117EA"/>
    <w:rsid w:val="00F20421"/>
    <w:rsid w:val="00F509AC"/>
    <w:rsid w:val="00F913D8"/>
    <w:rsid w:val="00FB0C92"/>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00EB6"/>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contentpasted1">
    <w:name w:val="contentpasted1"/>
    <w:basedOn w:val="Domylnaczcionkaakapitu"/>
    <w:rsid w:val="005A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wodzierad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bip.wodzierady.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0A9F-8425-4A8D-BDB0-85C0E5C0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45</Pages>
  <Words>12979</Words>
  <Characters>77876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32</cp:revision>
  <dcterms:created xsi:type="dcterms:W3CDTF">2024-01-17T10:19:00Z</dcterms:created>
  <dcterms:modified xsi:type="dcterms:W3CDTF">2024-02-26T12:10:00Z</dcterms:modified>
</cp:coreProperties>
</file>