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19E" w:rsidRPr="00E0119E" w:rsidRDefault="00E0119E" w:rsidP="00E0119E">
      <w:pPr>
        <w:autoSpaceDE w:val="0"/>
        <w:autoSpaceDN w:val="0"/>
        <w:adjustRightInd w:val="0"/>
        <w:rPr>
          <w:rFonts w:ascii="CG Omega" w:eastAsia="Times New Roman" w:hAnsi="CG Omega"/>
          <w:lang w:eastAsia="pl-PL"/>
        </w:rPr>
      </w:pPr>
      <w:r w:rsidRPr="00E0119E">
        <w:rPr>
          <w:rFonts w:ascii="CG Omega" w:eastAsia="Times New Roman" w:hAnsi="CG Omega"/>
          <w:lang w:eastAsia="pl-PL"/>
        </w:rPr>
        <w:t xml:space="preserve">Znak: </w:t>
      </w:r>
      <w:r w:rsidRPr="00E0119E">
        <w:rPr>
          <w:rFonts w:ascii="CG Omega" w:eastAsia="Times New Roman" w:hAnsi="CG Omega" w:cs="Tahoma"/>
          <w:spacing w:val="1"/>
          <w:lang w:eastAsia="ar-SA"/>
        </w:rPr>
        <w:t xml:space="preserve">RG3.271.28.2024  </w:t>
      </w:r>
      <w:r w:rsidRPr="00E0119E">
        <w:rPr>
          <w:rFonts w:ascii="CG Omega" w:eastAsia="Times New Roman" w:hAnsi="CG Omega"/>
          <w:lang w:eastAsia="pl-PL"/>
        </w:rPr>
        <w:tab/>
      </w:r>
      <w:r w:rsidRPr="00E0119E">
        <w:rPr>
          <w:rFonts w:ascii="CG Omega" w:eastAsia="Times New Roman" w:hAnsi="CG Omega"/>
          <w:lang w:eastAsia="pl-PL"/>
        </w:rPr>
        <w:tab/>
      </w:r>
      <w:r w:rsidRPr="00E0119E">
        <w:rPr>
          <w:rFonts w:ascii="CG Omega" w:eastAsia="Times New Roman" w:hAnsi="CG Omega"/>
          <w:lang w:eastAsia="pl-PL"/>
        </w:rPr>
        <w:tab/>
      </w:r>
      <w:r w:rsidRPr="00E0119E">
        <w:rPr>
          <w:rFonts w:ascii="CG Omega" w:eastAsia="Times New Roman" w:hAnsi="CG Omega"/>
          <w:lang w:eastAsia="pl-PL"/>
        </w:rPr>
        <w:tab/>
      </w:r>
      <w:r w:rsidRPr="00E0119E">
        <w:rPr>
          <w:rFonts w:ascii="CG Omega" w:eastAsia="Times New Roman" w:hAnsi="CG Omega"/>
          <w:lang w:eastAsia="pl-PL"/>
        </w:rPr>
        <w:tab/>
      </w:r>
      <w:r w:rsidRPr="00E0119E">
        <w:rPr>
          <w:rFonts w:ascii="CG Omega" w:eastAsia="Times New Roman" w:hAnsi="CG Omega"/>
          <w:lang w:eastAsia="pl-PL"/>
        </w:rPr>
        <w:tab/>
        <w:t xml:space="preserve">Wiązownica, </w:t>
      </w:r>
      <w:r w:rsidR="007567C0">
        <w:rPr>
          <w:rFonts w:ascii="CG Omega" w:eastAsia="Times New Roman" w:hAnsi="CG Omega"/>
          <w:lang w:eastAsia="pl-PL"/>
        </w:rPr>
        <w:t>1</w:t>
      </w:r>
      <w:r w:rsidR="003941A3">
        <w:rPr>
          <w:rFonts w:ascii="CG Omega" w:eastAsia="Times New Roman" w:hAnsi="CG Omega"/>
          <w:lang w:eastAsia="pl-PL"/>
        </w:rPr>
        <w:t>7</w:t>
      </w:r>
      <w:bookmarkStart w:id="0" w:name="_GoBack"/>
      <w:bookmarkEnd w:id="0"/>
      <w:r w:rsidRPr="00E0119E">
        <w:rPr>
          <w:rFonts w:ascii="CG Omega" w:eastAsia="Times New Roman" w:hAnsi="CG Omega"/>
          <w:lang w:eastAsia="pl-PL"/>
        </w:rPr>
        <w:t>.09.2024r.</w:t>
      </w:r>
    </w:p>
    <w:p w:rsidR="00E0119E" w:rsidRPr="00E0119E" w:rsidRDefault="00E0119E" w:rsidP="00E0119E">
      <w:pPr>
        <w:autoSpaceDE w:val="0"/>
        <w:autoSpaceDN w:val="0"/>
        <w:adjustRightInd w:val="0"/>
        <w:jc w:val="both"/>
        <w:rPr>
          <w:rFonts w:ascii="CG Omega" w:eastAsia="Times New Roman" w:hAnsi="CG Omega" w:cs="Arial"/>
          <w:b/>
          <w:bCs/>
          <w:color w:val="000000"/>
          <w:lang w:eastAsia="pl-PL"/>
        </w:rPr>
      </w:pPr>
    </w:p>
    <w:p w:rsidR="00E0119E" w:rsidRPr="00E0119E" w:rsidRDefault="00E0119E" w:rsidP="00E0119E">
      <w:pPr>
        <w:autoSpaceDE w:val="0"/>
        <w:autoSpaceDN w:val="0"/>
        <w:adjustRightInd w:val="0"/>
        <w:jc w:val="both"/>
        <w:rPr>
          <w:rFonts w:ascii="CG Omega" w:eastAsia="Times New Roman" w:hAnsi="CG Omega" w:cs="Arial"/>
          <w:b/>
          <w:bCs/>
          <w:color w:val="000000"/>
          <w:lang w:eastAsia="pl-PL"/>
        </w:rPr>
      </w:pPr>
    </w:p>
    <w:p w:rsidR="00E0119E" w:rsidRPr="00E0119E" w:rsidRDefault="00E0119E" w:rsidP="00E0119E">
      <w:pPr>
        <w:spacing w:line="252" w:lineRule="auto"/>
        <w:rPr>
          <w:rFonts w:ascii="CG Omega" w:eastAsiaTheme="minorHAnsi" w:hAnsi="CG Omega" w:cstheme="minorBidi"/>
          <w:b/>
        </w:rPr>
      </w:pPr>
      <w:r w:rsidRPr="00E0119E">
        <w:rPr>
          <w:rFonts w:ascii="CG Omega" w:eastAsia="Times New Roman" w:hAnsi="CG Omega" w:cs="Arial"/>
          <w:b/>
          <w:bCs/>
          <w:color w:val="000000"/>
          <w:lang w:eastAsia="pl-PL"/>
        </w:rPr>
        <w:tab/>
      </w:r>
      <w:r w:rsidRPr="00E0119E">
        <w:rPr>
          <w:rFonts w:ascii="CG Omega" w:eastAsia="Times New Roman" w:hAnsi="CG Omega" w:cs="Arial"/>
          <w:b/>
          <w:bCs/>
          <w:color w:val="000000"/>
          <w:lang w:eastAsia="pl-PL"/>
        </w:rPr>
        <w:tab/>
        <w:t xml:space="preserve">   </w:t>
      </w:r>
      <w:r w:rsidRPr="00E0119E">
        <w:rPr>
          <w:rFonts w:ascii="CG Omega" w:eastAsia="Times New Roman" w:hAnsi="CG Omega" w:cs="Arial"/>
          <w:b/>
          <w:bCs/>
          <w:color w:val="000000"/>
          <w:lang w:eastAsia="pl-PL"/>
        </w:rPr>
        <w:tab/>
      </w:r>
      <w:r w:rsidRPr="00E0119E">
        <w:rPr>
          <w:rFonts w:ascii="CG Omega" w:eastAsia="Times New Roman" w:hAnsi="CG Omega" w:cs="Arial"/>
          <w:b/>
          <w:bCs/>
          <w:color w:val="000000"/>
          <w:lang w:eastAsia="pl-PL"/>
        </w:rPr>
        <w:tab/>
      </w:r>
      <w:r w:rsidRPr="00E0119E">
        <w:rPr>
          <w:rFonts w:ascii="CG Omega" w:eastAsia="Times New Roman" w:hAnsi="CG Omega" w:cs="Arial"/>
          <w:b/>
          <w:bCs/>
          <w:color w:val="000000"/>
          <w:lang w:eastAsia="pl-PL"/>
        </w:rPr>
        <w:tab/>
      </w:r>
      <w:r w:rsidRPr="00E0119E">
        <w:rPr>
          <w:rFonts w:ascii="CG Omega" w:eastAsia="Times New Roman" w:hAnsi="CG Omega" w:cs="Arial"/>
          <w:b/>
          <w:bCs/>
          <w:color w:val="000000"/>
          <w:lang w:eastAsia="pl-PL"/>
        </w:rPr>
        <w:tab/>
      </w:r>
      <w:r w:rsidRPr="00E0119E">
        <w:rPr>
          <w:rFonts w:ascii="CG Omega" w:eastAsia="Times New Roman" w:hAnsi="CG Omega" w:cs="Arial"/>
          <w:b/>
          <w:bCs/>
          <w:color w:val="000000"/>
          <w:lang w:eastAsia="pl-PL"/>
        </w:rPr>
        <w:tab/>
      </w:r>
      <w:r w:rsidRPr="00E0119E">
        <w:rPr>
          <w:rFonts w:ascii="CG Omega" w:eastAsiaTheme="minorHAnsi" w:hAnsi="CG Omega" w:cstheme="minorBidi"/>
          <w:b/>
        </w:rPr>
        <w:t xml:space="preserve">Otrzymują Wykonawcy </w:t>
      </w:r>
    </w:p>
    <w:p w:rsidR="00E0119E" w:rsidRPr="00E0119E" w:rsidRDefault="00E0119E" w:rsidP="00E0119E">
      <w:pPr>
        <w:spacing w:line="252" w:lineRule="auto"/>
        <w:rPr>
          <w:rFonts w:ascii="CG Omega" w:eastAsiaTheme="minorHAnsi" w:hAnsi="CG Omega" w:cstheme="minorBidi"/>
          <w:b/>
        </w:rPr>
      </w:pPr>
      <w:r w:rsidRPr="00E0119E">
        <w:rPr>
          <w:rFonts w:ascii="CG Omega" w:eastAsiaTheme="minorHAnsi" w:hAnsi="CG Omega" w:cstheme="minorBidi"/>
          <w:b/>
        </w:rPr>
        <w:t xml:space="preserve">  </w:t>
      </w:r>
      <w:r w:rsidRPr="00E0119E">
        <w:rPr>
          <w:rFonts w:ascii="CG Omega" w:eastAsiaTheme="minorHAnsi" w:hAnsi="CG Omega" w:cstheme="minorBidi"/>
          <w:b/>
        </w:rPr>
        <w:tab/>
      </w:r>
      <w:r w:rsidRPr="00E0119E">
        <w:rPr>
          <w:rFonts w:ascii="CG Omega" w:eastAsiaTheme="minorHAnsi" w:hAnsi="CG Omega" w:cstheme="minorBidi"/>
          <w:b/>
        </w:rPr>
        <w:tab/>
      </w:r>
      <w:r w:rsidRPr="00E0119E">
        <w:rPr>
          <w:rFonts w:ascii="CG Omega" w:eastAsiaTheme="minorHAnsi" w:hAnsi="CG Omega" w:cstheme="minorBidi"/>
          <w:b/>
        </w:rPr>
        <w:tab/>
      </w:r>
      <w:r w:rsidRPr="00E0119E">
        <w:rPr>
          <w:rFonts w:ascii="CG Omega" w:eastAsiaTheme="minorHAnsi" w:hAnsi="CG Omega" w:cstheme="minorBidi"/>
          <w:b/>
        </w:rPr>
        <w:tab/>
      </w:r>
      <w:r w:rsidRPr="00E0119E">
        <w:rPr>
          <w:rFonts w:ascii="CG Omega" w:eastAsiaTheme="minorHAnsi" w:hAnsi="CG Omega" w:cstheme="minorBidi"/>
          <w:b/>
        </w:rPr>
        <w:tab/>
      </w:r>
      <w:r w:rsidRPr="00E0119E">
        <w:rPr>
          <w:rFonts w:ascii="CG Omega" w:eastAsiaTheme="minorHAnsi" w:hAnsi="CG Omega" w:cstheme="minorBidi"/>
          <w:b/>
        </w:rPr>
        <w:tab/>
      </w:r>
      <w:r w:rsidRPr="00E0119E">
        <w:rPr>
          <w:rFonts w:ascii="CG Omega" w:eastAsiaTheme="minorHAnsi" w:hAnsi="CG Omega" w:cstheme="minorBidi"/>
          <w:b/>
        </w:rPr>
        <w:tab/>
        <w:t>biorący udział w postępowaniu</w:t>
      </w:r>
    </w:p>
    <w:p w:rsidR="00E0119E" w:rsidRPr="00E0119E" w:rsidRDefault="00E0119E" w:rsidP="00E0119E">
      <w:pPr>
        <w:autoSpaceDE w:val="0"/>
        <w:autoSpaceDN w:val="0"/>
        <w:adjustRightInd w:val="0"/>
        <w:jc w:val="center"/>
        <w:rPr>
          <w:rFonts w:ascii="CG Omega" w:eastAsia="Times New Roman" w:hAnsi="CG Omega" w:cs="Arial"/>
          <w:b/>
          <w:bCs/>
          <w:color w:val="000000"/>
          <w:lang w:eastAsia="pl-PL"/>
        </w:rPr>
      </w:pPr>
    </w:p>
    <w:p w:rsidR="00E0119E" w:rsidRPr="00E0119E" w:rsidRDefault="00E0119E" w:rsidP="00E0119E">
      <w:pPr>
        <w:autoSpaceDE w:val="0"/>
        <w:autoSpaceDN w:val="0"/>
        <w:adjustRightInd w:val="0"/>
        <w:jc w:val="center"/>
        <w:rPr>
          <w:rFonts w:ascii="CG Omega" w:eastAsia="Times New Roman" w:hAnsi="CG Omega" w:cs="Arial"/>
          <w:b/>
          <w:bCs/>
          <w:color w:val="000000"/>
          <w:lang w:eastAsia="pl-PL"/>
        </w:rPr>
      </w:pPr>
    </w:p>
    <w:p w:rsidR="00E0119E" w:rsidRPr="00E0119E" w:rsidRDefault="00E0119E" w:rsidP="00E0119E">
      <w:pPr>
        <w:shd w:val="clear" w:color="auto" w:fill="FFFFFF"/>
        <w:tabs>
          <w:tab w:val="left" w:pos="2055"/>
        </w:tabs>
        <w:suppressAutoHyphens/>
        <w:spacing w:after="120"/>
        <w:contextualSpacing/>
        <w:rPr>
          <w:rFonts w:ascii="CG Omega" w:eastAsia="Times New Roman" w:hAnsi="CG Omega"/>
          <w:b/>
        </w:rPr>
      </w:pPr>
      <w:r w:rsidRPr="00E0119E">
        <w:rPr>
          <w:rFonts w:ascii="CG Omega" w:eastAsia="Times New Roman" w:hAnsi="CG Omega"/>
          <w:lang w:eastAsia="pl-PL"/>
        </w:rPr>
        <w:t xml:space="preserve">Dotyczy: postępowania o udzielenie zamówienia publicznego na realizacje zamówienia </w:t>
      </w:r>
      <w:proofErr w:type="spellStart"/>
      <w:r w:rsidRPr="00E0119E">
        <w:rPr>
          <w:rFonts w:ascii="CG Omega" w:eastAsia="Times New Roman" w:hAnsi="CG Omega"/>
          <w:lang w:eastAsia="pl-PL"/>
        </w:rPr>
        <w:t>pn</w:t>
      </w:r>
      <w:proofErr w:type="spellEnd"/>
      <w:r w:rsidRPr="00E0119E">
        <w:rPr>
          <w:rFonts w:ascii="CG Omega" w:eastAsia="Times New Roman" w:hAnsi="CG Omega"/>
          <w:lang w:eastAsia="pl-PL"/>
        </w:rPr>
        <w:t xml:space="preserve">: </w:t>
      </w:r>
      <w:r w:rsidRPr="00E0119E">
        <w:rPr>
          <w:rFonts w:ascii="CG Omega" w:eastAsia="Times New Roman" w:hAnsi="CG Omega"/>
          <w:b/>
          <w:smallCaps/>
        </w:rPr>
        <w:t>„</w:t>
      </w:r>
      <w:r w:rsidRPr="00E0119E">
        <w:rPr>
          <w:rFonts w:ascii="CG Omega" w:eastAsia="Times New Roman" w:hAnsi="CG Omega"/>
          <w:b/>
        </w:rPr>
        <w:t>Modernizacja istniejącego na terenie Gminy Wiązownica oświetlenia, polegająca na wymianie opraw nieenergooszczędnych na nowe oprawy LED</w:t>
      </w:r>
      <w:r w:rsidRPr="00E0119E">
        <w:rPr>
          <w:rFonts w:ascii="CG Omega" w:eastAsia="Times New Roman" w:hAnsi="CG Omega"/>
          <w:b/>
          <w:smallCaps/>
        </w:rPr>
        <w:t>”</w:t>
      </w:r>
    </w:p>
    <w:p w:rsidR="00E0119E" w:rsidRPr="00E0119E" w:rsidRDefault="00E0119E" w:rsidP="00E0119E">
      <w:pPr>
        <w:spacing w:line="276" w:lineRule="auto"/>
        <w:jc w:val="both"/>
        <w:rPr>
          <w:rFonts w:ascii="CG Omega" w:hAnsi="CG Omega"/>
          <w:lang w:eastAsia="pl-PL"/>
        </w:rPr>
      </w:pPr>
    </w:p>
    <w:p w:rsidR="00E0119E" w:rsidRPr="00E0119E" w:rsidRDefault="00E0119E" w:rsidP="00E0119E">
      <w:pPr>
        <w:spacing w:before="100" w:beforeAutospacing="1" w:after="100" w:afterAutospacing="1"/>
        <w:ind w:firstLine="708"/>
        <w:jc w:val="both"/>
        <w:rPr>
          <w:rFonts w:ascii="CG Omega" w:hAnsi="CG Omega"/>
          <w:lang w:eastAsia="pl-PL"/>
        </w:rPr>
      </w:pPr>
      <w:r w:rsidRPr="00E0119E">
        <w:rPr>
          <w:rFonts w:ascii="CG Omega" w:hAnsi="CG Omega"/>
          <w:lang w:eastAsia="pl-PL"/>
        </w:rPr>
        <w:t xml:space="preserve">Zamawiający działając na podstawie art. 135 oraz art. 138 ustawy z dnia 11 września 2019r. Prawo zamówień publicznych </w:t>
      </w:r>
      <w:r w:rsidRPr="00E0119E">
        <w:rPr>
          <w:rFonts w:ascii="CG Omega" w:hAnsi="CG Omega"/>
          <w:b/>
          <w:lang w:eastAsia="pl-PL"/>
        </w:rPr>
        <w:t>(</w:t>
      </w:r>
      <w:r w:rsidRPr="00E0119E">
        <w:rPr>
          <w:rFonts w:ascii="CG Omega" w:hAnsi="CG Omega" w:cs="Arial"/>
          <w:bCs/>
          <w:lang w:eastAsia="pl-PL"/>
        </w:rPr>
        <w:t>Dz. U. z 2023 r. poz. 1605, 1720 ze zmianami)</w:t>
      </w:r>
      <w:r w:rsidRPr="00E0119E">
        <w:rPr>
          <w:rFonts w:ascii="CG Omega" w:hAnsi="CG Omega" w:cs="Arial"/>
          <w:b/>
          <w:bCs/>
          <w:lang w:eastAsia="pl-PL"/>
        </w:rPr>
        <w:t xml:space="preserve"> </w:t>
      </w:r>
      <w:r w:rsidRPr="00E0119E">
        <w:rPr>
          <w:rFonts w:ascii="CG Omega" w:hAnsi="CG Omega"/>
          <w:lang w:eastAsia="pl-PL"/>
        </w:rPr>
        <w:t>– dalej ustawy Pzp) udziela odpowiedzi na zadane pytania:</w:t>
      </w:r>
    </w:p>
    <w:p w:rsidR="008B7663" w:rsidRDefault="008B7663" w:rsidP="008B7663">
      <w:pPr>
        <w:jc w:val="both"/>
      </w:pPr>
    </w:p>
    <w:p w:rsidR="0053486D" w:rsidRPr="0053486D" w:rsidRDefault="00E0119E" w:rsidP="00E0119E">
      <w:pPr>
        <w:jc w:val="both"/>
        <w:rPr>
          <w:rFonts w:ascii="CG Omega" w:hAnsi="CG Omega"/>
        </w:rPr>
      </w:pPr>
      <w:r w:rsidRPr="0053486D">
        <w:rPr>
          <w:rFonts w:ascii="CG Omega" w:hAnsi="CG Omega"/>
          <w:b/>
        </w:rPr>
        <w:t>Pytanie nr 1)</w:t>
      </w:r>
      <w:r w:rsidR="0053486D" w:rsidRPr="0053486D">
        <w:rPr>
          <w:rFonts w:ascii="CG Omega" w:hAnsi="CG Omega"/>
          <w:b/>
        </w:rPr>
        <w:t xml:space="preserve"> </w:t>
      </w:r>
      <w:r w:rsidR="0053486D" w:rsidRPr="0053486D">
        <w:rPr>
          <w:rFonts w:ascii="CG Omega" w:hAnsi="CG Omega"/>
        </w:rPr>
        <w:t xml:space="preserve">W związku z ogłoszonym przetargiem na zakup i montaż opraw drogowych </w:t>
      </w:r>
      <w:r w:rsidR="0053486D">
        <w:rPr>
          <w:rFonts w:ascii="CG Omega" w:hAnsi="CG Omega"/>
        </w:rPr>
        <w:t xml:space="preserve">                 </w:t>
      </w:r>
      <w:r w:rsidR="0053486D" w:rsidRPr="0053486D">
        <w:rPr>
          <w:rFonts w:ascii="CG Omega" w:hAnsi="CG Omega"/>
        </w:rPr>
        <w:t>i parkowych, chcielibyśmy zwrócić uwagę na zapis dotyczący konieczności zakupu wszystkich opraw od jednego producenta. Jesteśmy przekonani, że taka regulacja może ograniczyć naszą możliwość wyboru odpowiednich produktów oraz wpłynąć negatywnie na koszty wykonania inwestycji.</w:t>
      </w:r>
    </w:p>
    <w:p w:rsidR="008B7663" w:rsidRPr="0053486D" w:rsidRDefault="0053486D" w:rsidP="00E0119E">
      <w:pPr>
        <w:jc w:val="both"/>
        <w:rPr>
          <w:rFonts w:ascii="CG Omega" w:hAnsi="CG Omega"/>
        </w:rPr>
      </w:pPr>
      <w:r w:rsidRPr="0053486D">
        <w:rPr>
          <w:rFonts w:ascii="CG Omega" w:hAnsi="CG Omega"/>
        </w:rPr>
        <w:t xml:space="preserve">Nasza firma specjalizuje się w dostarczaniu opraw oświetleniowych najwyższej jakości, </w:t>
      </w:r>
      <w:r>
        <w:rPr>
          <w:rFonts w:ascii="CG Omega" w:hAnsi="CG Omega"/>
        </w:rPr>
        <w:t xml:space="preserve">                   </w:t>
      </w:r>
      <w:r w:rsidRPr="0053486D">
        <w:rPr>
          <w:rFonts w:ascii="CG Omega" w:hAnsi="CG Omega"/>
        </w:rPr>
        <w:t>a posiadane przez nas produkty spełniają wszelkie normy bezpieczeństwa i jakości. Dlatego zwracamy się z prośbą o odstąpienie od wymogu zakupu wszystkich opraw od jednego producenta, co umożliwi nam wybór najlepszych rozwiązań dla Państwa gminy.</w:t>
      </w:r>
      <w:r w:rsidR="008B7663" w:rsidRPr="0053486D">
        <w:rPr>
          <w:rFonts w:ascii="CG Omega" w:hAnsi="CG Omega"/>
        </w:rPr>
        <w:t xml:space="preserve"> </w:t>
      </w:r>
    </w:p>
    <w:p w:rsidR="00E0119E" w:rsidRPr="0053486D" w:rsidRDefault="00E0119E" w:rsidP="00E0119E">
      <w:pPr>
        <w:jc w:val="both"/>
        <w:rPr>
          <w:rFonts w:ascii="CG Omega" w:eastAsia="Times New Roman" w:hAnsi="CG Omega"/>
          <w:b/>
          <w:lang w:eastAsia="pl-PL"/>
        </w:rPr>
      </w:pPr>
      <w:r w:rsidRPr="0053486D">
        <w:rPr>
          <w:rFonts w:ascii="CG Omega" w:eastAsia="Times New Roman" w:hAnsi="CG Omega"/>
          <w:b/>
          <w:lang w:eastAsia="pl-PL"/>
        </w:rPr>
        <w:t>Odpowiedź:</w:t>
      </w:r>
    </w:p>
    <w:p w:rsidR="008B7663" w:rsidRDefault="0053486D" w:rsidP="00E0119E">
      <w:pPr>
        <w:jc w:val="both"/>
        <w:rPr>
          <w:rFonts w:ascii="CG Omega" w:hAnsi="CG Omega"/>
        </w:rPr>
      </w:pPr>
      <w:r>
        <w:rPr>
          <w:rFonts w:ascii="CG Omega" w:hAnsi="CG Omega"/>
        </w:rPr>
        <w:t>Zamawiający pozostawia zapisy w dokumentacji przetargowej bez zmian.</w:t>
      </w:r>
    </w:p>
    <w:p w:rsidR="0053486D" w:rsidRDefault="0053486D" w:rsidP="00E0119E">
      <w:pPr>
        <w:jc w:val="both"/>
        <w:rPr>
          <w:rFonts w:ascii="CG Omega" w:hAnsi="CG Omega"/>
        </w:rPr>
      </w:pPr>
      <w:r>
        <w:rPr>
          <w:rFonts w:ascii="CG Omega" w:hAnsi="CG Omega"/>
        </w:rPr>
        <w:t xml:space="preserve">Kwestionowany  zapis  w żaden sposób nie prowadzi do </w:t>
      </w:r>
      <w:r w:rsidR="00C919E5">
        <w:rPr>
          <w:rFonts w:ascii="CG Omega" w:hAnsi="CG Omega"/>
        </w:rPr>
        <w:t xml:space="preserve">nadmiernego </w:t>
      </w:r>
      <w:r>
        <w:rPr>
          <w:rFonts w:ascii="CG Omega" w:hAnsi="CG Omega"/>
        </w:rPr>
        <w:t>ograniczenia konkurencyjności czy nierównego taktowania wykonawców. Na rynku  istnieje wiele firm produkujących oprawy oświetleniowe o parametrach wskazanych w opisie przedmiotu zamówienia.</w:t>
      </w:r>
    </w:p>
    <w:p w:rsidR="00C919E5" w:rsidRPr="0053486D" w:rsidRDefault="00C919E5" w:rsidP="00E0119E">
      <w:pPr>
        <w:jc w:val="both"/>
        <w:rPr>
          <w:rFonts w:ascii="CG Omega" w:hAnsi="CG Omega"/>
        </w:rPr>
      </w:pPr>
      <w:r>
        <w:rPr>
          <w:rFonts w:ascii="CG Omega" w:hAnsi="CG Omega"/>
        </w:rPr>
        <w:t xml:space="preserve">Wymóg  dostawy wybranego w postępowaniu przetargowym, zgodnego z opisem przedmiotu zamówienia produktu od jednego producenta jest podyktowany   ujednoliceniem  i zachowaniem walorów estetycznych poszczególnych elementów oświetleniowych w obrębie całej gminy.  </w:t>
      </w:r>
    </w:p>
    <w:p w:rsidR="008B7663" w:rsidRDefault="008B7663" w:rsidP="003941A3">
      <w:pPr>
        <w:jc w:val="both"/>
      </w:pPr>
    </w:p>
    <w:p w:rsidR="000B12C6" w:rsidRPr="000B12C6" w:rsidRDefault="000B12C6" w:rsidP="000B12C6">
      <w:pPr>
        <w:spacing w:after="160" w:line="259" w:lineRule="auto"/>
        <w:rPr>
          <w:rFonts w:ascii="CG Omega" w:eastAsiaTheme="minorHAnsi" w:hAnsi="CG Omega" w:cstheme="minorBidi"/>
        </w:rPr>
      </w:pPr>
    </w:p>
    <w:p w:rsidR="000B12C6" w:rsidRPr="000B12C6" w:rsidRDefault="000B12C6" w:rsidP="000B12C6">
      <w:pPr>
        <w:spacing w:after="160" w:line="259" w:lineRule="auto"/>
        <w:rPr>
          <w:rFonts w:ascii="CG Omega" w:eastAsiaTheme="minorHAnsi" w:hAnsi="CG Omega" w:cstheme="minorBidi"/>
        </w:rPr>
      </w:pPr>
    </w:p>
    <w:p w:rsidR="000B12C6" w:rsidRPr="000B12C6" w:rsidRDefault="000B12C6" w:rsidP="000B12C6">
      <w:pPr>
        <w:ind w:left="3538" w:firstLine="709"/>
        <w:rPr>
          <w:rFonts w:ascii="CG Omega" w:eastAsiaTheme="minorHAnsi" w:hAnsi="CG Omega" w:cstheme="minorBidi"/>
          <w:b/>
        </w:rPr>
      </w:pPr>
      <w:r w:rsidRPr="000B12C6">
        <w:rPr>
          <w:rFonts w:ascii="CG Omega" w:eastAsiaTheme="minorHAnsi" w:hAnsi="CG Omega" w:cstheme="minorBidi"/>
          <w:b/>
        </w:rPr>
        <w:t xml:space="preserve">         Wójt Gminy Wiązownica</w:t>
      </w:r>
    </w:p>
    <w:p w:rsidR="000B12C6" w:rsidRPr="000B12C6" w:rsidRDefault="000B12C6" w:rsidP="000B12C6">
      <w:pPr>
        <w:ind w:left="3538" w:firstLine="709"/>
        <w:rPr>
          <w:rFonts w:ascii="CG Omega" w:eastAsiaTheme="minorHAnsi" w:hAnsi="CG Omega" w:cstheme="minorBidi"/>
          <w:b/>
        </w:rPr>
      </w:pPr>
      <w:r w:rsidRPr="000B12C6">
        <w:rPr>
          <w:rFonts w:ascii="CG Omega" w:eastAsiaTheme="minorHAnsi" w:hAnsi="CG Omega" w:cstheme="minorBidi"/>
          <w:b/>
        </w:rPr>
        <w:t xml:space="preserve">                   Krzysztof Strent</w:t>
      </w:r>
    </w:p>
    <w:p w:rsidR="000B12C6" w:rsidRPr="000B12C6" w:rsidRDefault="000B12C6" w:rsidP="000B12C6">
      <w:pPr>
        <w:spacing w:after="160" w:line="256" w:lineRule="auto"/>
        <w:ind w:right="-711"/>
        <w:rPr>
          <w:rFonts w:ascii="CG Omega" w:eastAsiaTheme="minorHAnsi" w:hAnsi="CG Omega" w:cstheme="minorBidi"/>
          <w:b/>
        </w:rPr>
      </w:pPr>
    </w:p>
    <w:p w:rsidR="000B12C6" w:rsidRPr="000B12C6" w:rsidRDefault="000B12C6" w:rsidP="000B12C6">
      <w:pPr>
        <w:spacing w:after="160" w:line="256" w:lineRule="auto"/>
        <w:ind w:right="-711"/>
        <w:rPr>
          <w:rFonts w:ascii="CG Omega" w:eastAsiaTheme="minorHAnsi" w:hAnsi="CG Omega" w:cstheme="minorBidi"/>
          <w:b/>
          <w:u w:val="single"/>
        </w:rPr>
      </w:pPr>
      <w:r w:rsidRPr="000B12C6">
        <w:rPr>
          <w:rFonts w:ascii="CG Omega" w:eastAsiaTheme="minorHAnsi" w:hAnsi="CG Omega" w:cstheme="minorBidi"/>
          <w:b/>
          <w:u w:val="single"/>
        </w:rPr>
        <w:t xml:space="preserve">Otrzymują: </w:t>
      </w:r>
    </w:p>
    <w:p w:rsidR="000B12C6" w:rsidRPr="000B12C6" w:rsidRDefault="000B12C6" w:rsidP="000B12C6">
      <w:pPr>
        <w:ind w:right="-709"/>
        <w:rPr>
          <w:rFonts w:ascii="CG Omega" w:eastAsiaTheme="minorHAnsi" w:hAnsi="CG Omega" w:cstheme="minorBidi"/>
        </w:rPr>
      </w:pPr>
      <w:r w:rsidRPr="000B12C6">
        <w:rPr>
          <w:rFonts w:ascii="CG Omega" w:eastAsiaTheme="minorHAnsi" w:hAnsi="CG Omega" w:cstheme="minorBidi"/>
        </w:rPr>
        <w:t xml:space="preserve">1. Wykonawcy biorący udział w postępowaniu.                                                                                      </w:t>
      </w:r>
    </w:p>
    <w:p w:rsidR="000B12C6" w:rsidRPr="000B12C6" w:rsidRDefault="000B12C6" w:rsidP="000B12C6">
      <w:pPr>
        <w:ind w:right="-709"/>
        <w:rPr>
          <w:rFonts w:ascii="CG Omega" w:eastAsiaTheme="minorHAnsi" w:hAnsi="CG Omega" w:cstheme="minorBidi"/>
        </w:rPr>
      </w:pPr>
      <w:r w:rsidRPr="000B12C6">
        <w:rPr>
          <w:rFonts w:ascii="CG Omega" w:eastAsiaTheme="minorHAnsi" w:hAnsi="CG Omega" w:cstheme="minorBidi"/>
        </w:rPr>
        <w:t>2. Strona internetowa prowadzonego postępowania.                                                                                                                                       3. a/a</w:t>
      </w:r>
    </w:p>
    <w:p w:rsidR="000B12C6" w:rsidRPr="00847D85" w:rsidRDefault="000B12C6" w:rsidP="00995260">
      <w:pPr>
        <w:jc w:val="both"/>
        <w:rPr>
          <w:rFonts w:ascii="CG Omega" w:hAnsi="CG Omega"/>
        </w:rPr>
      </w:pPr>
    </w:p>
    <w:p w:rsidR="00784219" w:rsidRPr="007567C0" w:rsidRDefault="005446CF">
      <w:pPr>
        <w:rPr>
          <w:rFonts w:ascii="CG Omega" w:hAnsi="CG Omega"/>
        </w:rPr>
      </w:pPr>
    </w:p>
    <w:sectPr w:rsidR="00784219" w:rsidRPr="007567C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6CF" w:rsidRDefault="005446CF" w:rsidP="00E0119E">
      <w:r>
        <w:separator/>
      </w:r>
    </w:p>
  </w:endnote>
  <w:endnote w:type="continuationSeparator" w:id="0">
    <w:p w:rsidR="005446CF" w:rsidRDefault="005446CF" w:rsidP="00E0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G Omega">
    <w:panose1 w:val="020B0502050508020304"/>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6CF" w:rsidRDefault="005446CF" w:rsidP="00E0119E">
      <w:r>
        <w:separator/>
      </w:r>
    </w:p>
  </w:footnote>
  <w:footnote w:type="continuationSeparator" w:id="0">
    <w:p w:rsidR="005446CF" w:rsidRDefault="005446CF" w:rsidP="00E01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9E" w:rsidRDefault="00E0119E">
    <w:pPr>
      <w:pStyle w:val="Nagwek"/>
    </w:pPr>
    <w:bookmarkStart w:id="1" w:name="_Hlk107392594"/>
    <w:r w:rsidRPr="00FC4D20">
      <w:rPr>
        <w:noProof/>
        <w:lang w:eastAsia="pl-PL"/>
      </w:rPr>
      <w:drawing>
        <wp:inline distT="0" distB="0" distL="0" distR="0" wp14:anchorId="6B1F58BA" wp14:editId="2C9BC664">
          <wp:extent cx="5759450" cy="661597"/>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ski lad.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61597"/>
                  </a:xfrm>
                  <a:prstGeom prst="rect">
                    <a:avLst/>
                  </a:prstGeom>
                </pic:spPr>
              </pic:pic>
            </a:graphicData>
          </a:graphic>
        </wp:inline>
      </w:drawing>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F249D"/>
    <w:multiLevelType w:val="hybridMultilevel"/>
    <w:tmpl w:val="8BACB640"/>
    <w:lvl w:ilvl="0" w:tplc="3C3E7E9C">
      <w:start w:val="1"/>
      <w:numFmt w:val="decimal"/>
      <w:lvlText w:val="%1."/>
      <w:lvlJc w:val="left"/>
      <w:pPr>
        <w:ind w:left="1500" w:hanging="390"/>
      </w:pPr>
      <w:rPr>
        <w:rFonts w:hint="default"/>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05"/>
    <w:rsid w:val="000B12C6"/>
    <w:rsid w:val="00171EE0"/>
    <w:rsid w:val="003941A3"/>
    <w:rsid w:val="0053486D"/>
    <w:rsid w:val="005446CF"/>
    <w:rsid w:val="005B2478"/>
    <w:rsid w:val="007567C0"/>
    <w:rsid w:val="00847D85"/>
    <w:rsid w:val="008B7663"/>
    <w:rsid w:val="00983605"/>
    <w:rsid w:val="00995260"/>
    <w:rsid w:val="00A53AEB"/>
    <w:rsid w:val="00C919E5"/>
    <w:rsid w:val="00DA485A"/>
    <w:rsid w:val="00E011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EB427-4011-427B-9344-C663B414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7663"/>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7663"/>
    <w:pPr>
      <w:ind w:left="720"/>
      <w:contextualSpacing/>
    </w:pPr>
  </w:style>
  <w:style w:type="paragraph" w:styleId="Nagwek">
    <w:name w:val="header"/>
    <w:basedOn w:val="Normalny"/>
    <w:link w:val="NagwekZnak"/>
    <w:uiPriority w:val="99"/>
    <w:unhideWhenUsed/>
    <w:rsid w:val="00E0119E"/>
    <w:pPr>
      <w:tabs>
        <w:tab w:val="center" w:pos="4536"/>
        <w:tab w:val="right" w:pos="9072"/>
      </w:tabs>
    </w:pPr>
  </w:style>
  <w:style w:type="character" w:customStyle="1" w:styleId="NagwekZnak">
    <w:name w:val="Nagłówek Znak"/>
    <w:basedOn w:val="Domylnaczcionkaakapitu"/>
    <w:link w:val="Nagwek"/>
    <w:uiPriority w:val="99"/>
    <w:rsid w:val="00E0119E"/>
    <w:rPr>
      <w:rFonts w:ascii="Calibri" w:eastAsia="Calibri" w:hAnsi="Calibri" w:cs="Times New Roman"/>
    </w:rPr>
  </w:style>
  <w:style w:type="paragraph" w:styleId="Stopka">
    <w:name w:val="footer"/>
    <w:basedOn w:val="Normalny"/>
    <w:link w:val="StopkaZnak"/>
    <w:uiPriority w:val="99"/>
    <w:unhideWhenUsed/>
    <w:rsid w:val="00E0119E"/>
    <w:pPr>
      <w:tabs>
        <w:tab w:val="center" w:pos="4536"/>
        <w:tab w:val="right" w:pos="9072"/>
      </w:tabs>
    </w:pPr>
  </w:style>
  <w:style w:type="character" w:customStyle="1" w:styleId="StopkaZnak">
    <w:name w:val="Stopka Znak"/>
    <w:basedOn w:val="Domylnaczcionkaakapitu"/>
    <w:link w:val="Stopka"/>
    <w:uiPriority w:val="99"/>
    <w:rsid w:val="00E0119E"/>
    <w:rPr>
      <w:rFonts w:ascii="Calibri" w:eastAsia="Calibri" w:hAnsi="Calibri" w:cs="Times New Roman"/>
    </w:rPr>
  </w:style>
  <w:style w:type="paragraph" w:styleId="Tekstdymka">
    <w:name w:val="Balloon Text"/>
    <w:basedOn w:val="Normalny"/>
    <w:link w:val="TekstdymkaZnak"/>
    <w:uiPriority w:val="99"/>
    <w:semiHidden/>
    <w:unhideWhenUsed/>
    <w:rsid w:val="003941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41A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329</Words>
  <Characters>1978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8</cp:revision>
  <cp:lastPrinted>2024-09-17T08:00:00Z</cp:lastPrinted>
  <dcterms:created xsi:type="dcterms:W3CDTF">2024-09-16T09:42:00Z</dcterms:created>
  <dcterms:modified xsi:type="dcterms:W3CDTF">2024-09-17T08:00:00Z</dcterms:modified>
</cp:coreProperties>
</file>