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</w:rPr>
      </w:pPr>
      <w:r>
        <w:rPr/>
        <w:t>znak: Rz.271.</w:t>
      </w:r>
      <w:r>
        <w:rPr/>
        <w:t>22</w:t>
      </w:r>
      <w:r>
        <w:rPr/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</w:rPr>
      </w:pPr>
      <w:r>
        <w:rPr/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</w:rPr>
      </w:pPr>
      <w:r>
        <w:rPr>
          <w:b w:val="false"/>
          <w:bCs w:val="fals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</w:rPr>
      </w:pPr>
      <w:r>
        <w:rPr/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</w:rPr>
      </w:pPr>
      <w:r>
        <w:rPr>
          <w:sz w:val="26"/>
          <w:szCs w:val="26"/>
        </w:rPr>
        <w:t>F</w:t>
      </w:r>
      <w:r>
        <w:rPr>
          <w:sz w:val="26"/>
          <w:szCs w:val="26"/>
        </w:rPr>
        <w:t>ORMULARZ OFERTY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sz w:val="22"/>
          <w:szCs w:val="22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ofertowa brutto za dzienn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stawk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 dowóz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uczniów niepełnosprawnych na trasie z miejsca zamieszkania tj. Legionowo do szkół </w:t>
      </w:r>
      <w:r>
        <w:rPr>
          <w:rFonts w:ascii="Arial" w:hAnsi="Arial"/>
          <w:sz w:val="22"/>
          <w:szCs w:val="22"/>
        </w:rPr>
        <w:t xml:space="preserve">i placówek oświatowych </w:t>
      </w:r>
      <w:r>
        <w:rPr>
          <w:rFonts w:ascii="Arial" w:hAnsi="Arial"/>
          <w:sz w:val="22"/>
          <w:szCs w:val="22"/>
        </w:rPr>
        <w:t>na terenie Legionowa oraz droga powrotna, z możliwością zwiększenia liczby maksymalnie o 2 uczniów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27.75pt" type="#shapetype_75"/>
          <w:control r:id="rId7" w:name="Pole tekstowe: Cena ofertowa słownie" w:shapeid="control_shape_5"/>
        </w:object>
      </w:r>
    </w:p>
    <w:p>
      <w:pPr>
        <w:pStyle w:val="Sekcjazacznika"/>
        <w:numPr>
          <w:ilvl w:val="0"/>
          <w:numId w:val="0"/>
        </w:numPr>
        <w:shd w:fill="000000" w:val="clear"/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y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czas 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8.4pt;height:12.7pt" type="#shapetype_75"/>
          <w:control r:id="rId8" w:name="Pole wyboru 1" w:shapeid="control_shape_6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7" style="width:8.4pt;height:12.7pt" type="#shapetype_75"/>
          <w:control r:id="rId9" w:name="Pole wyboru 1" w:shapeid="control_shape_7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style="width:8.4pt;height:12.7pt" type="#shapetype_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9" style="width:11.85pt;height:13.45pt" type="#shapetype_75"/>
          <w:control r:id="rId11" w:name="Pole wyboru 1" w:shapeid="control_shape_9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od 1 września 2021 roku do końca zajęć dydaktyczno-wychowawczych tj. 24 czerwca 2022 roku w dni nauki zgodnie z organizacją roku szkolnego.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wraz z zapewnieniem opieki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81.85pt;height:19.8pt" type="#shapetype_75"/>
          <w:control r:id="rId12" w:name="Pole tekstowe: Forma wniesienia wadium" w:shapeid="control_shape_10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1" style="width:283.4pt;height:19.8pt" type="#shapetype_75"/>
          <w:control r:id="rId13" w:name="Pole tekstowe: Kwota wadium" w:shapeid="control_shape_11"/>
        </w:objec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style="width:481.85pt;height:19.8pt" type="#shapetype_75"/>
          <w:control r:id="rId14" w:name="Pole tekstowe: Nr rachunku bankowego" w:shapeid="control_shape_12"/>
        </w:objec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3" style="width:8.4pt;height:12.7pt" type="#shapetype_75"/>
          <w:control r:id="rId15" w:name="Pole wyboru: Wyrażamy" w:shapeid="control_shape_13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4" style="width:8.4pt;height:12.7pt" type="#shapetype_75"/>
          <w:control r:id="rId16" w:name="Pole wyboru: Nie wyrażamy" w:shapeid="control_shape_14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5" style="width:283.4pt;height:19.8pt" type="#shapetype_75"/>
          <w:control r:id="rId17" w:name="Pole tekstowe: Adres poczty elektronicznej" w:shapeid="control_shape_15"/>
        </w:objec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6" style="width:213.55pt;height:19.8pt" type="#shapetype_75"/>
          <w:control r:id="rId18" w:name="Pole tekstowe: Adres poczty elektronicznej" w:shapeid="control_shape_16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7" style="width:90.8pt;height:19.8pt" type="#shapetype_75"/>
          <w:control r:id="rId19" w:name="Pole tekstowe: nr telefonu" w:shapeid="control_shape_17"/>
        </w:object>
      </w:r>
    </w:p>
    <w:p>
      <w:pPr>
        <w:pStyle w:val="Tretekstu"/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2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bidi w:val="0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Segoe UI">
    <w:charset w:val="ee" w:characterSet="windows-125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haracter20style">
    <w:name w:val="Character_20_style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aaaa">
    <w:name w:val="aaaaa"/>
    <w:qFormat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LibreOffice/7.1.2.2$Windows_X86_64 LibreOffice_project/8a45595d069ef5570103caea1b71cc9d82b2aae4</Application>
  <AppVersion>15.0000</AppVersion>
  <Pages>3</Pages>
  <Words>755</Words>
  <Characters>4940</Characters>
  <CharactersWithSpaces>5649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2021-07-28T08:25:24Z</dcterms:created>
  <dc:creator/>
  <dc:description/>
  <dc:language>pl-PL</dc:language>
  <cp:lastModifiedBy/>
  <dcterms:modified xsi:type="dcterms:W3CDTF">2021-07-28T09:13:53Z</dcterms:modified>
  <cp:revision>1</cp:revision>
  <dc:subject/>
  <dc:title/>
</cp:coreProperties>
</file>