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4A6" w:rsidRPr="00C444A6" w:rsidRDefault="00C444A6" w:rsidP="00C444A6">
      <w:pPr>
        <w:jc w:val="right"/>
        <w:rPr>
          <w:b/>
        </w:rPr>
      </w:pPr>
      <w:r w:rsidRPr="00C444A6">
        <w:rPr>
          <w:b/>
        </w:rPr>
        <w:t>ZP 27/24</w:t>
      </w:r>
    </w:p>
    <w:p w:rsidR="00C444A6" w:rsidRDefault="00C444A6">
      <w:pPr>
        <w:rPr>
          <w:b/>
          <w:i/>
        </w:rPr>
      </w:pPr>
    </w:p>
    <w:p w:rsidR="00C66CBB" w:rsidRPr="00C444A6" w:rsidRDefault="00C66CBB">
      <w:pPr>
        <w:rPr>
          <w:b/>
          <w:i/>
        </w:rPr>
      </w:pPr>
      <w:r w:rsidRPr="00C444A6">
        <w:rPr>
          <w:b/>
          <w:i/>
        </w:rPr>
        <w:t>Parametry g</w:t>
      </w:r>
      <w:r w:rsidR="00C444A6" w:rsidRPr="00C444A6">
        <w:rPr>
          <w:b/>
          <w:i/>
        </w:rPr>
        <w:t>ra</w:t>
      </w:r>
      <w:r w:rsidRPr="00C444A6">
        <w:rPr>
          <w:b/>
          <w:i/>
        </w:rPr>
        <w:t>niczne</w:t>
      </w:r>
    </w:p>
    <w:tbl>
      <w:tblPr>
        <w:tblW w:w="10458" w:type="dxa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9"/>
        <w:gridCol w:w="3159"/>
      </w:tblGrid>
      <w:tr w:rsidR="00C66CBB" w:rsidTr="00C444A6">
        <w:trPr>
          <w:trHeight w:val="391"/>
        </w:trPr>
        <w:tc>
          <w:tcPr>
            <w:tcW w:w="7299" w:type="dxa"/>
            <w:shd w:val="clear" w:color="auto" w:fill="CCCCCC"/>
            <w:vAlign w:val="center"/>
          </w:tcPr>
          <w:p w:rsidR="00C66CBB" w:rsidRDefault="00C66CBB" w:rsidP="00C561A7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3159" w:type="dxa"/>
            <w:shd w:val="clear" w:color="auto" w:fill="CCCCCC"/>
          </w:tcPr>
          <w:p w:rsidR="00C66CBB" w:rsidRDefault="00C66CBB" w:rsidP="00C561A7">
            <w:pPr>
              <w:snapToGrid w:val="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Potwierdzenie / opis Wykonawcy</w:t>
            </w: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 xml:space="preserve">Analizator do wieloparametrowego PCR (Multipleks PCR) w systemie zamkniętym i w pełni zautomatyzowanym. 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System zapewniający  zintegrowaną izolację kwasów nukleinowych, amplifikację i detekcję w jednym procesie bez konieczności przenoszenia próbki w obrębie aparatu i/lub do innych urządzeń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Odczynniki gotowe do użycia ze skrócona do minimum preparatyką przed analityczna, stanowiące zamknięty układ reakcyjny, zabezpieczone przed uszkodzeniami i kontaminacją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93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Możliwość wykonywania pojedynczej próbki bez straty odczynników;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Możliwość przeprowadzenia badania bezpośrednio z próbki pobranej od pacjenta  lub dodatniego posiewu krwi bez wstępnej ekstrakcji kwasów nukleinowych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Panele testowe posiadają 2 zintegrowane kontrole wewnętrzne monitorujące poprawność wykonania oznaczenia na każdym jego etapie, bez konieczności ich odrębnego dodawania.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Maksymalny czas analizy &lt; 70 minut;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Czas pracy manualnej przy przygotowaniu oznaczenia &lt; 5 minut;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Analizator podłączony do LIS, wysyłający wyniki przeprowadzanych badań w sposób jednostronny.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Kompletny zestaw zawierający: aparat z zestawem komputerowym z oprogramowaniem do analizatora, czytniki kodów kreskowych do identyfikacji odczynników oraz UPS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Dołączona stacja robocza do przygotowywania próbek, ułatwiająca prace manualną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Oprogramowanie automatycznie ustala wynik i generuje raport na podstawie oceny produktów reakcji PCR metodą denaturacji DNA.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System nie wymagający posiadania i spełniania kryteriów dla Pracowni Biologii Molekularnej;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Zestaw do wykrywania patogenów z płynu mózgowo-rdzeniowego: Escherichia coli K1, Haemophilus influenzae, Listeria monocytogenes, Neisseria meningitidis, Streptococcus agalactiae, Streptococcus pneumoniae, Cytomegalovirus (CMV), Cryptoccocus neoformans/Gatti, Enterowirus, Herpex simplex virus 1 (HSV-1), Herpes simplex virus 2 (HSV-2), Human herpesvirus 6 (HHV-6), Human parechovirus, Varicella zoster virus (VZV)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Minimalny termin ważności odczynników: 8 miesięcy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CBB" w:rsidTr="00C444A6">
        <w:trPr>
          <w:trHeight w:val="327"/>
        </w:trPr>
        <w:tc>
          <w:tcPr>
            <w:tcW w:w="7299" w:type="dxa"/>
            <w:shd w:val="clear" w:color="auto" w:fill="auto"/>
            <w:vAlign w:val="center"/>
          </w:tcPr>
          <w:p w:rsidR="00C66CBB" w:rsidRDefault="00C66CBB" w:rsidP="00C561A7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2CB7">
              <w:rPr>
                <w:rFonts w:ascii="Arial" w:hAnsi="Arial" w:cs="Arial"/>
                <w:color w:val="000000"/>
                <w:sz w:val="20"/>
                <w:szCs w:val="20"/>
              </w:rPr>
              <w:t>Dostawa odczynników zapewniona w ciągu maksymalnie 5 dni roboczych.</w:t>
            </w:r>
          </w:p>
        </w:tc>
        <w:tc>
          <w:tcPr>
            <w:tcW w:w="3159" w:type="dxa"/>
            <w:shd w:val="clear" w:color="auto" w:fill="auto"/>
          </w:tcPr>
          <w:p w:rsidR="00C66CBB" w:rsidRDefault="00C66CBB" w:rsidP="00C561A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44A6" w:rsidRDefault="00C444A6"/>
    <w:p w:rsidR="00C444A6" w:rsidRDefault="00C444A6"/>
    <w:p w:rsidR="00C444A6" w:rsidRDefault="00C444A6"/>
    <w:p w:rsidR="00C66CBB" w:rsidRPr="00C444A6" w:rsidRDefault="00C66CBB">
      <w:pPr>
        <w:rPr>
          <w:b/>
          <w:i/>
        </w:rPr>
      </w:pPr>
      <w:r w:rsidRPr="00C444A6">
        <w:rPr>
          <w:b/>
          <w:i/>
        </w:rPr>
        <w:t>Parametry oceniane</w:t>
      </w:r>
    </w:p>
    <w:tbl>
      <w:tblPr>
        <w:tblW w:w="10431" w:type="dxa"/>
        <w:tblInd w:w="-2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4705"/>
        <w:gridCol w:w="2142"/>
        <w:gridCol w:w="3134"/>
      </w:tblGrid>
      <w:tr w:rsidR="00C66CBB" w:rsidRPr="00C66CBB" w:rsidTr="00C444A6">
        <w:trPr>
          <w:trHeight w:val="319"/>
        </w:trPr>
        <w:tc>
          <w:tcPr>
            <w:tcW w:w="515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66CBB" w:rsidRPr="00C66CBB" w:rsidRDefault="00C66CBB" w:rsidP="00C66CBB">
            <w:pPr>
              <w:snapToGrid w:val="0"/>
              <w:jc w:val="center"/>
            </w:pPr>
            <w:r w:rsidRPr="00C66C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Aparat do </w:t>
            </w:r>
            <w:proofErr w:type="spellStart"/>
            <w:r w:rsidRPr="00C66CBB">
              <w:rPr>
                <w:rFonts w:ascii="Arial" w:hAnsi="Arial" w:cs="Arial"/>
                <w:b/>
                <w:bCs/>
                <w:sz w:val="20"/>
                <w:szCs w:val="20"/>
              </w:rPr>
              <w:t>multiplex</w:t>
            </w:r>
            <w:proofErr w:type="spellEnd"/>
            <w:r w:rsidRPr="00C66CB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PCR</w:t>
            </w:r>
          </w:p>
        </w:tc>
        <w:tc>
          <w:tcPr>
            <w:tcW w:w="2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C66CBB" w:rsidRPr="00C66CBB" w:rsidRDefault="00C66CBB" w:rsidP="00C66CBB">
            <w:pPr>
              <w:snapToGrid w:val="0"/>
              <w:jc w:val="center"/>
            </w:pPr>
            <w:r w:rsidRPr="00C66CBB">
              <w:rPr>
                <w:rFonts w:ascii="Arial" w:hAnsi="Arial" w:cs="Arial"/>
                <w:b/>
                <w:bCs/>
                <w:sz w:val="20"/>
                <w:szCs w:val="20"/>
              </w:rPr>
              <w:t>Punktacja</w:t>
            </w:r>
          </w:p>
        </w:tc>
        <w:tc>
          <w:tcPr>
            <w:tcW w:w="3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C66CBB" w:rsidRPr="00C66CBB" w:rsidRDefault="00C66CBB" w:rsidP="00C66CBB">
            <w:pPr>
              <w:snapToGrid w:val="0"/>
              <w:jc w:val="center"/>
            </w:pPr>
            <w:r w:rsidRPr="00C66CBB">
              <w:rPr>
                <w:rFonts w:ascii="Arial" w:hAnsi="Arial" w:cs="Arial"/>
                <w:b/>
                <w:bCs/>
                <w:sz w:val="20"/>
                <w:szCs w:val="20"/>
              </w:rPr>
              <w:t>Parametr Oferowany</w:t>
            </w:r>
          </w:p>
        </w:tc>
      </w:tr>
      <w:tr w:rsidR="00C66CBB" w:rsidRPr="00C66CBB" w:rsidTr="00C444A6">
        <w:trPr>
          <w:trHeight w:val="319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CBB" w:rsidRPr="00C66CBB" w:rsidRDefault="00C66CBB" w:rsidP="00C66CBB">
            <w:pPr>
              <w:snapToGrid w:val="0"/>
              <w:jc w:val="center"/>
            </w:pPr>
            <w:r w:rsidRPr="00C66C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CBB" w:rsidRPr="00C66CBB" w:rsidRDefault="00C66CBB" w:rsidP="00C66CBB">
            <w:pPr>
              <w:snapToGrid w:val="0"/>
            </w:pPr>
            <w:r w:rsidRPr="00C66CBB">
              <w:rPr>
                <w:rFonts w:ascii="Arial" w:hAnsi="Arial" w:cs="Arial"/>
                <w:sz w:val="20"/>
                <w:szCs w:val="20"/>
              </w:rPr>
              <w:t>Dołączona stacja robocza do przygotowywania próbek, ułatwiająca prace manualną.</w:t>
            </w:r>
          </w:p>
        </w:tc>
        <w:tc>
          <w:tcPr>
            <w:tcW w:w="2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66CBB" w:rsidRPr="00C66CBB" w:rsidRDefault="00C66CBB" w:rsidP="00C66CB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66CBB">
              <w:rPr>
                <w:rFonts w:ascii="Arial" w:hAnsi="Arial" w:cs="Arial"/>
                <w:sz w:val="20"/>
                <w:szCs w:val="20"/>
              </w:rPr>
              <w:t>Tak-</w:t>
            </w:r>
            <w:r w:rsidR="00910287">
              <w:rPr>
                <w:rFonts w:ascii="Arial" w:hAnsi="Arial" w:cs="Arial"/>
                <w:sz w:val="20"/>
                <w:szCs w:val="20"/>
              </w:rPr>
              <w:t>4</w:t>
            </w:r>
            <w:bookmarkStart w:id="0" w:name="_GoBack"/>
            <w:bookmarkEnd w:id="0"/>
            <w:r w:rsidRPr="00C66CBB">
              <w:rPr>
                <w:rFonts w:ascii="Arial" w:hAnsi="Arial" w:cs="Arial"/>
                <w:sz w:val="20"/>
                <w:szCs w:val="20"/>
              </w:rPr>
              <w:t>0 punktów</w:t>
            </w:r>
          </w:p>
          <w:p w:rsidR="00C66CBB" w:rsidRPr="00C66CBB" w:rsidRDefault="00C66CBB" w:rsidP="00C66CBB">
            <w:pPr>
              <w:snapToGrid w:val="0"/>
            </w:pPr>
            <w:r w:rsidRPr="00C66CBB">
              <w:rPr>
                <w:rFonts w:ascii="Arial" w:hAnsi="Arial" w:cs="Arial"/>
                <w:sz w:val="20"/>
                <w:szCs w:val="20"/>
              </w:rPr>
              <w:t>Nie – 0 punktów</w:t>
            </w:r>
          </w:p>
        </w:tc>
        <w:tc>
          <w:tcPr>
            <w:tcW w:w="3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6CBB" w:rsidRPr="00C66CBB" w:rsidRDefault="00C66CBB" w:rsidP="00C66CB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6CBB" w:rsidRPr="00C66CBB" w:rsidRDefault="00C66CBB"/>
    <w:sectPr w:rsidR="00C66CBB" w:rsidRPr="00C66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029B" w:rsidRDefault="0095029B" w:rsidP="00C66CBB">
      <w:r>
        <w:separator/>
      </w:r>
    </w:p>
  </w:endnote>
  <w:endnote w:type="continuationSeparator" w:id="0">
    <w:p w:rsidR="0095029B" w:rsidRDefault="0095029B" w:rsidP="00C6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029B" w:rsidRDefault="0095029B" w:rsidP="00C66CBB">
      <w:r>
        <w:separator/>
      </w:r>
    </w:p>
  </w:footnote>
  <w:footnote w:type="continuationSeparator" w:id="0">
    <w:p w:rsidR="0095029B" w:rsidRDefault="0095029B" w:rsidP="00C66C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592"/>
    <w:rsid w:val="001D5592"/>
    <w:rsid w:val="007532F5"/>
    <w:rsid w:val="00910287"/>
    <w:rsid w:val="0095029B"/>
    <w:rsid w:val="00C444A6"/>
    <w:rsid w:val="00C66CBB"/>
    <w:rsid w:val="00EE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F967"/>
  <w15:docId w15:val="{8D73090F-9B16-47F5-883B-42EC5D9F4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ndale Sans UI" w:hAnsiTheme="minorHAnsi" w:cstheme="minorHAnsi"/>
        <w:kern w:val="3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6CBB"/>
    <w:pPr>
      <w:widowControl w:val="0"/>
      <w:suppressAutoHyphens/>
      <w:spacing w:after="0" w:line="240" w:lineRule="auto"/>
    </w:pPr>
    <w:rPr>
      <w:rFonts w:ascii="Times New Roman" w:hAnsi="Times New Roman" w:cs="Times New Roman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66C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6CBB"/>
    <w:rPr>
      <w:rFonts w:ascii="Times New Roman" w:hAnsi="Times New Roman" w:cs="Times New Roman"/>
      <w:kern w:val="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6C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6CBB"/>
    <w:rPr>
      <w:rFonts w:ascii="Times New Roman" w:hAnsi="Times New Roman" w:cs="Times New Roman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Kuszewski</dc:creator>
  <cp:keywords/>
  <dc:description/>
  <cp:lastModifiedBy>akozlowska</cp:lastModifiedBy>
  <cp:revision>5</cp:revision>
  <cp:lastPrinted>2024-08-09T08:17:00Z</cp:lastPrinted>
  <dcterms:created xsi:type="dcterms:W3CDTF">2024-07-23T09:37:00Z</dcterms:created>
  <dcterms:modified xsi:type="dcterms:W3CDTF">2024-08-09T12:43:00Z</dcterms:modified>
</cp:coreProperties>
</file>