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88C9847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5F1D08">
        <w:rPr>
          <w:b/>
          <w:szCs w:val="20"/>
        </w:rPr>
        <w:t>2</w:t>
      </w:r>
      <w:r w:rsidR="003C2D29">
        <w:rPr>
          <w:b/>
          <w:szCs w:val="20"/>
        </w:rPr>
        <w:t>8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52B4ADD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</w:t>
      </w:r>
      <w:bookmarkStart w:id="0" w:name="_GoBack"/>
      <w:bookmarkEnd w:id="0"/>
      <w:r w:rsidRPr="004900D3">
        <w:t>publicznego nr</w:t>
      </w:r>
      <w:r w:rsidRPr="003C2D29">
        <w:rPr>
          <w:szCs w:val="20"/>
        </w:rPr>
        <w:t xml:space="preserve">: </w:t>
      </w:r>
      <w:r w:rsidR="00D24C8D" w:rsidRPr="003C2D29">
        <w:rPr>
          <w:b/>
          <w:szCs w:val="20"/>
        </w:rPr>
        <w:t>DZP.38</w:t>
      </w:r>
      <w:r w:rsidR="00232081" w:rsidRPr="003C2D29">
        <w:rPr>
          <w:b/>
          <w:szCs w:val="20"/>
        </w:rPr>
        <w:t>2</w:t>
      </w:r>
      <w:r w:rsidR="00D24C8D" w:rsidRPr="003C2D29">
        <w:rPr>
          <w:b/>
          <w:szCs w:val="20"/>
        </w:rPr>
        <w:t>.1.</w:t>
      </w:r>
      <w:r w:rsidR="005F1D08" w:rsidRPr="003C2D29">
        <w:rPr>
          <w:b/>
          <w:szCs w:val="20"/>
        </w:rPr>
        <w:t>2</w:t>
      </w:r>
      <w:r w:rsidR="003C2D29" w:rsidRPr="003C2D29">
        <w:rPr>
          <w:b/>
          <w:szCs w:val="20"/>
        </w:rPr>
        <w:t>8</w:t>
      </w:r>
      <w:r w:rsidR="00D24C8D" w:rsidRPr="003C2D29">
        <w:rPr>
          <w:b/>
          <w:szCs w:val="20"/>
        </w:rPr>
        <w:t>.202</w:t>
      </w:r>
      <w:r w:rsidR="0018686F" w:rsidRPr="003C2D29">
        <w:rPr>
          <w:b/>
          <w:szCs w:val="20"/>
        </w:rPr>
        <w:t>4</w:t>
      </w:r>
      <w:r w:rsidRPr="003C2D29">
        <w:rPr>
          <w:szCs w:val="20"/>
        </w:rPr>
        <w:t xml:space="preserve">, pn.: </w:t>
      </w:r>
      <w:r w:rsidRPr="003C2D29">
        <w:rPr>
          <w:b/>
          <w:szCs w:val="20"/>
        </w:rPr>
        <w:t>„</w:t>
      </w:r>
      <w:bookmarkStart w:id="1" w:name="_Hlk160614755"/>
      <w:r w:rsidR="003C2D29" w:rsidRPr="003C2D29">
        <w:rPr>
          <w:rFonts w:eastAsia="Calibri" w:cs="Arial"/>
          <w:b/>
          <w:bCs/>
          <w:color w:val="222A35" w:themeColor="text2" w:themeShade="80"/>
          <w:szCs w:val="20"/>
        </w:rPr>
        <w:t xml:space="preserve">Dostawa </w:t>
      </w:r>
      <w:bookmarkEnd w:id="1"/>
      <w:r w:rsidR="003C2D29" w:rsidRPr="003C2D29">
        <w:rPr>
          <w:rFonts w:eastAsia="Calibri" w:cs="Arial"/>
          <w:b/>
          <w:bCs/>
          <w:color w:val="222A35" w:themeColor="text2" w:themeShade="80"/>
          <w:szCs w:val="20"/>
        </w:rPr>
        <w:t>materiałów promocyjnych z nadrukiem</w:t>
      </w:r>
      <w:r w:rsidRPr="003C2D29">
        <w:rPr>
          <w:b/>
          <w:bCs/>
          <w:szCs w:val="20"/>
        </w:rPr>
        <w:t>”</w:t>
      </w:r>
      <w:r w:rsidRPr="003C2D29">
        <w:rPr>
          <w:b/>
          <w:szCs w:val="20"/>
        </w:rPr>
        <w:t>,</w:t>
      </w:r>
      <w:r w:rsidRPr="003C2D29">
        <w:rPr>
          <w:szCs w:val="20"/>
        </w:rPr>
        <w:t xml:space="preserve"> prowadzonego przez </w:t>
      </w:r>
      <w:r w:rsidRPr="003C2D29">
        <w:rPr>
          <w:b/>
          <w:szCs w:val="20"/>
        </w:rPr>
        <w:t>Uniwersytet</w:t>
      </w:r>
      <w:r w:rsidRPr="004900D3">
        <w:rPr>
          <w:b/>
        </w:rPr>
        <w:t xml:space="preserve">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46305DC1" w14:textId="77777777" w:rsidR="00350894" w:rsidRDefault="00350894">
      <w:pPr>
        <w:rPr>
          <w:rFonts w:eastAsia="Times New Roman" w:cs="Times New Roman"/>
          <w:iCs/>
          <w:szCs w:val="20"/>
          <w:lang w:val="x-none" w:eastAsia="x-none"/>
        </w:rPr>
      </w:pPr>
      <w:r>
        <w:rPr>
          <w:bCs/>
        </w:rPr>
        <w:br w:type="page"/>
      </w:r>
    </w:p>
    <w:p w14:paraId="3963716F" w14:textId="02B3C8F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lastRenderedPageBreak/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</w:t>
      </w:r>
      <w:r w:rsidRPr="00090ADB">
        <w:lastRenderedPageBreak/>
        <w:t xml:space="preserve">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lastRenderedPageBreak/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</w:t>
      </w:r>
      <w:r w:rsidRPr="00264B83">
        <w:rPr>
          <w:sz w:val="18"/>
          <w:szCs w:val="18"/>
          <w:lang w:eastAsia="x-none"/>
        </w:rPr>
        <w:lastRenderedPageBreak/>
        <w:t xml:space="preserve">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7728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3ACD9696" w14:textId="5A3A4AB2" w:rsidR="007069E8" w:rsidRPr="00602A59" w:rsidRDefault="007069E8" w:rsidP="00350894">
        <w:pPr>
          <w:pStyle w:val="Stopka"/>
          <w:spacing w:line="200" w:lineRule="exact"/>
          <w:rPr>
            <w:color w:val="002D59"/>
            <w:sz w:val="16"/>
            <w:szCs w:val="16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6704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C60D24E" w14:textId="4B235C9D" w:rsidR="007069E8" w:rsidRDefault="003C2D2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63146A37" w:rsidR="007069E8" w:rsidRDefault="003C2D29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rFonts w:ascii="PT Sans" w:eastAsia="Palatino Linotype" w:hAnsi="PT Sans" w:cs="Times New Roman"/>
        <w:i/>
        <w:noProof/>
      </w:rPr>
      <w:pict w14:anchorId="7925F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79873" type="#_x0000_t75" alt="" style="position:absolute;left:0;text-align:left;margin-left:6.75pt;margin-top:-29.25pt;width:595.3pt;height:841.75pt;z-index:-251657728;mso-position-horizontal-relative:page;mso-position-vertical-relative:page">
          <v:imagedata r:id="rId1" o:title="image1"/>
          <w10:wrap anchorx="page" anchory="page"/>
        </v:shape>
      </w:pict>
    </w: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57D009C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9874"/>
    <o:shapelayout v:ext="edit">
      <o:idmap v:ext="edit" data="7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BB3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72DDC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A91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0894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2D29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1D08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74230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17CDC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72B3F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82B0A-92F6-4D60-8719-7380E427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1899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59</cp:revision>
  <cp:lastPrinted>2021-09-09T06:51:00Z</cp:lastPrinted>
  <dcterms:created xsi:type="dcterms:W3CDTF">2022-05-19T08:38:00Z</dcterms:created>
  <dcterms:modified xsi:type="dcterms:W3CDTF">2024-05-16T08:21:00Z</dcterms:modified>
</cp:coreProperties>
</file>