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C259" w14:textId="1D8D0C3D" w:rsidR="00102C61" w:rsidRPr="0066341B" w:rsidRDefault="00102C61" w:rsidP="00102C61">
      <w:pPr>
        <w:pStyle w:val="Podstawowyakapitowy"/>
        <w:spacing w:line="276" w:lineRule="auto"/>
        <w:jc w:val="right"/>
        <w:rPr>
          <w:rFonts w:asciiTheme="majorHAnsi" w:hAnsiTheme="majorHAnsi" w:cs="Roboto Lt"/>
          <w:color w:val="auto"/>
          <w:sz w:val="20"/>
          <w:szCs w:val="20"/>
        </w:rPr>
      </w:pPr>
      <w:r w:rsidRPr="0066341B">
        <w:rPr>
          <w:rFonts w:asciiTheme="majorHAnsi" w:hAnsiTheme="majorHAnsi" w:cs="Roboto Lt"/>
          <w:color w:val="auto"/>
          <w:sz w:val="20"/>
          <w:szCs w:val="20"/>
        </w:rPr>
        <w:t xml:space="preserve">Załącznik nr </w:t>
      </w:r>
      <w:r w:rsidR="00A542E6" w:rsidRPr="0066341B">
        <w:rPr>
          <w:rFonts w:asciiTheme="majorHAnsi" w:hAnsiTheme="majorHAnsi" w:cs="Roboto Lt"/>
          <w:color w:val="auto"/>
          <w:sz w:val="20"/>
          <w:szCs w:val="20"/>
        </w:rPr>
        <w:t>2</w:t>
      </w:r>
      <w:r w:rsidR="00400E24" w:rsidRPr="0066341B">
        <w:rPr>
          <w:rFonts w:asciiTheme="majorHAnsi" w:hAnsiTheme="majorHAnsi" w:cs="Roboto Lt"/>
          <w:color w:val="auto"/>
          <w:sz w:val="20"/>
          <w:szCs w:val="20"/>
        </w:rPr>
        <w:t>.3</w:t>
      </w:r>
      <w:r w:rsidRPr="0066341B">
        <w:rPr>
          <w:rFonts w:asciiTheme="majorHAnsi" w:hAnsiTheme="majorHAnsi" w:cs="Roboto Lt"/>
          <w:color w:val="auto"/>
          <w:sz w:val="20"/>
          <w:szCs w:val="20"/>
        </w:rPr>
        <w:t xml:space="preserve"> do SWZ</w:t>
      </w:r>
    </w:p>
    <w:p w14:paraId="6E3BB363" w14:textId="761791A0" w:rsidR="00102C61" w:rsidRPr="0060330D" w:rsidRDefault="00102C61" w:rsidP="00102C61">
      <w:pPr>
        <w:pStyle w:val="Adreszwrotnynakopercie"/>
        <w:jc w:val="right"/>
        <w:rPr>
          <w:rFonts w:asciiTheme="majorHAnsi" w:eastAsia="Calibri" w:hAnsiTheme="majorHAnsi" w:cs="Arial"/>
          <w:sz w:val="20"/>
        </w:rPr>
      </w:pPr>
      <w:r w:rsidRPr="0060330D">
        <w:rPr>
          <w:rFonts w:asciiTheme="majorHAnsi" w:eastAsia="Calibri" w:hAnsiTheme="majorHAnsi" w:cs="Arial"/>
          <w:sz w:val="20"/>
        </w:rPr>
        <w:t xml:space="preserve">     Nr sprawy:</w:t>
      </w:r>
      <w:r w:rsidR="00E65DB1" w:rsidRPr="0060330D">
        <w:rPr>
          <w:rFonts w:asciiTheme="majorHAnsi" w:eastAsia="Calibri" w:hAnsiTheme="majorHAnsi" w:cs="Arial"/>
          <w:sz w:val="20"/>
        </w:rPr>
        <w:t xml:space="preserve"> </w:t>
      </w:r>
      <w:r w:rsidR="00400E24" w:rsidRPr="0060330D">
        <w:rPr>
          <w:rFonts w:asciiTheme="majorHAnsi" w:eastAsia="Calibri" w:hAnsiTheme="majorHAnsi" w:cs="Arial"/>
          <w:sz w:val="20"/>
        </w:rPr>
        <w:t>PO.271.27.2021</w:t>
      </w:r>
    </w:p>
    <w:p w14:paraId="5D9184D0" w14:textId="32A10C36" w:rsidR="00102C61" w:rsidRPr="0060330D" w:rsidRDefault="00102C61" w:rsidP="00102C61">
      <w:pPr>
        <w:pStyle w:val="Adreszwrotnynakopercie"/>
        <w:jc w:val="right"/>
        <w:rPr>
          <w:rFonts w:asciiTheme="majorHAnsi" w:eastAsia="Calibri" w:hAnsiTheme="majorHAnsi" w:cs="Arial"/>
          <w:sz w:val="20"/>
        </w:rPr>
      </w:pPr>
    </w:p>
    <w:p w14:paraId="675E35A0" w14:textId="77777777" w:rsidR="00102C61" w:rsidRPr="0060330D" w:rsidRDefault="00102C61" w:rsidP="00102C61">
      <w:pPr>
        <w:pStyle w:val="Adreszwrotnynakopercie"/>
        <w:jc w:val="right"/>
        <w:rPr>
          <w:rFonts w:asciiTheme="majorHAnsi" w:hAnsiTheme="majorHAnsi" w:cs="Tahoma"/>
          <w:b/>
          <w:sz w:val="20"/>
        </w:rPr>
      </w:pPr>
    </w:p>
    <w:p w14:paraId="111362A8" w14:textId="77777777" w:rsidR="00102C61" w:rsidRPr="0066341B" w:rsidRDefault="00102C61" w:rsidP="00102C61">
      <w:pPr>
        <w:pStyle w:val="Podstawowyakapitowy"/>
        <w:spacing w:line="276" w:lineRule="auto"/>
        <w:jc w:val="center"/>
        <w:rPr>
          <w:rFonts w:asciiTheme="majorHAnsi" w:hAnsiTheme="majorHAnsi" w:cs="Roboto Lt"/>
          <w:color w:val="auto"/>
          <w:sz w:val="20"/>
          <w:szCs w:val="20"/>
          <w:u w:val="single"/>
        </w:rPr>
      </w:pPr>
      <w:r w:rsidRPr="0066341B">
        <w:rPr>
          <w:rFonts w:asciiTheme="majorHAnsi" w:hAnsiTheme="majorHAnsi" w:cs="Roboto Lt"/>
          <w:b/>
          <w:color w:val="auto"/>
          <w:sz w:val="20"/>
          <w:szCs w:val="20"/>
          <w:u w:val="single"/>
        </w:rPr>
        <w:t>Opis przedmiotu zamówienia (OPZ)</w:t>
      </w:r>
    </w:p>
    <w:p w14:paraId="2FBC81C7" w14:textId="77777777" w:rsidR="00102C61" w:rsidRPr="0066341B" w:rsidRDefault="00102C61" w:rsidP="00102C61">
      <w:pPr>
        <w:pStyle w:val="Podstawowyakapitowy"/>
        <w:spacing w:line="276" w:lineRule="auto"/>
        <w:rPr>
          <w:rFonts w:asciiTheme="majorHAnsi" w:hAnsiTheme="majorHAnsi" w:cs="Roboto Lt"/>
          <w:color w:val="auto"/>
          <w:sz w:val="20"/>
          <w:szCs w:val="20"/>
          <w:u w:val="single"/>
        </w:rPr>
      </w:pPr>
    </w:p>
    <w:p w14:paraId="6DCB725A" w14:textId="62A403FB" w:rsidR="00102C61" w:rsidRPr="0066341B" w:rsidRDefault="00102C61" w:rsidP="00102C61">
      <w:pPr>
        <w:pStyle w:val="Podstawowyakapitowy"/>
        <w:numPr>
          <w:ilvl w:val="0"/>
          <w:numId w:val="13"/>
        </w:numPr>
        <w:spacing w:after="200" w:line="276" w:lineRule="auto"/>
        <w:ind w:hanging="1080"/>
        <w:jc w:val="both"/>
        <w:rPr>
          <w:rFonts w:asciiTheme="majorHAnsi" w:hAnsiTheme="majorHAnsi" w:cs="Roboto Lt"/>
          <w:b/>
          <w:color w:val="auto"/>
          <w:sz w:val="20"/>
          <w:szCs w:val="20"/>
        </w:rPr>
      </w:pPr>
      <w:r w:rsidRPr="0066341B">
        <w:rPr>
          <w:rFonts w:asciiTheme="majorHAnsi" w:hAnsiTheme="majorHAnsi" w:cs="Roboto Lt"/>
          <w:b/>
          <w:color w:val="auto"/>
          <w:sz w:val="20"/>
          <w:szCs w:val="20"/>
        </w:rPr>
        <w:t>Przedmiot zamówienia</w:t>
      </w:r>
    </w:p>
    <w:p w14:paraId="4939B057" w14:textId="581E0C47" w:rsidR="00A661DD" w:rsidRPr="0060330D" w:rsidRDefault="00664E7D" w:rsidP="00A661DD">
      <w:pPr>
        <w:spacing w:after="0" w:line="240" w:lineRule="auto"/>
        <w:rPr>
          <w:rFonts w:asciiTheme="majorHAnsi" w:hAnsiTheme="majorHAnsi" w:cs="Tahoma"/>
          <w:szCs w:val="20"/>
        </w:rPr>
      </w:pPr>
      <w:r w:rsidRPr="0060330D">
        <w:rPr>
          <w:rFonts w:asciiTheme="majorHAnsi" w:hAnsiTheme="majorHAnsi" w:cs="Tahoma"/>
          <w:szCs w:val="20"/>
        </w:rPr>
        <w:t>Zestaw urządzeń do wstępnych analiz zawartości węgla oraz pierwiastków towarzyszących</w:t>
      </w:r>
      <w:r w:rsidR="00A661DD" w:rsidRPr="0060330D">
        <w:rPr>
          <w:rFonts w:asciiTheme="majorHAnsi" w:hAnsiTheme="majorHAnsi" w:cs="Tahoma"/>
          <w:szCs w:val="20"/>
        </w:rPr>
        <w:t xml:space="preserve">: cześć </w:t>
      </w:r>
      <w:r w:rsidR="00A526C4" w:rsidRPr="0060330D">
        <w:rPr>
          <w:rFonts w:asciiTheme="majorHAnsi" w:hAnsiTheme="majorHAnsi" w:cs="Tahoma"/>
          <w:szCs w:val="20"/>
        </w:rPr>
        <w:t>3</w:t>
      </w:r>
      <w:r w:rsidR="00A661DD" w:rsidRPr="0060330D">
        <w:rPr>
          <w:rFonts w:asciiTheme="majorHAnsi" w:hAnsiTheme="majorHAnsi" w:cs="Tahoma"/>
          <w:szCs w:val="20"/>
        </w:rPr>
        <w:t xml:space="preserve">: </w:t>
      </w:r>
      <w:r w:rsidR="00A526C4" w:rsidRPr="0060330D">
        <w:rPr>
          <w:rFonts w:asciiTheme="majorHAnsi" w:hAnsiTheme="majorHAnsi" w:cs="Tahoma"/>
          <w:szCs w:val="20"/>
        </w:rPr>
        <w:t>Spektrometr rentgenowski EDXRF</w:t>
      </w:r>
    </w:p>
    <w:p w14:paraId="17E1BABD" w14:textId="77777777" w:rsidR="00102C61" w:rsidRPr="0066341B" w:rsidRDefault="00102C61" w:rsidP="00102C61">
      <w:pPr>
        <w:pStyle w:val="Podstawowyakapitowy"/>
        <w:spacing w:after="200" w:line="276" w:lineRule="auto"/>
        <w:ind w:left="1080"/>
        <w:jc w:val="both"/>
        <w:rPr>
          <w:rFonts w:asciiTheme="majorHAnsi" w:hAnsiTheme="majorHAnsi" w:cs="Roboto Lt"/>
          <w:b/>
          <w:color w:val="auto"/>
          <w:sz w:val="20"/>
          <w:szCs w:val="20"/>
        </w:rPr>
      </w:pPr>
    </w:p>
    <w:p w14:paraId="55A193F5" w14:textId="77777777" w:rsidR="00102C61" w:rsidRPr="0060330D" w:rsidRDefault="00102C61" w:rsidP="00102C61">
      <w:pPr>
        <w:pStyle w:val="Akapitzlist"/>
        <w:numPr>
          <w:ilvl w:val="0"/>
          <w:numId w:val="13"/>
        </w:numPr>
        <w:ind w:hanging="1080"/>
        <w:jc w:val="both"/>
        <w:rPr>
          <w:rFonts w:asciiTheme="majorHAnsi" w:hAnsiTheme="majorHAnsi"/>
          <w:b/>
          <w:sz w:val="20"/>
          <w:szCs w:val="20"/>
        </w:rPr>
      </w:pPr>
      <w:r w:rsidRPr="0060330D">
        <w:rPr>
          <w:rFonts w:asciiTheme="majorHAnsi" w:hAnsiTheme="majorHAnsi"/>
          <w:b/>
          <w:sz w:val="20"/>
          <w:szCs w:val="20"/>
        </w:rPr>
        <w:t>Główne funkcje urządzenia</w:t>
      </w:r>
    </w:p>
    <w:tbl>
      <w:tblPr>
        <w:tblStyle w:val="Tabela-Siatka"/>
        <w:tblW w:w="8153" w:type="dxa"/>
        <w:tblLook w:val="04A0" w:firstRow="1" w:lastRow="0" w:firstColumn="1" w:lastColumn="0" w:noHBand="0" w:noVBand="1"/>
      </w:tblPr>
      <w:tblGrid>
        <w:gridCol w:w="614"/>
        <w:gridCol w:w="5658"/>
        <w:gridCol w:w="1881"/>
      </w:tblGrid>
      <w:tr w:rsidR="00102C61" w:rsidRPr="0066341B" w14:paraId="388F682B" w14:textId="1D50BA60" w:rsidTr="00E65DB1">
        <w:tc>
          <w:tcPr>
            <w:tcW w:w="614" w:type="dxa"/>
          </w:tcPr>
          <w:p w14:paraId="72FC5110" w14:textId="77777777" w:rsidR="00102C61" w:rsidRPr="0060330D" w:rsidRDefault="00102C61" w:rsidP="00555A03">
            <w:pPr>
              <w:rPr>
                <w:rFonts w:asciiTheme="majorHAnsi" w:hAnsiTheme="majorHAnsi" w:cs="Tahoma"/>
                <w:szCs w:val="20"/>
              </w:rPr>
            </w:pPr>
            <w:r w:rsidRPr="0060330D">
              <w:rPr>
                <w:rFonts w:asciiTheme="majorHAnsi" w:hAnsiTheme="majorHAnsi" w:cs="Tahoma"/>
                <w:szCs w:val="20"/>
              </w:rPr>
              <w:t>L.p.</w:t>
            </w:r>
          </w:p>
        </w:tc>
        <w:tc>
          <w:tcPr>
            <w:tcW w:w="5658" w:type="dxa"/>
            <w:vAlign w:val="center"/>
          </w:tcPr>
          <w:p w14:paraId="54BED8C9" w14:textId="7040C3DD" w:rsidR="00102C61" w:rsidRPr="0060330D" w:rsidRDefault="00102C61" w:rsidP="00E65DB1">
            <w:pPr>
              <w:pStyle w:val="Adreszwrotnynakopercie"/>
              <w:rPr>
                <w:rFonts w:asciiTheme="majorHAnsi" w:hAnsiTheme="majorHAnsi" w:cs="Tahoma"/>
                <w:b/>
                <w:sz w:val="20"/>
              </w:rPr>
            </w:pPr>
            <w:r w:rsidRPr="0060330D">
              <w:rPr>
                <w:rFonts w:asciiTheme="majorHAnsi" w:hAnsiTheme="majorHAnsi" w:cs="Tahoma"/>
                <w:b/>
                <w:sz w:val="20"/>
              </w:rPr>
              <w:t xml:space="preserve">Minimalne parametry użytkowe: </w:t>
            </w:r>
          </w:p>
        </w:tc>
        <w:tc>
          <w:tcPr>
            <w:tcW w:w="1881" w:type="dxa"/>
            <w:vAlign w:val="center"/>
          </w:tcPr>
          <w:p w14:paraId="258DDE9F" w14:textId="77777777" w:rsidR="00E65DB1" w:rsidRPr="0060330D" w:rsidRDefault="00E65DB1" w:rsidP="00E65DB1">
            <w:pPr>
              <w:widowControl w:val="0"/>
              <w:suppressAutoHyphens/>
              <w:spacing w:after="0" w:line="240" w:lineRule="auto"/>
              <w:ind w:left="57"/>
              <w:jc w:val="center"/>
              <w:rPr>
                <w:rFonts w:asciiTheme="majorHAnsi" w:eastAsia="Verdana,Verdana,Arial" w:hAnsiTheme="majorHAnsi" w:cs="Calibri"/>
                <w:b/>
                <w:bCs/>
                <w:color w:val="000000"/>
                <w:spacing w:val="0"/>
                <w:szCs w:val="20"/>
                <w:lang w:eastAsia="pl-PL"/>
              </w:rPr>
            </w:pPr>
            <w:r w:rsidRPr="0060330D">
              <w:rPr>
                <w:rFonts w:asciiTheme="majorHAnsi" w:eastAsia="Verdana,Verdana,Arial" w:hAnsiTheme="majorHAnsi" w:cs="Calibri"/>
                <w:b/>
                <w:bCs/>
                <w:color w:val="000000"/>
                <w:spacing w:val="0"/>
                <w:szCs w:val="20"/>
                <w:lang w:eastAsia="pl-PL"/>
              </w:rPr>
              <w:t>Oferta Wykonawcy</w:t>
            </w:r>
          </w:p>
          <w:p w14:paraId="4EA2393A" w14:textId="77777777" w:rsidR="00E65DB1" w:rsidRPr="0060330D" w:rsidRDefault="00E65DB1" w:rsidP="00E65DB1">
            <w:pPr>
              <w:widowControl w:val="0"/>
              <w:suppressAutoHyphens/>
              <w:spacing w:after="0" w:line="240" w:lineRule="auto"/>
              <w:ind w:left="57"/>
              <w:jc w:val="center"/>
              <w:rPr>
                <w:rFonts w:asciiTheme="majorHAnsi" w:eastAsia="Verdana,Verdana,Arial" w:hAnsiTheme="majorHAnsi" w:cs="Calibri"/>
                <w:b/>
                <w:bCs/>
                <w:color w:val="auto"/>
                <w:spacing w:val="0"/>
                <w:szCs w:val="20"/>
                <w:lang w:eastAsia="pl-PL"/>
              </w:rPr>
            </w:pPr>
            <w:r w:rsidRPr="0060330D">
              <w:rPr>
                <w:rFonts w:asciiTheme="majorHAnsi" w:eastAsia="Verdana,Verdana,Arial" w:hAnsiTheme="majorHAnsi" w:cs="Calibri"/>
                <w:b/>
                <w:bCs/>
                <w:color w:val="auto"/>
                <w:spacing w:val="0"/>
                <w:szCs w:val="20"/>
                <w:lang w:eastAsia="pl-PL"/>
              </w:rPr>
              <w:t>Potwierdzenie spełnienia wymagania</w:t>
            </w:r>
          </w:p>
          <w:p w14:paraId="3D0AC739" w14:textId="407A3A24" w:rsidR="00102C61" w:rsidRPr="0060330D" w:rsidRDefault="00E65DB1" w:rsidP="00E65DB1">
            <w:pPr>
              <w:pStyle w:val="Adreszwrotnynakopercie"/>
              <w:jc w:val="center"/>
              <w:rPr>
                <w:rFonts w:asciiTheme="majorHAnsi" w:hAnsiTheme="majorHAnsi" w:cs="Tahoma"/>
                <w:b/>
                <w:sz w:val="20"/>
              </w:rPr>
            </w:pPr>
            <w:r w:rsidRPr="0060330D">
              <w:rPr>
                <w:rFonts w:asciiTheme="majorHAnsi" w:eastAsia="Verdana,Verdana,Arial" w:hAnsiTheme="majorHAnsi" w:cs="Calibri"/>
                <w:i/>
                <w:sz w:val="20"/>
              </w:rPr>
              <w:t xml:space="preserve">(Tak </w:t>
            </w:r>
            <w:r w:rsidRPr="0060330D">
              <w:rPr>
                <w:rFonts w:asciiTheme="majorHAnsi" w:eastAsia="Verdana,Verdana,Arial" w:hAnsiTheme="majorHAnsi" w:cs="Calibri"/>
                <w:i/>
                <w:color w:val="000000"/>
                <w:sz w:val="20"/>
              </w:rPr>
              <w:t>albo</w:t>
            </w:r>
            <w:r w:rsidRPr="0060330D">
              <w:rPr>
                <w:rFonts w:asciiTheme="majorHAnsi" w:eastAsia="Verdana,Verdana,Arial" w:hAnsiTheme="majorHAnsi" w:cs="Calibri"/>
                <w:i/>
                <w:color w:val="FF0000"/>
                <w:sz w:val="20"/>
              </w:rPr>
              <w:t xml:space="preserve"> </w:t>
            </w:r>
            <w:r w:rsidRPr="0060330D">
              <w:rPr>
                <w:rFonts w:asciiTheme="majorHAnsi" w:eastAsia="Verdana,Verdana,Arial" w:hAnsiTheme="majorHAnsi" w:cs="Calibri"/>
                <w:i/>
                <w:sz w:val="20"/>
              </w:rPr>
              <w:t xml:space="preserve">Nie- niepotrzebne skreślić) </w:t>
            </w:r>
            <w:r w:rsidRPr="0060330D">
              <w:rPr>
                <w:rFonts w:asciiTheme="majorHAnsi" w:hAnsiTheme="majorHAnsi" w:cs="Tahoma"/>
                <w:bCs/>
                <w:i/>
                <w:sz w:val="20"/>
              </w:rPr>
              <w:t>Kolumnę wypełnia Wykonawca</w:t>
            </w:r>
          </w:p>
        </w:tc>
      </w:tr>
      <w:tr w:rsidR="00E65DB1" w:rsidRPr="0066341B" w14:paraId="57E5F873" w14:textId="6189A115" w:rsidTr="007E428B">
        <w:tc>
          <w:tcPr>
            <w:tcW w:w="614" w:type="dxa"/>
          </w:tcPr>
          <w:p w14:paraId="709C0898" w14:textId="5E60DF7A"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w:t>
            </w:r>
          </w:p>
        </w:tc>
        <w:tc>
          <w:tcPr>
            <w:tcW w:w="5658" w:type="dxa"/>
          </w:tcPr>
          <w:p w14:paraId="2D029A4B" w14:textId="1707F6F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Urządzenie spełniające europejskie normy bezpieczeństwa, posiadające certyfikat CE (złożone Zamawiającemu wraz z dostawą urządzenia)</w:t>
            </w:r>
          </w:p>
        </w:tc>
        <w:tc>
          <w:tcPr>
            <w:tcW w:w="1881" w:type="dxa"/>
            <w:vAlign w:val="center"/>
          </w:tcPr>
          <w:p w14:paraId="77F5987D" w14:textId="382A3447" w:rsidR="00E65DB1" w:rsidRPr="0060330D" w:rsidRDefault="00E65DB1" w:rsidP="007E428B">
            <w:pPr>
              <w:pStyle w:val="Adreszwrotnynakopercie"/>
              <w:jc w:val="center"/>
              <w:rPr>
                <w:rFonts w:asciiTheme="majorHAnsi" w:eastAsiaTheme="minorHAnsi" w:hAnsiTheme="majorHAnsi" w:cs="Tahoma"/>
                <w:color w:val="000000" w:themeColor="background1"/>
                <w:spacing w:val="4"/>
                <w:sz w:val="20"/>
                <w:lang w:eastAsia="en-US"/>
              </w:rPr>
            </w:pPr>
            <w:r w:rsidRPr="0060330D">
              <w:rPr>
                <w:rFonts w:asciiTheme="majorHAnsi" w:hAnsiTheme="majorHAnsi"/>
                <w:sz w:val="20"/>
              </w:rPr>
              <w:t>TAK/NIE</w:t>
            </w:r>
          </w:p>
        </w:tc>
      </w:tr>
      <w:tr w:rsidR="00E65DB1" w:rsidRPr="0066341B" w14:paraId="710A7E3C" w14:textId="23E7E8E6" w:rsidTr="007E428B">
        <w:tc>
          <w:tcPr>
            <w:tcW w:w="614" w:type="dxa"/>
          </w:tcPr>
          <w:p w14:paraId="2C793F60" w14:textId="1E21BDD8"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w:t>
            </w:r>
          </w:p>
        </w:tc>
        <w:tc>
          <w:tcPr>
            <w:tcW w:w="5658" w:type="dxa"/>
          </w:tcPr>
          <w:p w14:paraId="744E0B0A" w14:textId="0553ED5E"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Urządzenie umożliwiające analizę proszków, elementów stałych oraz cieczy</w:t>
            </w:r>
          </w:p>
        </w:tc>
        <w:tc>
          <w:tcPr>
            <w:tcW w:w="1881" w:type="dxa"/>
            <w:vAlign w:val="center"/>
          </w:tcPr>
          <w:p w14:paraId="12DE9234" w14:textId="46244FB0"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6D1BBF85" w14:textId="77777777" w:rsidTr="007E428B">
        <w:tc>
          <w:tcPr>
            <w:tcW w:w="614" w:type="dxa"/>
          </w:tcPr>
          <w:p w14:paraId="2FC1D56E" w14:textId="60925FCF"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3.</w:t>
            </w:r>
          </w:p>
        </w:tc>
        <w:tc>
          <w:tcPr>
            <w:tcW w:w="5658" w:type="dxa"/>
          </w:tcPr>
          <w:p w14:paraId="3A25A066" w14:textId="0D24F1B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Wzbudzanie za pomocą lampy rentgenowskiej o mocy co najmniej 50W, z możliwością osiągnięcia prądu wzbudzenia 2mA</w:t>
            </w:r>
          </w:p>
        </w:tc>
        <w:tc>
          <w:tcPr>
            <w:tcW w:w="1881" w:type="dxa"/>
            <w:vAlign w:val="center"/>
          </w:tcPr>
          <w:p w14:paraId="50872ED0" w14:textId="7A11E475"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0A133B3F" w14:textId="77777777" w:rsidTr="007E428B">
        <w:tc>
          <w:tcPr>
            <w:tcW w:w="614" w:type="dxa"/>
          </w:tcPr>
          <w:p w14:paraId="69346153" w14:textId="45975839"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4.</w:t>
            </w:r>
          </w:p>
        </w:tc>
        <w:tc>
          <w:tcPr>
            <w:tcW w:w="5658" w:type="dxa"/>
          </w:tcPr>
          <w:p w14:paraId="1986A9FC" w14:textId="4F9EA4DC"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Półprzewodnikowy detektor SSD o maksymalnej szybkości zliczania minimum 2 mln cps</w:t>
            </w:r>
          </w:p>
        </w:tc>
        <w:tc>
          <w:tcPr>
            <w:tcW w:w="1881" w:type="dxa"/>
            <w:vAlign w:val="center"/>
          </w:tcPr>
          <w:p w14:paraId="5E33F38C" w14:textId="1B764E53"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4E989BF0" w14:textId="77777777" w:rsidTr="007E428B">
        <w:tc>
          <w:tcPr>
            <w:tcW w:w="614" w:type="dxa"/>
          </w:tcPr>
          <w:p w14:paraId="5266A27B" w14:textId="23FEB5E4"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5.</w:t>
            </w:r>
          </w:p>
        </w:tc>
        <w:tc>
          <w:tcPr>
            <w:tcW w:w="5658" w:type="dxa"/>
          </w:tcPr>
          <w:p w14:paraId="467417A8" w14:textId="7D341796"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Zakres pomiarowy C-Am</w:t>
            </w:r>
          </w:p>
        </w:tc>
        <w:tc>
          <w:tcPr>
            <w:tcW w:w="1881" w:type="dxa"/>
            <w:vAlign w:val="center"/>
          </w:tcPr>
          <w:p w14:paraId="6EBC731A" w14:textId="24A77655"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7A204BC8" w14:textId="77777777" w:rsidTr="007E428B">
        <w:tc>
          <w:tcPr>
            <w:tcW w:w="614" w:type="dxa"/>
          </w:tcPr>
          <w:p w14:paraId="3B1113B6" w14:textId="4BD54C4E"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6.</w:t>
            </w:r>
          </w:p>
        </w:tc>
        <w:tc>
          <w:tcPr>
            <w:tcW w:w="5658" w:type="dxa"/>
          </w:tcPr>
          <w:p w14:paraId="192E0B61" w14:textId="5660F320"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Komora do analizy próbek o rozmiarach co najmniej 40cm średnicy i co najmniej 10cm wysokości</w:t>
            </w:r>
          </w:p>
        </w:tc>
        <w:tc>
          <w:tcPr>
            <w:tcW w:w="1881" w:type="dxa"/>
            <w:vAlign w:val="center"/>
          </w:tcPr>
          <w:p w14:paraId="16774F0C" w14:textId="47736CDA"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182317F6" w14:textId="77777777" w:rsidTr="007E428B">
        <w:tc>
          <w:tcPr>
            <w:tcW w:w="614" w:type="dxa"/>
          </w:tcPr>
          <w:p w14:paraId="5DC76A82" w14:textId="51C5FEB9" w:rsidR="00E65DB1" w:rsidRPr="0060330D" w:rsidRDefault="00E65DB1" w:rsidP="00E65DB1">
            <w:pPr>
              <w:spacing w:after="0"/>
              <w:rPr>
                <w:rFonts w:asciiTheme="majorHAnsi" w:hAnsiTheme="majorHAnsi" w:cs="Tahoma"/>
                <w:szCs w:val="20"/>
              </w:rPr>
            </w:pPr>
            <w:r w:rsidRPr="0060330D">
              <w:rPr>
                <w:rFonts w:asciiTheme="majorHAnsi" w:hAnsiTheme="majorHAnsi" w:cs="Tahoma"/>
                <w:szCs w:val="20"/>
              </w:rPr>
              <w:t>7.</w:t>
            </w:r>
          </w:p>
        </w:tc>
        <w:tc>
          <w:tcPr>
            <w:tcW w:w="5658" w:type="dxa"/>
          </w:tcPr>
          <w:p w14:paraId="464DD9FD" w14:textId="145DEFA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Minimum 10 pozycyjny zmieniacz/karuzela na próbki z mechanizmem obracania próbek w czasie pomiaru</w:t>
            </w:r>
          </w:p>
        </w:tc>
        <w:tc>
          <w:tcPr>
            <w:tcW w:w="1881" w:type="dxa"/>
            <w:vAlign w:val="center"/>
          </w:tcPr>
          <w:p w14:paraId="33B093CE" w14:textId="3223B619" w:rsidR="00E65DB1" w:rsidRPr="0060330D" w:rsidRDefault="00E65DB1" w:rsidP="007E428B">
            <w:pPr>
              <w:spacing w:after="0"/>
              <w:jc w:val="center"/>
              <w:rPr>
                <w:rFonts w:asciiTheme="majorHAnsi" w:hAnsiTheme="majorHAnsi"/>
                <w:szCs w:val="20"/>
              </w:rPr>
            </w:pPr>
            <w:r w:rsidRPr="0060330D">
              <w:rPr>
                <w:rFonts w:asciiTheme="majorHAnsi" w:hAnsiTheme="majorHAnsi"/>
                <w:szCs w:val="20"/>
              </w:rPr>
              <w:t>TAK/NIE</w:t>
            </w:r>
          </w:p>
        </w:tc>
      </w:tr>
      <w:tr w:rsidR="00E65DB1" w:rsidRPr="0066341B" w14:paraId="3C9F2ADA" w14:textId="09FE0F30" w:rsidTr="007E428B">
        <w:tc>
          <w:tcPr>
            <w:tcW w:w="614" w:type="dxa"/>
          </w:tcPr>
          <w:p w14:paraId="7C073CB4" w14:textId="77682BBB"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8.</w:t>
            </w:r>
          </w:p>
        </w:tc>
        <w:tc>
          <w:tcPr>
            <w:tcW w:w="5658" w:type="dxa"/>
          </w:tcPr>
          <w:p w14:paraId="17FF6A56" w14:textId="57147378"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Zmieniacz filtrów do optymalizacji warunków pomiaru z co najmniej 7 filtrami</w:t>
            </w:r>
          </w:p>
        </w:tc>
        <w:tc>
          <w:tcPr>
            <w:tcW w:w="1881" w:type="dxa"/>
            <w:vAlign w:val="center"/>
          </w:tcPr>
          <w:p w14:paraId="72994999" w14:textId="1F0D9AD3" w:rsidR="00E65DB1" w:rsidRPr="0060330D" w:rsidRDefault="00E65DB1" w:rsidP="007E428B">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38204528" w14:textId="77777777" w:rsidTr="007E428B">
        <w:tc>
          <w:tcPr>
            <w:tcW w:w="614" w:type="dxa"/>
          </w:tcPr>
          <w:p w14:paraId="0C5C0CB4" w14:textId="178165BE"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9.</w:t>
            </w:r>
          </w:p>
        </w:tc>
        <w:tc>
          <w:tcPr>
            <w:tcW w:w="5658" w:type="dxa"/>
          </w:tcPr>
          <w:p w14:paraId="425FF9CE" w14:textId="534CC4B3"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Maski kolimatora o średnicach 18, 12, 3, 1 mm</w:t>
            </w:r>
          </w:p>
        </w:tc>
        <w:tc>
          <w:tcPr>
            <w:tcW w:w="1881" w:type="dxa"/>
            <w:vAlign w:val="center"/>
          </w:tcPr>
          <w:p w14:paraId="76FF3850" w14:textId="67F95DE7"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26DE8CEE" w14:textId="77777777" w:rsidTr="007E428B">
        <w:tc>
          <w:tcPr>
            <w:tcW w:w="614" w:type="dxa"/>
          </w:tcPr>
          <w:p w14:paraId="29697B22" w14:textId="6CCEE8C8"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lastRenderedPageBreak/>
              <w:t>10.</w:t>
            </w:r>
          </w:p>
        </w:tc>
        <w:tc>
          <w:tcPr>
            <w:tcW w:w="5658" w:type="dxa"/>
          </w:tcPr>
          <w:p w14:paraId="4EA58611" w14:textId="50F14526"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System ochrony lampy i detektora przed zanieczyszczeniami oraz systemem separacji zanieczyszczeń w komorze pomiarowej</w:t>
            </w:r>
          </w:p>
        </w:tc>
        <w:tc>
          <w:tcPr>
            <w:tcW w:w="1881" w:type="dxa"/>
            <w:vAlign w:val="center"/>
          </w:tcPr>
          <w:p w14:paraId="3F15154A" w14:textId="64944B2C"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045BEF04" w14:textId="77777777" w:rsidTr="007E428B">
        <w:tc>
          <w:tcPr>
            <w:tcW w:w="614" w:type="dxa"/>
          </w:tcPr>
          <w:p w14:paraId="4271556F" w14:textId="206A7FB6"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11.</w:t>
            </w:r>
          </w:p>
        </w:tc>
        <w:tc>
          <w:tcPr>
            <w:tcW w:w="5658" w:type="dxa"/>
          </w:tcPr>
          <w:p w14:paraId="10E763E9" w14:textId="56BB5E5C"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Możliwość pracy w próżni oraz w atmosferze helu</w:t>
            </w:r>
          </w:p>
        </w:tc>
        <w:tc>
          <w:tcPr>
            <w:tcW w:w="1881" w:type="dxa"/>
            <w:vAlign w:val="center"/>
          </w:tcPr>
          <w:p w14:paraId="17F09A4B" w14:textId="2814B22D"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0A2FCD41" w14:textId="77777777" w:rsidTr="007E428B">
        <w:tc>
          <w:tcPr>
            <w:tcW w:w="614" w:type="dxa"/>
          </w:tcPr>
          <w:p w14:paraId="0B00B908" w14:textId="3E0DCD39"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12.</w:t>
            </w:r>
          </w:p>
        </w:tc>
        <w:tc>
          <w:tcPr>
            <w:tcW w:w="5658" w:type="dxa"/>
          </w:tcPr>
          <w:p w14:paraId="35C7117E" w14:textId="0AF137DD"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Brak zewnętrznego chłodzenia aparatu</w:t>
            </w:r>
          </w:p>
        </w:tc>
        <w:tc>
          <w:tcPr>
            <w:tcW w:w="1881" w:type="dxa"/>
            <w:vAlign w:val="center"/>
          </w:tcPr>
          <w:p w14:paraId="30F6E158" w14:textId="3D041DFF"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1C70EA0C" w14:textId="77777777" w:rsidTr="007E428B">
        <w:tc>
          <w:tcPr>
            <w:tcW w:w="614" w:type="dxa"/>
          </w:tcPr>
          <w:p w14:paraId="377C5F56" w14:textId="7CD3DFAC"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13.</w:t>
            </w:r>
          </w:p>
        </w:tc>
        <w:tc>
          <w:tcPr>
            <w:tcW w:w="5658" w:type="dxa"/>
          </w:tcPr>
          <w:p w14:paraId="39623298" w14:textId="1B1367A6" w:rsidR="00E65DB1" w:rsidRPr="0060330D" w:rsidRDefault="00E65DB1" w:rsidP="00E65DB1">
            <w:pPr>
              <w:spacing w:after="0" w:line="240" w:lineRule="auto"/>
              <w:rPr>
                <w:rFonts w:asciiTheme="majorHAnsi" w:hAnsiTheme="majorHAnsi" w:cs="Tahoma"/>
                <w:szCs w:val="20"/>
              </w:rPr>
            </w:pPr>
            <w:bookmarkStart w:id="0" w:name="_Hlk505881507"/>
            <w:bookmarkStart w:id="1" w:name="_Hlk75332114"/>
            <w:r w:rsidRPr="0060330D">
              <w:rPr>
                <w:rFonts w:asciiTheme="majorHAnsi" w:hAnsiTheme="majorHAnsi" w:cs="Tahoma"/>
                <w:szCs w:val="20"/>
              </w:rPr>
              <w:t>Oprogramowanie sterujące pracą spektrometru, przetwarzające wyniki na spektrometrze, do konfigurowania aplikacji, raportowania wyników, do analizy jakościowej i ilościowej</w:t>
            </w:r>
            <w:bookmarkEnd w:id="0"/>
            <w:bookmarkEnd w:id="1"/>
          </w:p>
        </w:tc>
        <w:tc>
          <w:tcPr>
            <w:tcW w:w="1881" w:type="dxa"/>
            <w:vAlign w:val="center"/>
          </w:tcPr>
          <w:p w14:paraId="073BCE95" w14:textId="61FF9B92"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2D602C70" w14:textId="77777777" w:rsidTr="007E428B">
        <w:tc>
          <w:tcPr>
            <w:tcW w:w="614" w:type="dxa"/>
          </w:tcPr>
          <w:p w14:paraId="68123E60" w14:textId="07A9E1C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14.</w:t>
            </w:r>
          </w:p>
        </w:tc>
        <w:tc>
          <w:tcPr>
            <w:tcW w:w="5658" w:type="dxa"/>
          </w:tcPr>
          <w:p w14:paraId="1EEFCBB5" w14:textId="547E1FE9"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Program do analizy bezwzorcowej z modelami bazującymi na algorytmie parametrów fundamentalnych</w:t>
            </w:r>
          </w:p>
        </w:tc>
        <w:tc>
          <w:tcPr>
            <w:tcW w:w="1881" w:type="dxa"/>
            <w:vAlign w:val="center"/>
          </w:tcPr>
          <w:p w14:paraId="7066A8A1" w14:textId="26002B5F"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49D538C1" w14:textId="77777777" w:rsidTr="007E428B">
        <w:tc>
          <w:tcPr>
            <w:tcW w:w="614" w:type="dxa"/>
          </w:tcPr>
          <w:p w14:paraId="2BB8CB2C" w14:textId="7820DE95"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15.</w:t>
            </w:r>
          </w:p>
        </w:tc>
        <w:tc>
          <w:tcPr>
            <w:tcW w:w="5658" w:type="dxa"/>
          </w:tcPr>
          <w:p w14:paraId="6B572D4D" w14:textId="3EE8158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Kamera HD służąca do pozycjonowania próbki w komorze pomiarowej</w:t>
            </w:r>
          </w:p>
        </w:tc>
        <w:tc>
          <w:tcPr>
            <w:tcW w:w="1881" w:type="dxa"/>
            <w:vAlign w:val="center"/>
          </w:tcPr>
          <w:p w14:paraId="0A71C668" w14:textId="6F8CB499"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50040EFD" w14:textId="77777777" w:rsidTr="007E428B">
        <w:tc>
          <w:tcPr>
            <w:tcW w:w="614" w:type="dxa"/>
          </w:tcPr>
          <w:p w14:paraId="01B3C32F" w14:textId="69F964A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16.</w:t>
            </w:r>
          </w:p>
        </w:tc>
        <w:tc>
          <w:tcPr>
            <w:tcW w:w="5658" w:type="dxa"/>
          </w:tcPr>
          <w:p w14:paraId="685393E6" w14:textId="1F74FF85"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 xml:space="preserve">Sterowanie aparatem poprzez oraz komputer klasy PC z Windows 10 (64bit) </w:t>
            </w:r>
            <w:r w:rsidR="00CA2A24" w:rsidRPr="0060330D">
              <w:rPr>
                <w:rFonts w:asciiTheme="majorHAnsi" w:hAnsiTheme="majorHAnsi" w:cs="Tahoma"/>
                <w:szCs w:val="20"/>
              </w:rPr>
              <w:t>lub równoważnym</w:t>
            </w:r>
            <w:r w:rsidR="00CA2A24" w:rsidRPr="0060330D">
              <w:rPr>
                <w:rStyle w:val="Odwoanieprzypisudolnego"/>
                <w:rFonts w:asciiTheme="majorHAnsi" w:hAnsiTheme="majorHAnsi" w:cs="Tahoma"/>
                <w:szCs w:val="20"/>
              </w:rPr>
              <w:footnoteReference w:id="1"/>
            </w:r>
            <w:r w:rsidR="00CA2A24" w:rsidRPr="0060330D">
              <w:rPr>
                <w:rFonts w:asciiTheme="majorHAnsi" w:hAnsiTheme="majorHAnsi" w:cs="Tahoma"/>
                <w:szCs w:val="20"/>
              </w:rPr>
              <w:t xml:space="preserve"> </w:t>
            </w:r>
            <w:r w:rsidRPr="0060330D">
              <w:rPr>
                <w:rFonts w:asciiTheme="majorHAnsi" w:hAnsiTheme="majorHAnsi" w:cs="Tahoma"/>
                <w:szCs w:val="20"/>
              </w:rPr>
              <w:t>oraz osobny komputer klasy PC z Windows 10 (64bit)</w:t>
            </w:r>
            <w:r w:rsidR="00CA2A24" w:rsidRPr="0060330D">
              <w:rPr>
                <w:rFonts w:asciiTheme="majorHAnsi" w:hAnsiTheme="majorHAnsi" w:cs="Tahoma"/>
                <w:szCs w:val="20"/>
              </w:rPr>
              <w:t xml:space="preserve"> lub równoważnym </w:t>
            </w:r>
            <w:r w:rsidRPr="0060330D">
              <w:rPr>
                <w:rFonts w:asciiTheme="majorHAnsi" w:hAnsiTheme="majorHAnsi" w:cs="Tahoma"/>
                <w:szCs w:val="20"/>
              </w:rPr>
              <w:t>służący do analizy danych</w:t>
            </w:r>
          </w:p>
        </w:tc>
        <w:tc>
          <w:tcPr>
            <w:tcW w:w="1881" w:type="dxa"/>
            <w:vAlign w:val="center"/>
          </w:tcPr>
          <w:p w14:paraId="695DD6BD" w14:textId="03F950AA"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2DE457D5" w14:textId="77777777" w:rsidTr="007E428B">
        <w:tc>
          <w:tcPr>
            <w:tcW w:w="614" w:type="dxa"/>
          </w:tcPr>
          <w:p w14:paraId="32D9F5E6" w14:textId="69CB1EB0"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17.</w:t>
            </w:r>
          </w:p>
        </w:tc>
        <w:tc>
          <w:tcPr>
            <w:tcW w:w="5658" w:type="dxa"/>
          </w:tcPr>
          <w:p w14:paraId="6EBB54F1" w14:textId="1B483418"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Spektrometr dostarczony wraz z pakietem minimum 30 wzorców stopów żelaza. Zakresy stężeń pierwiastków we wzorcach (Fe 9-50%, Mo 60-72%, Nb 45-65%, Mn 1-85%, Cr 0,1-72%, Ti 0,1-65%, Si 0,2%-75%, Al 0,1–12%)</w:t>
            </w:r>
          </w:p>
        </w:tc>
        <w:tc>
          <w:tcPr>
            <w:tcW w:w="1881" w:type="dxa"/>
            <w:vAlign w:val="center"/>
          </w:tcPr>
          <w:p w14:paraId="23B690F9" w14:textId="0E983FA2"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683E42DF" w14:textId="77777777" w:rsidTr="007E428B">
        <w:tc>
          <w:tcPr>
            <w:tcW w:w="614" w:type="dxa"/>
          </w:tcPr>
          <w:p w14:paraId="6C9FA18F" w14:textId="68840F69"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18.</w:t>
            </w:r>
          </w:p>
        </w:tc>
        <w:tc>
          <w:tcPr>
            <w:tcW w:w="5658" w:type="dxa"/>
          </w:tcPr>
          <w:p w14:paraId="4305D5A6" w14:textId="0348EE5B" w:rsidR="00E65DB1" w:rsidRPr="0060330D" w:rsidRDefault="00E65DB1" w:rsidP="00E65DB1">
            <w:pPr>
              <w:spacing w:after="0" w:line="240" w:lineRule="auto"/>
              <w:rPr>
                <w:rFonts w:asciiTheme="majorHAnsi" w:hAnsiTheme="majorHAnsi" w:cs="Tahoma"/>
                <w:szCs w:val="20"/>
                <w:highlight w:val="red"/>
              </w:rPr>
            </w:pPr>
            <w:r w:rsidRPr="0060330D">
              <w:rPr>
                <w:rFonts w:asciiTheme="majorHAnsi" w:hAnsiTheme="majorHAnsi" w:cs="Tahoma"/>
                <w:szCs w:val="20"/>
              </w:rPr>
              <w:t>Spektrometr dostarczony wraz z pakietem minimum 10 wzorców żużli wielkopiecowych. Zakresy stężeń pierwiastków we wzorcach (Fe 0,5-1,5%, TiO2 0,3-9%, CaO 32-42%, MnO 0,1-0,8%, S 0,5-1,8%, SiO2 30-42%, MgO 2%-20%, Al2O3 8–15%)</w:t>
            </w:r>
          </w:p>
        </w:tc>
        <w:tc>
          <w:tcPr>
            <w:tcW w:w="1881" w:type="dxa"/>
            <w:vAlign w:val="center"/>
          </w:tcPr>
          <w:p w14:paraId="51E20DF5" w14:textId="01CDF456"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4DC56CC1" w14:textId="77777777" w:rsidTr="007E428B">
        <w:tc>
          <w:tcPr>
            <w:tcW w:w="614" w:type="dxa"/>
          </w:tcPr>
          <w:p w14:paraId="75A14019" w14:textId="26E31B4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19.</w:t>
            </w:r>
          </w:p>
        </w:tc>
        <w:tc>
          <w:tcPr>
            <w:tcW w:w="5658" w:type="dxa"/>
          </w:tcPr>
          <w:p w14:paraId="4624E37C" w14:textId="7C42C12A"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Spektrometr powinien zostać dostarczony z dedykowaną kalibracją do analiz cementu oraz surowców do produkcji cementu wraz z próbkami kontrolnymi i rekalibracyjnymi.</w:t>
            </w:r>
          </w:p>
        </w:tc>
        <w:tc>
          <w:tcPr>
            <w:tcW w:w="1881" w:type="dxa"/>
            <w:vAlign w:val="center"/>
          </w:tcPr>
          <w:p w14:paraId="1037F52D" w14:textId="5523297C"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11AD8A35" w14:textId="77777777" w:rsidTr="007E428B">
        <w:tc>
          <w:tcPr>
            <w:tcW w:w="614" w:type="dxa"/>
          </w:tcPr>
          <w:p w14:paraId="004CB70B" w14:textId="215BCB96"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20.</w:t>
            </w:r>
          </w:p>
        </w:tc>
        <w:tc>
          <w:tcPr>
            <w:tcW w:w="5658" w:type="dxa"/>
          </w:tcPr>
          <w:p w14:paraId="1A16DC0B" w14:textId="15F58FD0"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Instalacja zakończona testem akceptacyjnym wykonania analizy 4 próbek przygotowanych przez Zamawiającego</w:t>
            </w:r>
          </w:p>
        </w:tc>
        <w:tc>
          <w:tcPr>
            <w:tcW w:w="1881" w:type="dxa"/>
            <w:vAlign w:val="center"/>
          </w:tcPr>
          <w:p w14:paraId="7A044A91" w14:textId="40FB5443"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03A87637" w14:textId="77777777" w:rsidTr="007E428B">
        <w:tc>
          <w:tcPr>
            <w:tcW w:w="614" w:type="dxa"/>
          </w:tcPr>
          <w:p w14:paraId="02D6DACD" w14:textId="1E8C8A3F"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21.</w:t>
            </w:r>
          </w:p>
        </w:tc>
        <w:tc>
          <w:tcPr>
            <w:tcW w:w="5658" w:type="dxa"/>
          </w:tcPr>
          <w:p w14:paraId="0794A25F" w14:textId="4FD61843"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Sprzęt fabrycznie nowy</w:t>
            </w:r>
          </w:p>
        </w:tc>
        <w:tc>
          <w:tcPr>
            <w:tcW w:w="1881" w:type="dxa"/>
            <w:vAlign w:val="center"/>
          </w:tcPr>
          <w:p w14:paraId="6C25DD52" w14:textId="04DC737F"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6C77FA92" w14:textId="77777777" w:rsidTr="007E428B">
        <w:tc>
          <w:tcPr>
            <w:tcW w:w="614" w:type="dxa"/>
          </w:tcPr>
          <w:p w14:paraId="6D888448" w14:textId="70BAE3D1"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22.</w:t>
            </w:r>
          </w:p>
        </w:tc>
        <w:tc>
          <w:tcPr>
            <w:tcW w:w="5658" w:type="dxa"/>
          </w:tcPr>
          <w:p w14:paraId="2947A483" w14:textId="051014EF"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Dostarczony sprzęt musi posiadać komplet przewodów</w:t>
            </w:r>
            <w:r w:rsidR="00092A18" w:rsidRPr="0060330D">
              <w:rPr>
                <w:rFonts w:asciiTheme="majorHAnsi" w:hAnsiTheme="majorHAnsi" w:cs="Tahoma"/>
                <w:szCs w:val="20"/>
              </w:rPr>
              <w:t xml:space="preserve"> </w:t>
            </w:r>
            <w:r w:rsidRPr="0060330D">
              <w:rPr>
                <w:rFonts w:asciiTheme="majorHAnsi" w:hAnsiTheme="majorHAnsi" w:cs="Tahoma"/>
                <w:szCs w:val="20"/>
              </w:rPr>
              <w:t>i zasilaczy potrzebnych do uruchomienia urządzenia</w:t>
            </w:r>
          </w:p>
        </w:tc>
        <w:tc>
          <w:tcPr>
            <w:tcW w:w="1881" w:type="dxa"/>
            <w:vAlign w:val="center"/>
          </w:tcPr>
          <w:p w14:paraId="3C7EEDDD" w14:textId="18478ADB"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4F8CB748" w14:textId="77777777" w:rsidTr="007E428B">
        <w:tc>
          <w:tcPr>
            <w:tcW w:w="614" w:type="dxa"/>
          </w:tcPr>
          <w:p w14:paraId="0A6A1201" w14:textId="63C275BD"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23.</w:t>
            </w:r>
          </w:p>
        </w:tc>
        <w:tc>
          <w:tcPr>
            <w:tcW w:w="5658" w:type="dxa"/>
          </w:tcPr>
          <w:p w14:paraId="22416F15" w14:textId="16CC2E5F"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Serwis gwarancyjny i pogwarancyjny na terenie Unii Europejskiej</w:t>
            </w:r>
          </w:p>
        </w:tc>
        <w:tc>
          <w:tcPr>
            <w:tcW w:w="1881" w:type="dxa"/>
            <w:vAlign w:val="center"/>
          </w:tcPr>
          <w:p w14:paraId="434F2D61" w14:textId="0BA6C47C"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t>TAK/NIE</w:t>
            </w:r>
          </w:p>
        </w:tc>
      </w:tr>
      <w:tr w:rsidR="00E65DB1" w:rsidRPr="0066341B" w14:paraId="567A462E" w14:textId="77777777" w:rsidTr="007E428B">
        <w:tc>
          <w:tcPr>
            <w:tcW w:w="614" w:type="dxa"/>
          </w:tcPr>
          <w:p w14:paraId="7B880186" w14:textId="47D95493"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24.</w:t>
            </w:r>
          </w:p>
        </w:tc>
        <w:tc>
          <w:tcPr>
            <w:tcW w:w="5658" w:type="dxa"/>
          </w:tcPr>
          <w:p w14:paraId="5C64BD7B" w14:textId="777777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 xml:space="preserve">Co najmniej czterodniowy instruktarz stanowiskowy i szkolenie personelu. </w:t>
            </w:r>
          </w:p>
          <w:p w14:paraId="0BB4E67B" w14:textId="003143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lastRenderedPageBreak/>
              <w:t xml:space="preserve">1 (pierwszy) instruktaż – 2-dniowy po instalacji, </w:t>
            </w:r>
          </w:p>
          <w:p w14:paraId="2BAF637F" w14:textId="7EC7DD9B"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 (drugi) instruktaż doszkalający - 2-dniowy po około 3 do 6 miesięcy od instalacji</w:t>
            </w:r>
          </w:p>
        </w:tc>
        <w:tc>
          <w:tcPr>
            <w:tcW w:w="1881" w:type="dxa"/>
            <w:vAlign w:val="center"/>
          </w:tcPr>
          <w:p w14:paraId="0288D5AF" w14:textId="17CC831E" w:rsidR="00E65DB1" w:rsidRPr="0060330D" w:rsidRDefault="00E65DB1" w:rsidP="0060330D">
            <w:pPr>
              <w:spacing w:after="0" w:line="240" w:lineRule="auto"/>
              <w:jc w:val="center"/>
              <w:rPr>
                <w:rFonts w:asciiTheme="majorHAnsi" w:hAnsiTheme="majorHAnsi" w:cs="Tahoma"/>
                <w:szCs w:val="20"/>
              </w:rPr>
            </w:pPr>
            <w:r w:rsidRPr="0060330D">
              <w:rPr>
                <w:rFonts w:asciiTheme="majorHAnsi" w:hAnsiTheme="majorHAnsi"/>
                <w:szCs w:val="20"/>
              </w:rPr>
              <w:lastRenderedPageBreak/>
              <w:t>TAK/NIE</w:t>
            </w:r>
          </w:p>
        </w:tc>
      </w:tr>
      <w:tr w:rsidR="00E65DB1" w:rsidRPr="0066341B" w14:paraId="5F330BE5" w14:textId="77777777" w:rsidTr="00E65DB1">
        <w:tc>
          <w:tcPr>
            <w:tcW w:w="614" w:type="dxa"/>
          </w:tcPr>
          <w:p w14:paraId="052BB004" w14:textId="2A70487C"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25.</w:t>
            </w:r>
          </w:p>
        </w:tc>
        <w:tc>
          <w:tcPr>
            <w:tcW w:w="5658" w:type="dxa"/>
          </w:tcPr>
          <w:p w14:paraId="780C4684" w14:textId="7C7209B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 xml:space="preserve">Gwarancja: 24 </w:t>
            </w:r>
            <w:r w:rsidR="001534ED" w:rsidRPr="0060330D">
              <w:rPr>
                <w:rFonts w:asciiTheme="majorHAnsi" w:hAnsiTheme="majorHAnsi" w:cs="Tahoma"/>
                <w:szCs w:val="20"/>
              </w:rPr>
              <w:t>miesiące</w:t>
            </w:r>
          </w:p>
        </w:tc>
        <w:tc>
          <w:tcPr>
            <w:tcW w:w="1881" w:type="dxa"/>
          </w:tcPr>
          <w:p w14:paraId="09FA3795" w14:textId="1BCEE6F9" w:rsidR="00E65DB1" w:rsidRPr="0060330D" w:rsidRDefault="00E65DB1" w:rsidP="00E65DB1">
            <w:pPr>
              <w:spacing w:after="0" w:line="240" w:lineRule="auto"/>
              <w:ind w:left="360"/>
              <w:rPr>
                <w:rFonts w:asciiTheme="majorHAnsi" w:hAnsiTheme="majorHAnsi" w:cs="Tahoma"/>
                <w:szCs w:val="20"/>
              </w:rPr>
            </w:pPr>
            <w:r w:rsidRPr="0060330D">
              <w:rPr>
                <w:rFonts w:asciiTheme="majorHAnsi" w:hAnsiTheme="majorHAnsi"/>
                <w:szCs w:val="20"/>
              </w:rPr>
              <w:t>TAK/NIE</w:t>
            </w:r>
          </w:p>
        </w:tc>
      </w:tr>
      <w:tr w:rsidR="00E65DB1" w:rsidRPr="0066341B" w14:paraId="609899A4" w14:textId="77777777" w:rsidTr="00E65DB1">
        <w:tc>
          <w:tcPr>
            <w:tcW w:w="614" w:type="dxa"/>
          </w:tcPr>
          <w:p w14:paraId="451BABDD" w14:textId="115759A0"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26.</w:t>
            </w:r>
          </w:p>
        </w:tc>
        <w:tc>
          <w:tcPr>
            <w:tcW w:w="5658" w:type="dxa"/>
            <w:vAlign w:val="center"/>
          </w:tcPr>
          <w:p w14:paraId="519D1ACB" w14:textId="75A0CD65"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 xml:space="preserve">Czas dostawy najpóźniej do 15.12.2021 r. </w:t>
            </w:r>
          </w:p>
        </w:tc>
        <w:tc>
          <w:tcPr>
            <w:tcW w:w="1881" w:type="dxa"/>
          </w:tcPr>
          <w:p w14:paraId="1319D1F7" w14:textId="6B7FA676" w:rsidR="00E65DB1" w:rsidRPr="0060330D" w:rsidRDefault="00E65DB1" w:rsidP="00E65DB1">
            <w:pPr>
              <w:spacing w:after="0" w:line="240" w:lineRule="auto"/>
              <w:ind w:left="360"/>
              <w:rPr>
                <w:rFonts w:asciiTheme="majorHAnsi" w:hAnsiTheme="majorHAnsi" w:cs="Tahoma"/>
                <w:szCs w:val="20"/>
              </w:rPr>
            </w:pPr>
            <w:r w:rsidRPr="0060330D">
              <w:rPr>
                <w:rFonts w:asciiTheme="majorHAnsi" w:hAnsiTheme="majorHAnsi"/>
                <w:szCs w:val="20"/>
              </w:rPr>
              <w:t>TAK/NIE</w:t>
            </w:r>
          </w:p>
        </w:tc>
      </w:tr>
      <w:tr w:rsidR="00E65DB1" w:rsidRPr="0066341B" w14:paraId="627A9043" w14:textId="77777777" w:rsidTr="00937F5F">
        <w:tc>
          <w:tcPr>
            <w:tcW w:w="614" w:type="dxa"/>
          </w:tcPr>
          <w:p w14:paraId="446BD349" w14:textId="1154442F"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27.</w:t>
            </w:r>
          </w:p>
        </w:tc>
        <w:tc>
          <w:tcPr>
            <w:tcW w:w="7539" w:type="dxa"/>
            <w:gridSpan w:val="2"/>
            <w:vAlign w:val="center"/>
          </w:tcPr>
          <w:p w14:paraId="3CBBBC2E" w14:textId="777777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b/>
                <w:bCs/>
                <w:szCs w:val="20"/>
              </w:rPr>
              <w:t xml:space="preserve">Oferuję urządzenie </w:t>
            </w:r>
            <w:r w:rsidRPr="0060330D">
              <w:rPr>
                <w:rFonts w:asciiTheme="majorHAnsi" w:hAnsiTheme="majorHAnsi" w:cs="Tahoma"/>
                <w:szCs w:val="20"/>
              </w:rPr>
              <w:t>(</w:t>
            </w:r>
            <w:r w:rsidRPr="0060330D">
              <w:rPr>
                <w:rFonts w:asciiTheme="majorHAnsi" w:hAnsiTheme="majorHAnsi" w:cs="Tahoma"/>
                <w:i/>
                <w:szCs w:val="20"/>
              </w:rPr>
              <w:t>wypełnia Wykonawca)</w:t>
            </w:r>
          </w:p>
          <w:p w14:paraId="092EF5B9" w14:textId="777777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Nazwa: ……………………………………………………………….</w:t>
            </w:r>
          </w:p>
          <w:p w14:paraId="699578D8" w14:textId="777777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Producent: ………………………………………………………..</w:t>
            </w:r>
          </w:p>
          <w:p w14:paraId="2649F0FA" w14:textId="77777777" w:rsidR="00E65DB1" w:rsidRPr="0060330D" w:rsidRDefault="00E65DB1" w:rsidP="00E65DB1">
            <w:pPr>
              <w:spacing w:after="0" w:line="240" w:lineRule="auto"/>
              <w:rPr>
                <w:rFonts w:asciiTheme="majorHAnsi" w:hAnsiTheme="majorHAnsi" w:cs="Tahoma"/>
                <w:szCs w:val="20"/>
              </w:rPr>
            </w:pPr>
            <w:r w:rsidRPr="0060330D">
              <w:rPr>
                <w:rFonts w:asciiTheme="majorHAnsi" w:hAnsiTheme="majorHAnsi" w:cs="Tahoma"/>
                <w:szCs w:val="20"/>
              </w:rPr>
              <w:t>Model /typ: ………………………………………………………….</w:t>
            </w:r>
          </w:p>
          <w:p w14:paraId="3C63F9FF" w14:textId="77777777" w:rsidR="00E65DB1" w:rsidRPr="0060330D" w:rsidRDefault="00E65DB1" w:rsidP="00E65DB1">
            <w:pPr>
              <w:spacing w:after="0" w:line="240" w:lineRule="auto"/>
              <w:ind w:left="360"/>
              <w:rPr>
                <w:rFonts w:asciiTheme="majorHAnsi" w:hAnsiTheme="majorHAnsi"/>
                <w:szCs w:val="20"/>
              </w:rPr>
            </w:pPr>
          </w:p>
        </w:tc>
      </w:tr>
    </w:tbl>
    <w:p w14:paraId="2CAA7777" w14:textId="2228AD66" w:rsidR="00F73B54" w:rsidRPr="0060330D" w:rsidRDefault="00F73B54" w:rsidP="00F73B54">
      <w:pPr>
        <w:pStyle w:val="Adreszwrotnynakopercie"/>
        <w:jc w:val="center"/>
        <w:rPr>
          <w:rFonts w:asciiTheme="majorHAnsi" w:hAnsiTheme="majorHAnsi"/>
          <w:b/>
          <w:sz w:val="20"/>
          <w:u w:val="single"/>
        </w:rPr>
      </w:pPr>
    </w:p>
    <w:p w14:paraId="0D90F17C" w14:textId="229B41F6" w:rsidR="00C32419" w:rsidRDefault="00C32419" w:rsidP="0060330D">
      <w:pPr>
        <w:pStyle w:val="Adreszwrotnynakopercie"/>
        <w:jc w:val="both"/>
        <w:rPr>
          <w:rFonts w:asciiTheme="majorHAnsi" w:hAnsiTheme="majorHAnsi"/>
          <w:b/>
          <w:sz w:val="20"/>
          <w:u w:val="single"/>
        </w:rPr>
      </w:pPr>
    </w:p>
    <w:p w14:paraId="6AD81529" w14:textId="77777777" w:rsidR="00155CEC" w:rsidRDefault="00155CEC" w:rsidP="0060330D">
      <w:pPr>
        <w:pStyle w:val="Adreszwrotnynakopercie"/>
        <w:jc w:val="both"/>
        <w:rPr>
          <w:rFonts w:asciiTheme="minorHAnsi" w:eastAsiaTheme="minorHAnsi" w:hAnsiTheme="minorHAnsi" w:cs="Tahoma"/>
          <w:color w:val="000000" w:themeColor="background1"/>
          <w:spacing w:val="4"/>
          <w:sz w:val="20"/>
          <w:lang w:eastAsia="en-US"/>
        </w:rPr>
      </w:pPr>
      <w:r>
        <w:rPr>
          <w:rFonts w:asciiTheme="minorHAnsi" w:eastAsiaTheme="minorHAnsi" w:hAnsiTheme="minorHAnsi" w:cs="Tahoma"/>
          <w:color w:val="000000" w:themeColor="background1"/>
          <w:spacing w:val="4"/>
          <w:sz w:val="20"/>
          <w:lang w:eastAsia="en-US"/>
        </w:rPr>
        <w:t>Warunki serwisu pogwarancyjnego:</w:t>
      </w:r>
    </w:p>
    <w:p w14:paraId="7EB0B10A" w14:textId="77777777" w:rsidR="00155CEC" w:rsidRDefault="00155CEC" w:rsidP="0060330D">
      <w:pPr>
        <w:pStyle w:val="Adreszwrotnynakopercie"/>
        <w:jc w:val="both"/>
        <w:rPr>
          <w:rFonts w:asciiTheme="minorHAnsi" w:eastAsiaTheme="minorHAnsi" w:hAnsiTheme="minorHAnsi" w:cs="Tahoma"/>
          <w:color w:val="000000" w:themeColor="background1"/>
          <w:spacing w:val="4"/>
          <w:sz w:val="20"/>
          <w:lang w:eastAsia="en-US"/>
        </w:rPr>
      </w:pPr>
      <w:r>
        <w:rPr>
          <w:rFonts w:asciiTheme="minorHAnsi" w:eastAsiaTheme="minorHAnsi" w:hAnsiTheme="minorHAnsi" w:cs="Tahoma"/>
          <w:color w:val="000000" w:themeColor="background1"/>
          <w:spacing w:val="4"/>
          <w:sz w:val="20"/>
          <w:lang w:eastAsia="en-US"/>
        </w:rPr>
        <w:t>1. Co najmniej 5 lat od dnia upływu okresu Gwarancji, w tym czasie gwarantowana jest dostępność części zamiennych.</w:t>
      </w:r>
    </w:p>
    <w:p w14:paraId="5B84C33E" w14:textId="77777777" w:rsidR="00155CEC" w:rsidRDefault="00155CEC" w:rsidP="0060330D">
      <w:pPr>
        <w:pStyle w:val="Adreszwrotnynakopercie"/>
        <w:jc w:val="both"/>
        <w:rPr>
          <w:rFonts w:asciiTheme="minorHAnsi" w:eastAsiaTheme="minorHAnsi" w:hAnsiTheme="minorHAnsi" w:cs="Tahoma"/>
          <w:color w:val="000000" w:themeColor="background1"/>
          <w:spacing w:val="4"/>
          <w:sz w:val="20"/>
          <w:lang w:eastAsia="en-US"/>
        </w:rPr>
      </w:pPr>
      <w:r>
        <w:rPr>
          <w:rFonts w:asciiTheme="minorHAnsi" w:eastAsiaTheme="minorHAnsi" w:hAnsiTheme="minorHAnsi" w:cs="Tahoma"/>
          <w:color w:val="000000" w:themeColor="background1"/>
          <w:spacing w:val="4"/>
          <w:sz w:val="20"/>
          <w:lang w:eastAsia="en-US"/>
        </w:rPr>
        <w:t xml:space="preserve">2. Czas reakcji na Zgłoszenie Serwisowe rozumiany jest jako okres, który upłynął od momentu wysłania przez Zamawiającego Zgłoszenia Serwisowego do momentu potwierdzenia przez Wykonawcę przyjęcia Zgłoszenia Serwisowego. Wykonawca zobowiązuje się, że wyniesie on nie więcej niż 48 h.  </w:t>
      </w:r>
    </w:p>
    <w:p w14:paraId="0F43100C" w14:textId="77777777" w:rsidR="00155CEC" w:rsidRDefault="00155CEC" w:rsidP="0060330D">
      <w:pPr>
        <w:pStyle w:val="Adreszwrotnynakopercie"/>
        <w:jc w:val="both"/>
        <w:rPr>
          <w:rFonts w:asciiTheme="minorHAnsi" w:eastAsiaTheme="minorHAnsi" w:hAnsiTheme="minorHAnsi" w:cs="Tahoma"/>
          <w:color w:val="000000" w:themeColor="background1"/>
          <w:spacing w:val="4"/>
          <w:sz w:val="20"/>
          <w:lang w:eastAsia="en-US"/>
        </w:rPr>
      </w:pPr>
      <w:r>
        <w:rPr>
          <w:rFonts w:asciiTheme="minorHAnsi" w:eastAsiaTheme="minorHAnsi" w:hAnsiTheme="minorHAnsi" w:cs="Tahoma"/>
          <w:color w:val="000000" w:themeColor="background1"/>
          <w:spacing w:val="4"/>
          <w:sz w:val="20"/>
          <w:lang w:eastAsia="en-US"/>
        </w:rPr>
        <w:t>3. Maksymalny Czas Naprawy wynosi 45 dni od momentu oficjalnego momentu potwierdzenia warunków i kosztów naprawy przez PORT.</w:t>
      </w:r>
    </w:p>
    <w:p w14:paraId="393E33EA" w14:textId="77777777" w:rsidR="00155CEC" w:rsidRPr="0060330D" w:rsidRDefault="00155CEC" w:rsidP="0060330D">
      <w:pPr>
        <w:pStyle w:val="Adreszwrotnynakopercie"/>
        <w:jc w:val="both"/>
        <w:rPr>
          <w:rFonts w:asciiTheme="majorHAnsi" w:hAnsiTheme="majorHAnsi"/>
          <w:b/>
          <w:sz w:val="20"/>
          <w:u w:val="single"/>
        </w:rPr>
      </w:pPr>
    </w:p>
    <w:p w14:paraId="360A1B6C" w14:textId="77777777" w:rsidR="00F73B54" w:rsidRPr="0060330D" w:rsidRDefault="00F73B54" w:rsidP="00F73B54">
      <w:pPr>
        <w:pStyle w:val="Adreszwrotnynakopercie"/>
        <w:jc w:val="center"/>
        <w:rPr>
          <w:rFonts w:asciiTheme="majorHAnsi" w:hAnsiTheme="majorHAnsi" w:cs="Tahoma"/>
          <w:b/>
          <w:sz w:val="20"/>
        </w:rPr>
      </w:pPr>
    </w:p>
    <w:p w14:paraId="2A70C63B" w14:textId="77777777" w:rsidR="00E65DB1" w:rsidRPr="0060330D" w:rsidRDefault="00E65DB1" w:rsidP="00E65DB1">
      <w:pPr>
        <w:suppressAutoHyphens/>
        <w:spacing w:after="0" w:line="276" w:lineRule="auto"/>
        <w:ind w:left="-284" w:right="-369" w:firstLine="1"/>
        <w:jc w:val="center"/>
        <w:rPr>
          <w:rFonts w:asciiTheme="majorHAnsi" w:hAnsiTheme="majorHAnsi"/>
          <w:szCs w:val="20"/>
        </w:rPr>
      </w:pPr>
      <w:bookmarkStart w:id="2" w:name="_Hlk76029742"/>
      <w:r w:rsidRPr="0060330D">
        <w:rPr>
          <w:rFonts w:asciiTheme="majorHAnsi" w:eastAsia="MS Mincho" w:hAnsiTheme="majorHAnsi" w:cs="Calibri"/>
          <w:b/>
          <w:i/>
          <w:color w:val="0070C0"/>
          <w:spacing w:val="0"/>
          <w:szCs w:val="20"/>
          <w:lang w:eastAsia="zh-CN"/>
        </w:rPr>
        <w:t>Niniejszy dokument musi być opatrzony przez osobę lub osoby uprawnione do reprezentowania Wykonawcy kwalifikowanym podpisem elektronicznym</w:t>
      </w:r>
      <w:bookmarkEnd w:id="2"/>
    </w:p>
    <w:p w14:paraId="6064EA63" w14:textId="21C8F4F4" w:rsidR="003C567B" w:rsidRPr="0060330D" w:rsidRDefault="003C567B" w:rsidP="00F73B54">
      <w:pPr>
        <w:rPr>
          <w:rFonts w:asciiTheme="majorHAnsi" w:hAnsiTheme="majorHAnsi"/>
          <w:szCs w:val="20"/>
        </w:rPr>
      </w:pPr>
    </w:p>
    <w:sectPr w:rsidR="003C567B" w:rsidRPr="0060330D"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6646" w14:textId="77777777" w:rsidR="00C93046" w:rsidRDefault="00C93046" w:rsidP="006747BD">
      <w:pPr>
        <w:spacing w:after="0" w:line="240" w:lineRule="auto"/>
      </w:pPr>
      <w:r>
        <w:separator/>
      </w:r>
    </w:p>
  </w:endnote>
  <w:endnote w:type="continuationSeparator" w:id="0">
    <w:p w14:paraId="10F00D6A" w14:textId="77777777" w:rsidR="00C93046" w:rsidRDefault="00C93046"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Roboto Lt">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Verdana,Verdana,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162B4EC" w14:textId="77777777" w:rsidR="00CF01C2" w:rsidRDefault="00CF01C2">
            <w:pPr>
              <w:pStyle w:val="Stopka"/>
            </w:pPr>
          </w:p>
          <w:p w14:paraId="42C373DD" w14:textId="77777777" w:rsidR="002C5CFA" w:rsidRDefault="00791C1D">
            <w:pPr>
              <w:pStyle w:val="Stopka"/>
            </w:pPr>
            <w:r>
              <w:rPr>
                <w:noProof/>
                <w:lang w:eastAsia="pl-PL"/>
              </w:rPr>
              <w:drawing>
                <wp:inline distT="0" distB="0" distL="0" distR="0" wp14:anchorId="4709B504" wp14:editId="393DCF36">
                  <wp:extent cx="5111506" cy="663870"/>
                  <wp:effectExtent l="0" t="0" r="0" b="3175"/>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Obraz 198"/>
                          <pic:cNvPicPr/>
                        </pic:nvPicPr>
                        <pic:blipFill>
                          <a:blip r:embed="rId1">
                            <a:extLst>
                              <a:ext uri="{28A0092B-C50C-407E-A947-70E740481C1C}">
                                <a14:useLocalDpi xmlns:a14="http://schemas.microsoft.com/office/drawing/2010/main" val="0"/>
                              </a:ext>
                            </a:extLst>
                          </a:blip>
                          <a:stretch>
                            <a:fillRect/>
                          </a:stretch>
                        </pic:blipFill>
                        <pic:spPr>
                          <a:xfrm>
                            <a:off x="0" y="0"/>
                            <a:ext cx="5111506" cy="663870"/>
                          </a:xfrm>
                          <a:prstGeom prst="rect">
                            <a:avLst/>
                          </a:prstGeom>
                        </pic:spPr>
                      </pic:pic>
                    </a:graphicData>
                  </a:graphic>
                </wp:inline>
              </w:drawing>
            </w:r>
          </w:p>
          <w:p w14:paraId="5F40AC9E" w14:textId="77777777" w:rsidR="002C5CFA" w:rsidRDefault="002C5CFA">
            <w:pPr>
              <w:pStyle w:val="Stopka"/>
            </w:pPr>
          </w:p>
          <w:p w14:paraId="4F2B0BB4"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F01C2">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F01C2">
              <w:rPr>
                <w:bCs/>
                <w:noProof/>
              </w:rPr>
              <w:t>1</w:t>
            </w:r>
            <w:r>
              <w:rPr>
                <w:b w:val="0"/>
                <w:bCs/>
                <w:sz w:val="24"/>
                <w:szCs w:val="24"/>
              </w:rPr>
              <w:fldChar w:fldCharType="end"/>
            </w:r>
          </w:p>
        </w:sdtContent>
      </w:sdt>
    </w:sdtContent>
  </w:sdt>
  <w:p w14:paraId="416CDE3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C833970" wp14:editId="013F773A">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ACD9128" wp14:editId="3B46A85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CD9128"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0B5CE54" w14:textId="77777777" w:rsidR="00A4666C" w:rsidRDefault="00A4666C" w:rsidP="00A4666C">
                    <w:pPr>
                      <w:pStyle w:val="LukStopka-adres"/>
                    </w:pPr>
                    <w:r>
                      <w:t>Sieć Badawcza Łukasiewicz – PORT Polski Ośrodek Rozwoju Technologii</w:t>
                    </w:r>
                  </w:p>
                  <w:p w14:paraId="79B93E7C" w14:textId="77777777" w:rsidR="00A4666C" w:rsidRDefault="00A4666C" w:rsidP="00A4666C">
                    <w:pPr>
                      <w:pStyle w:val="LukStopka-adres"/>
                    </w:pPr>
                    <w:r>
                      <w:t>54-066 Wrocław, ul. Stabłowicka 147, Tel: +48 71 734 77 77, Fax: +48 71 720 16 00</w:t>
                    </w:r>
                  </w:p>
                  <w:p w14:paraId="529F104F" w14:textId="2B2296E0" w:rsidR="00A4666C" w:rsidRPr="003C567B" w:rsidRDefault="00A4666C" w:rsidP="00A4666C">
                    <w:pPr>
                      <w:pStyle w:val="LukStopka-adres"/>
                      <w:rPr>
                        <w:lang w:val="en-US"/>
                      </w:rPr>
                    </w:pPr>
                    <w:r w:rsidRPr="003C567B">
                      <w:rPr>
                        <w:lang w:val="en-US"/>
                      </w:rPr>
                      <w:t>E-mail: biuro@port.</w:t>
                    </w:r>
                    <w:r w:rsidR="002C20CC" w:rsidRPr="003C567B">
                      <w:rPr>
                        <w:lang w:val="en-US"/>
                      </w:rPr>
                      <w:t>lukasiewicz.gov</w:t>
                    </w:r>
                    <w:r w:rsidRPr="003C567B">
                      <w:rPr>
                        <w:lang w:val="en-US"/>
                      </w:rPr>
                      <w:t xml:space="preserve">.pl | NIP: 894 314 05 23, REGON: </w:t>
                    </w:r>
                    <w:r w:rsidR="00842BD3" w:rsidRPr="003C567B">
                      <w:rPr>
                        <w:lang w:val="en-US"/>
                      </w:rPr>
                      <w:t>386585168</w:t>
                    </w:r>
                  </w:p>
                  <w:p w14:paraId="3B418AE1" w14:textId="77777777" w:rsidR="00ED7972" w:rsidRDefault="00ED7972" w:rsidP="00ED7972">
                    <w:pPr>
                      <w:pStyle w:val="LukStopka-adres"/>
                    </w:pPr>
                    <w:r>
                      <w:t xml:space="preserve">Sąd Rejonowy dla Wrocławia – Fabrycznej we Wrocławiu, VI Wydział Gospodarczy KRS, </w:t>
                    </w:r>
                  </w:p>
                  <w:p w14:paraId="5C79ADF5" w14:textId="2BD73C8C" w:rsidR="00DA52A1" w:rsidRPr="00ED7972" w:rsidRDefault="00ED7972" w:rsidP="006F645A">
                    <w:pPr>
                      <w:pStyle w:val="LukStopka-adres"/>
                    </w:pPr>
                    <w:r>
                      <w:t xml:space="preserve">Nr KRS: </w:t>
                    </w:r>
                    <w:r w:rsidR="002C20CC" w:rsidRPr="002C20CC">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AB3"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07E0" w14:textId="77777777" w:rsidR="00C93046" w:rsidRDefault="00C93046" w:rsidP="006747BD">
      <w:pPr>
        <w:spacing w:after="0" w:line="240" w:lineRule="auto"/>
      </w:pPr>
      <w:r>
        <w:separator/>
      </w:r>
    </w:p>
  </w:footnote>
  <w:footnote w:type="continuationSeparator" w:id="0">
    <w:p w14:paraId="1225E9FA" w14:textId="77777777" w:rsidR="00C93046" w:rsidRDefault="00C93046" w:rsidP="006747BD">
      <w:pPr>
        <w:spacing w:after="0" w:line="240" w:lineRule="auto"/>
      </w:pPr>
      <w:r>
        <w:continuationSeparator/>
      </w:r>
    </w:p>
  </w:footnote>
  <w:footnote w:id="1">
    <w:p w14:paraId="0E13E337" w14:textId="362D7285" w:rsidR="00CA2A24" w:rsidRDefault="00CA2A24">
      <w:pPr>
        <w:pStyle w:val="Tekstprzypisudolnego"/>
      </w:pPr>
      <w:r>
        <w:rPr>
          <w:rStyle w:val="Odwoanieprzypisudolnego"/>
        </w:rPr>
        <w:footnoteRef/>
      </w:r>
      <w:r>
        <w:t xml:space="preserve"> Równoważność systemu </w:t>
      </w:r>
      <w:r w:rsidRPr="00954B22">
        <w:t>opisan</w:t>
      </w:r>
      <w:r>
        <w:t>a została</w:t>
      </w:r>
      <w:r w:rsidRPr="00954B22">
        <w:t xml:space="preserve"> w załączniku do OPZ.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579"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881BAA7" wp14:editId="23E298B9">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80B096B"/>
    <w:multiLevelType w:val="hybridMultilevel"/>
    <w:tmpl w:val="B0D8DDEE"/>
    <w:lvl w:ilvl="0" w:tplc="B4DA9F0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4F4A9C"/>
    <w:multiLevelType w:val="hybridMultilevel"/>
    <w:tmpl w:val="9DD0B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CFB0DBE"/>
    <w:multiLevelType w:val="hybridMultilevel"/>
    <w:tmpl w:val="ACF81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13917"/>
    <w:rsid w:val="00026BE8"/>
    <w:rsid w:val="00070438"/>
    <w:rsid w:val="00077647"/>
    <w:rsid w:val="00092A18"/>
    <w:rsid w:val="000B2641"/>
    <w:rsid w:val="000B7671"/>
    <w:rsid w:val="000C4801"/>
    <w:rsid w:val="000D2F0F"/>
    <w:rsid w:val="000D7032"/>
    <w:rsid w:val="000E3803"/>
    <w:rsid w:val="00102C61"/>
    <w:rsid w:val="0010799D"/>
    <w:rsid w:val="001132C5"/>
    <w:rsid w:val="00134929"/>
    <w:rsid w:val="00141A3E"/>
    <w:rsid w:val="00143619"/>
    <w:rsid w:val="001443A8"/>
    <w:rsid w:val="001534ED"/>
    <w:rsid w:val="00155CEC"/>
    <w:rsid w:val="001765FF"/>
    <w:rsid w:val="001A0BD2"/>
    <w:rsid w:val="001C6203"/>
    <w:rsid w:val="001D04CE"/>
    <w:rsid w:val="001F32DF"/>
    <w:rsid w:val="0020513B"/>
    <w:rsid w:val="00230D9D"/>
    <w:rsid w:val="00231524"/>
    <w:rsid w:val="0027350E"/>
    <w:rsid w:val="00297120"/>
    <w:rsid w:val="002A2FB4"/>
    <w:rsid w:val="002C20CC"/>
    <w:rsid w:val="002C5CFA"/>
    <w:rsid w:val="002D48BE"/>
    <w:rsid w:val="002F4540"/>
    <w:rsid w:val="003317CA"/>
    <w:rsid w:val="00335F9F"/>
    <w:rsid w:val="00344572"/>
    <w:rsid w:val="00345E84"/>
    <w:rsid w:val="00346C00"/>
    <w:rsid w:val="00354A18"/>
    <w:rsid w:val="00392DFA"/>
    <w:rsid w:val="003B1272"/>
    <w:rsid w:val="003C567B"/>
    <w:rsid w:val="003E69AF"/>
    <w:rsid w:val="003F4BA3"/>
    <w:rsid w:val="00400E24"/>
    <w:rsid w:val="00436D4A"/>
    <w:rsid w:val="00451F6A"/>
    <w:rsid w:val="004A3DFD"/>
    <w:rsid w:val="004C3B9B"/>
    <w:rsid w:val="004F5805"/>
    <w:rsid w:val="00513B86"/>
    <w:rsid w:val="00526CDD"/>
    <w:rsid w:val="00531A77"/>
    <w:rsid w:val="00555CD5"/>
    <w:rsid w:val="0057711A"/>
    <w:rsid w:val="005A0487"/>
    <w:rsid w:val="005D102F"/>
    <w:rsid w:val="005D1495"/>
    <w:rsid w:val="005E65BB"/>
    <w:rsid w:val="005F202D"/>
    <w:rsid w:val="0060330D"/>
    <w:rsid w:val="00635FEC"/>
    <w:rsid w:val="00655C2B"/>
    <w:rsid w:val="00657E99"/>
    <w:rsid w:val="0066341B"/>
    <w:rsid w:val="00664E7D"/>
    <w:rsid w:val="00670DC0"/>
    <w:rsid w:val="006747BD"/>
    <w:rsid w:val="006749EF"/>
    <w:rsid w:val="006919BD"/>
    <w:rsid w:val="006B0443"/>
    <w:rsid w:val="006C3358"/>
    <w:rsid w:val="006D6DE5"/>
    <w:rsid w:val="006E5990"/>
    <w:rsid w:val="006F645A"/>
    <w:rsid w:val="007077E2"/>
    <w:rsid w:val="00721B01"/>
    <w:rsid w:val="007245BE"/>
    <w:rsid w:val="00725116"/>
    <w:rsid w:val="00727A95"/>
    <w:rsid w:val="0076362A"/>
    <w:rsid w:val="00764305"/>
    <w:rsid w:val="00791C1D"/>
    <w:rsid w:val="00795C18"/>
    <w:rsid w:val="007C1B4E"/>
    <w:rsid w:val="007E2145"/>
    <w:rsid w:val="007E428B"/>
    <w:rsid w:val="00805DF6"/>
    <w:rsid w:val="00821F16"/>
    <w:rsid w:val="008368C0"/>
    <w:rsid w:val="00842BD3"/>
    <w:rsid w:val="0084396A"/>
    <w:rsid w:val="008442CF"/>
    <w:rsid w:val="00854B7B"/>
    <w:rsid w:val="00896838"/>
    <w:rsid w:val="008B1FE2"/>
    <w:rsid w:val="008C1729"/>
    <w:rsid w:val="008C1C21"/>
    <w:rsid w:val="008C75DD"/>
    <w:rsid w:val="008F027B"/>
    <w:rsid w:val="008F0B16"/>
    <w:rsid w:val="008F209D"/>
    <w:rsid w:val="008F7425"/>
    <w:rsid w:val="00922169"/>
    <w:rsid w:val="00962AC5"/>
    <w:rsid w:val="0099379C"/>
    <w:rsid w:val="009B5930"/>
    <w:rsid w:val="009D4C4D"/>
    <w:rsid w:val="009D6BAD"/>
    <w:rsid w:val="00A05E86"/>
    <w:rsid w:val="00A06427"/>
    <w:rsid w:val="00A15AC0"/>
    <w:rsid w:val="00A36F46"/>
    <w:rsid w:val="00A4666C"/>
    <w:rsid w:val="00A526C4"/>
    <w:rsid w:val="00A52C29"/>
    <w:rsid w:val="00A542E6"/>
    <w:rsid w:val="00A661DD"/>
    <w:rsid w:val="00A72214"/>
    <w:rsid w:val="00A767B2"/>
    <w:rsid w:val="00AA6937"/>
    <w:rsid w:val="00AD7645"/>
    <w:rsid w:val="00AF0265"/>
    <w:rsid w:val="00B0205E"/>
    <w:rsid w:val="00B55B01"/>
    <w:rsid w:val="00B61F8A"/>
    <w:rsid w:val="00BA0E53"/>
    <w:rsid w:val="00BC6729"/>
    <w:rsid w:val="00C00EE9"/>
    <w:rsid w:val="00C01A6B"/>
    <w:rsid w:val="00C04233"/>
    <w:rsid w:val="00C12F54"/>
    <w:rsid w:val="00C32419"/>
    <w:rsid w:val="00C736D5"/>
    <w:rsid w:val="00C77C63"/>
    <w:rsid w:val="00C93046"/>
    <w:rsid w:val="00CA2A24"/>
    <w:rsid w:val="00CA7EA9"/>
    <w:rsid w:val="00CC5643"/>
    <w:rsid w:val="00CC57E2"/>
    <w:rsid w:val="00CF01C2"/>
    <w:rsid w:val="00CF156B"/>
    <w:rsid w:val="00D005B3"/>
    <w:rsid w:val="00D00717"/>
    <w:rsid w:val="00D06D36"/>
    <w:rsid w:val="00D135BF"/>
    <w:rsid w:val="00D40690"/>
    <w:rsid w:val="00D40D63"/>
    <w:rsid w:val="00D4282F"/>
    <w:rsid w:val="00D513FC"/>
    <w:rsid w:val="00D52AD0"/>
    <w:rsid w:val="00D944E3"/>
    <w:rsid w:val="00DA52A1"/>
    <w:rsid w:val="00DB7DFB"/>
    <w:rsid w:val="00DC3ECE"/>
    <w:rsid w:val="00DE2315"/>
    <w:rsid w:val="00DF7C10"/>
    <w:rsid w:val="00E01B68"/>
    <w:rsid w:val="00E13E0E"/>
    <w:rsid w:val="00E20A95"/>
    <w:rsid w:val="00E504BE"/>
    <w:rsid w:val="00E65DB1"/>
    <w:rsid w:val="00E71EFE"/>
    <w:rsid w:val="00E7574C"/>
    <w:rsid w:val="00EB3F57"/>
    <w:rsid w:val="00EC128C"/>
    <w:rsid w:val="00ED25C7"/>
    <w:rsid w:val="00ED7972"/>
    <w:rsid w:val="00EE493C"/>
    <w:rsid w:val="00EF2DA3"/>
    <w:rsid w:val="00F025AA"/>
    <w:rsid w:val="00F52497"/>
    <w:rsid w:val="00F61061"/>
    <w:rsid w:val="00F64EEB"/>
    <w:rsid w:val="00F73B54"/>
    <w:rsid w:val="00F85518"/>
    <w:rsid w:val="00FB22AA"/>
    <w:rsid w:val="00FC66D6"/>
    <w:rsid w:val="00FE0474"/>
    <w:rsid w:val="00FE4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15DDA"/>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dreszwrotnynakopercie">
    <w:name w:val="envelope return"/>
    <w:basedOn w:val="Normalny"/>
    <w:rsid w:val="00F73B54"/>
    <w:pPr>
      <w:spacing w:after="0" w:line="240" w:lineRule="auto"/>
      <w:jc w:val="left"/>
    </w:pPr>
    <w:rPr>
      <w:rFonts w:ascii="Arial" w:eastAsia="Times New Roman" w:hAnsi="Arial" w:cs="Times New Roman"/>
      <w:color w:val="auto"/>
      <w:spacing w:val="0"/>
      <w:sz w:val="24"/>
      <w:szCs w:val="20"/>
      <w:lang w:eastAsia="pl-PL"/>
    </w:rPr>
  </w:style>
  <w:style w:type="paragraph" w:styleId="Akapitzlist">
    <w:name w:val="List Paragraph"/>
    <w:basedOn w:val="Normalny"/>
    <w:uiPriority w:val="34"/>
    <w:qFormat/>
    <w:rsid w:val="00F73B54"/>
    <w:pPr>
      <w:spacing w:after="200" w:line="276" w:lineRule="auto"/>
      <w:ind w:left="720"/>
      <w:contextualSpacing/>
      <w:jc w:val="left"/>
    </w:pPr>
    <w:rPr>
      <w:color w:val="auto"/>
      <w:spacing w:val="0"/>
      <w:sz w:val="22"/>
    </w:rPr>
  </w:style>
  <w:style w:type="paragraph" w:customStyle="1" w:styleId="Podstawowyakapitowy">
    <w:name w:val="[Podstawowy akapitowy]"/>
    <w:basedOn w:val="Normalny"/>
    <w:uiPriority w:val="99"/>
    <w:rsid w:val="00102C61"/>
    <w:pPr>
      <w:autoSpaceDE w:val="0"/>
      <w:autoSpaceDN w:val="0"/>
      <w:adjustRightInd w:val="0"/>
      <w:spacing w:after="0" w:line="288" w:lineRule="auto"/>
      <w:jc w:val="left"/>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basedOn w:val="Domylnaczcionkaakapitu"/>
    <w:uiPriority w:val="99"/>
    <w:semiHidden/>
    <w:unhideWhenUsed/>
    <w:rsid w:val="00102C61"/>
    <w:rPr>
      <w:sz w:val="16"/>
      <w:szCs w:val="16"/>
    </w:rPr>
  </w:style>
  <w:style w:type="paragraph" w:styleId="Tekstkomentarza">
    <w:name w:val="annotation text"/>
    <w:basedOn w:val="Normalny"/>
    <w:link w:val="TekstkomentarzaZnak"/>
    <w:uiPriority w:val="99"/>
    <w:semiHidden/>
    <w:unhideWhenUsed/>
    <w:rsid w:val="00102C61"/>
    <w:pPr>
      <w:spacing w:after="20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102C61"/>
    <w:rPr>
      <w:sz w:val="20"/>
      <w:szCs w:val="20"/>
    </w:rPr>
  </w:style>
  <w:style w:type="paragraph" w:customStyle="1" w:styleId="Default">
    <w:name w:val="Default"/>
    <w:rsid w:val="000D7032"/>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F85518"/>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F85518"/>
    <w:rPr>
      <w:b/>
      <w:bCs/>
      <w:color w:val="000000" w:themeColor="background1"/>
      <w:spacing w:val="4"/>
      <w:sz w:val="20"/>
      <w:szCs w:val="20"/>
    </w:rPr>
  </w:style>
  <w:style w:type="paragraph" w:styleId="Tekstprzypisudolnego">
    <w:name w:val="footnote text"/>
    <w:basedOn w:val="Normalny"/>
    <w:link w:val="TekstprzypisudolnegoZnak"/>
    <w:uiPriority w:val="99"/>
    <w:semiHidden/>
    <w:unhideWhenUsed/>
    <w:rsid w:val="00CA2A2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A2A24"/>
    <w:rPr>
      <w:color w:val="000000" w:themeColor="background1"/>
      <w:spacing w:val="4"/>
      <w:sz w:val="20"/>
      <w:szCs w:val="20"/>
    </w:rPr>
  </w:style>
  <w:style w:type="character" w:styleId="Odwoanieprzypisudolnego">
    <w:name w:val="footnote reference"/>
    <w:basedOn w:val="Domylnaczcionkaakapitu"/>
    <w:uiPriority w:val="99"/>
    <w:semiHidden/>
    <w:unhideWhenUsed/>
    <w:rsid w:val="00CA2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777213434">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 w:id="1729914590">
      <w:bodyDiv w:val="1"/>
      <w:marLeft w:val="0"/>
      <w:marRight w:val="0"/>
      <w:marTop w:val="0"/>
      <w:marBottom w:val="0"/>
      <w:divBdr>
        <w:top w:val="none" w:sz="0" w:space="0" w:color="auto"/>
        <w:left w:val="none" w:sz="0" w:space="0" w:color="auto"/>
        <w:bottom w:val="none" w:sz="0" w:space="0" w:color="auto"/>
        <w:right w:val="none" w:sz="0" w:space="0" w:color="auto"/>
      </w:divBdr>
    </w:div>
    <w:div w:id="20063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E74-47EF-4C33-8E7C-9F23D69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3615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Marzena Krzymińska | Łukasiewicz - PORT Polski Ośrodek Rozwoju Technologii</cp:lastModifiedBy>
  <cp:revision>11</cp:revision>
  <cp:lastPrinted>2020-02-10T12:13:00Z</cp:lastPrinted>
  <dcterms:created xsi:type="dcterms:W3CDTF">2021-08-10T10:16:00Z</dcterms:created>
  <dcterms:modified xsi:type="dcterms:W3CDTF">2021-08-25T08:29:00Z</dcterms:modified>
</cp:coreProperties>
</file>