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4D1" w:rsidRPr="007C351B" w:rsidRDefault="00CD44D1" w:rsidP="00C62F77">
      <w:pPr>
        <w:pStyle w:val="Nagwek0"/>
        <w:tabs>
          <w:tab w:val="left" w:pos="-1843"/>
        </w:tabs>
        <w:ind w:left="2127" w:hanging="2127"/>
        <w:rPr>
          <w:rFonts w:asciiTheme="minorHAnsi" w:hAnsiTheme="minorHAnsi" w:cstheme="minorHAnsi"/>
          <w:color w:val="000000"/>
          <w:sz w:val="32"/>
        </w:rPr>
      </w:pPr>
      <w:bookmarkStart w:id="0" w:name="_Toc380383061"/>
      <w:bookmarkStart w:id="1" w:name="_Toc380998674"/>
      <w:r w:rsidRPr="007C351B">
        <w:rPr>
          <w:rFonts w:asciiTheme="minorHAnsi" w:hAnsiTheme="minorHAnsi" w:cstheme="minorHAnsi"/>
          <w:color w:val="000000"/>
          <w:sz w:val="32"/>
        </w:rPr>
        <w:t>D-07.02.01</w:t>
      </w:r>
      <w:r w:rsidRPr="007C351B">
        <w:rPr>
          <w:rFonts w:asciiTheme="minorHAnsi" w:hAnsiTheme="minorHAnsi" w:cstheme="minorHAnsi"/>
          <w:color w:val="000000"/>
          <w:sz w:val="32"/>
        </w:rPr>
        <w:tab/>
        <w:t>O</w:t>
      </w:r>
      <w:bookmarkEnd w:id="0"/>
      <w:bookmarkEnd w:id="1"/>
      <w:r w:rsidRPr="007C351B">
        <w:rPr>
          <w:rFonts w:asciiTheme="minorHAnsi" w:hAnsiTheme="minorHAnsi" w:cstheme="minorHAnsi"/>
          <w:color w:val="000000"/>
          <w:sz w:val="32"/>
        </w:rPr>
        <w:t xml:space="preserve">znakowanie pionowe </w:t>
      </w:r>
      <w:r w:rsidRPr="007C351B">
        <w:rPr>
          <w:rFonts w:asciiTheme="minorHAnsi" w:hAnsiTheme="minorHAnsi" w:cstheme="minorHAnsi"/>
          <w:color w:val="000000"/>
          <w:sz w:val="32"/>
        </w:rPr>
        <w:tab/>
        <w:t xml:space="preserve">ORAZ </w:t>
      </w:r>
      <w:r w:rsidR="00C62F77" w:rsidRPr="007C351B">
        <w:rPr>
          <w:rFonts w:asciiTheme="minorHAnsi" w:hAnsiTheme="minorHAnsi" w:cstheme="minorHAnsi"/>
          <w:color w:val="000000"/>
          <w:sz w:val="32"/>
        </w:rPr>
        <w:t>URZĄDZENIA BEZPIECZEŃSTWA RUCHU</w:t>
      </w:r>
    </w:p>
    <w:p w:rsidR="00CD44D1" w:rsidRPr="007C351B" w:rsidRDefault="00CD44D1">
      <w:pPr>
        <w:rPr>
          <w:rFonts w:asciiTheme="minorHAnsi" w:hAnsiTheme="minorHAnsi" w:cstheme="minorHAnsi"/>
          <w:sz w:val="24"/>
        </w:rPr>
      </w:pPr>
    </w:p>
    <w:p w:rsidR="00CD44D1" w:rsidRPr="007C351B" w:rsidRDefault="00CD44D1">
      <w:pPr>
        <w:rPr>
          <w:rFonts w:asciiTheme="minorHAnsi" w:hAnsiTheme="minorHAnsi" w:cstheme="minorHAnsi"/>
          <w:b/>
          <w:sz w:val="28"/>
          <w:szCs w:val="28"/>
        </w:rPr>
      </w:pPr>
      <w:r w:rsidRPr="007C351B">
        <w:rPr>
          <w:rFonts w:asciiTheme="minorHAnsi" w:hAnsiTheme="minorHAnsi" w:cstheme="minorHAnsi"/>
          <w:b/>
          <w:sz w:val="28"/>
          <w:szCs w:val="28"/>
        </w:rPr>
        <w:t xml:space="preserve">1. </w:t>
      </w:r>
      <w:r w:rsidRPr="007C351B">
        <w:rPr>
          <w:rFonts w:asciiTheme="minorHAnsi" w:hAnsiTheme="minorHAnsi" w:cstheme="minorHAnsi"/>
          <w:b/>
          <w:sz w:val="28"/>
          <w:szCs w:val="28"/>
        </w:rPr>
        <w:tab/>
        <w:t xml:space="preserve">WSTĘP </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1.1</w:t>
      </w:r>
      <w:r w:rsidRPr="007C351B">
        <w:rPr>
          <w:rFonts w:asciiTheme="minorHAnsi" w:hAnsiTheme="minorHAnsi" w:cstheme="minorHAnsi"/>
          <w:b/>
          <w:sz w:val="24"/>
          <w:szCs w:val="24"/>
        </w:rPr>
        <w:tab/>
        <w:t>Nazwa zadania</w:t>
      </w:r>
    </w:p>
    <w:p w:rsidR="00A14C69" w:rsidRPr="007C351B" w:rsidRDefault="00876F6E" w:rsidP="00A14C69">
      <w:pPr>
        <w:pStyle w:val="Listapunktowana"/>
        <w:tabs>
          <w:tab w:val="left" w:pos="360"/>
        </w:tabs>
        <w:spacing w:line="240" w:lineRule="auto"/>
        <w:ind w:left="0" w:right="-1" w:firstLine="0"/>
        <w:rPr>
          <w:rFonts w:asciiTheme="minorHAnsi" w:hAnsiTheme="minorHAnsi" w:cstheme="minorHAnsi"/>
          <w:szCs w:val="24"/>
        </w:rPr>
      </w:pPr>
      <w:r w:rsidRPr="007C351B">
        <w:rPr>
          <w:rFonts w:asciiTheme="minorHAnsi" w:hAnsiTheme="minorHAnsi" w:cstheme="minorHAnsi"/>
          <w:szCs w:val="24"/>
        </w:rPr>
        <w:t>Zgodnie z projektem budowlanym.</w:t>
      </w:r>
    </w:p>
    <w:p w:rsidR="00876F6E" w:rsidRPr="007C351B" w:rsidRDefault="00876F6E" w:rsidP="00A14C69">
      <w:pPr>
        <w:pStyle w:val="Listapunktowana"/>
        <w:tabs>
          <w:tab w:val="left" w:pos="360"/>
        </w:tabs>
        <w:spacing w:line="240" w:lineRule="auto"/>
        <w:ind w:left="0" w:right="-1" w:firstLine="0"/>
        <w:rPr>
          <w:rFonts w:asciiTheme="minorHAnsi" w:hAnsiTheme="minorHAnsi" w:cstheme="minorHAnsi"/>
        </w:rPr>
      </w:pPr>
    </w:p>
    <w:p w:rsidR="00A14C69" w:rsidRPr="007C351B" w:rsidRDefault="00A14C69">
      <w:pPr>
        <w:rPr>
          <w:rFonts w:asciiTheme="minorHAnsi" w:hAnsiTheme="minorHAnsi" w:cstheme="minorHAnsi"/>
          <w:b/>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1.2.</w:t>
      </w:r>
      <w:r w:rsidRPr="007C351B">
        <w:rPr>
          <w:rFonts w:asciiTheme="minorHAnsi" w:hAnsiTheme="minorHAnsi" w:cstheme="minorHAnsi"/>
          <w:b/>
          <w:sz w:val="24"/>
          <w:szCs w:val="24"/>
        </w:rPr>
        <w:tab/>
        <w:t>Przedmiot</w:t>
      </w:r>
      <w:r w:rsidR="001C0745" w:rsidRPr="007C351B">
        <w:rPr>
          <w:rFonts w:asciiTheme="minorHAnsi" w:hAnsiTheme="minorHAnsi" w:cstheme="minorHAnsi"/>
          <w:b/>
          <w:sz w:val="24"/>
          <w:szCs w:val="24"/>
        </w:rPr>
        <w:t xml:space="preserve"> </w:t>
      </w:r>
      <w:r w:rsidR="00F45F37" w:rsidRPr="007C351B">
        <w:rPr>
          <w:rFonts w:asciiTheme="minorHAnsi" w:hAnsiTheme="minorHAnsi" w:cstheme="minorHAnsi"/>
          <w:b/>
          <w:sz w:val="24"/>
          <w:szCs w:val="24"/>
        </w:rPr>
        <w:t>ST</w:t>
      </w:r>
    </w:p>
    <w:p w:rsidR="00CD44D1" w:rsidRPr="007C351B" w:rsidRDefault="00CD44D1">
      <w:pPr>
        <w:rPr>
          <w:rFonts w:asciiTheme="minorHAnsi" w:hAnsiTheme="minorHAnsi" w:cstheme="minorHAnsi"/>
          <w:b/>
        </w:rPr>
      </w:pPr>
    </w:p>
    <w:p w:rsidR="00CD44D1" w:rsidRPr="007C351B" w:rsidRDefault="00CD44D1">
      <w:pPr>
        <w:rPr>
          <w:rFonts w:asciiTheme="minorHAnsi" w:hAnsiTheme="minorHAnsi" w:cstheme="minorHAnsi"/>
          <w:sz w:val="24"/>
        </w:rPr>
      </w:pPr>
      <w:r w:rsidRPr="007C351B">
        <w:rPr>
          <w:rFonts w:asciiTheme="minorHAnsi" w:hAnsiTheme="minorHAnsi" w:cstheme="minorHAnsi"/>
          <w:sz w:val="24"/>
        </w:rPr>
        <w:t xml:space="preserve">Przedmiotem niniejszej </w:t>
      </w:r>
      <w:r w:rsidR="00F45F37" w:rsidRPr="007C351B">
        <w:rPr>
          <w:rFonts w:asciiTheme="minorHAnsi" w:hAnsiTheme="minorHAnsi" w:cstheme="minorHAnsi"/>
          <w:sz w:val="24"/>
        </w:rPr>
        <w:t>ST</w:t>
      </w:r>
      <w:r w:rsidRPr="007C351B">
        <w:rPr>
          <w:rFonts w:asciiTheme="minorHAnsi" w:hAnsiTheme="minorHAnsi" w:cstheme="minorHAnsi"/>
          <w:sz w:val="24"/>
        </w:rPr>
        <w:t xml:space="preserve"> są wymagania dotyczące wykonania i odbioru oznakowania pionowego oraz urządzeń bezpieczeństwa ruchu. </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1.3.</w:t>
      </w:r>
      <w:r w:rsidRPr="007C351B">
        <w:rPr>
          <w:rFonts w:asciiTheme="minorHAnsi" w:hAnsiTheme="minorHAnsi" w:cstheme="minorHAnsi"/>
          <w:b/>
          <w:sz w:val="24"/>
          <w:szCs w:val="24"/>
        </w:rPr>
        <w:tab/>
        <w:t>Zakres robót objętych</w:t>
      </w:r>
      <w:r w:rsidR="001C0745" w:rsidRPr="007C351B">
        <w:rPr>
          <w:rFonts w:asciiTheme="minorHAnsi" w:hAnsiTheme="minorHAnsi" w:cstheme="minorHAnsi"/>
          <w:b/>
          <w:sz w:val="24"/>
          <w:szCs w:val="24"/>
        </w:rPr>
        <w:t xml:space="preserve"> </w:t>
      </w:r>
      <w:r w:rsidR="00F45F37" w:rsidRPr="007C351B">
        <w:rPr>
          <w:rFonts w:asciiTheme="minorHAnsi" w:hAnsiTheme="minorHAnsi" w:cstheme="minorHAnsi"/>
          <w:b/>
          <w:sz w:val="24"/>
          <w:szCs w:val="24"/>
        </w:rPr>
        <w:t>ST</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W zakres robót oznakowania pionowego wchodzi wykonanie i ustawienie następujących znaków pionowych oraz urządzeń bezpieczeństwa ruchu:</w:t>
      </w:r>
    </w:p>
    <w:p w:rsidR="00CD44D1" w:rsidRPr="007C351B" w:rsidRDefault="00CD44D1">
      <w:pPr>
        <w:numPr>
          <w:ilvl w:val="0"/>
          <w:numId w:val="30"/>
        </w:numPr>
        <w:rPr>
          <w:rFonts w:asciiTheme="minorHAnsi" w:hAnsiTheme="minorHAnsi" w:cstheme="minorHAnsi"/>
          <w:sz w:val="24"/>
          <w:szCs w:val="24"/>
          <w:u w:val="single"/>
        </w:rPr>
      </w:pPr>
      <w:r w:rsidRPr="007C351B">
        <w:rPr>
          <w:rFonts w:asciiTheme="minorHAnsi" w:hAnsiTheme="minorHAnsi" w:cstheme="minorHAnsi"/>
          <w:sz w:val="24"/>
          <w:szCs w:val="24"/>
          <w:u w:val="single"/>
        </w:rPr>
        <w:t>oznakowania trwałego:</w:t>
      </w:r>
    </w:p>
    <w:p w:rsidR="00CD44D1" w:rsidRPr="007C351B" w:rsidRDefault="00CD44D1">
      <w:pPr>
        <w:pStyle w:val="Tekstpodstawowy2"/>
        <w:suppressAutoHyphens w:val="0"/>
        <w:ind w:left="720"/>
        <w:rPr>
          <w:rFonts w:asciiTheme="minorHAnsi" w:hAnsiTheme="minorHAnsi" w:cstheme="minorHAnsi"/>
          <w:spacing w:val="-3"/>
          <w:szCs w:val="24"/>
        </w:rPr>
      </w:pPr>
      <w:r w:rsidRPr="007C351B">
        <w:rPr>
          <w:rFonts w:asciiTheme="minorHAnsi" w:hAnsiTheme="minorHAnsi" w:cstheme="minorHAnsi"/>
          <w:szCs w:val="24"/>
        </w:rPr>
        <w:t>- przymocowanie tarcz znak</w:t>
      </w:r>
      <w:r w:rsidR="00C62F77" w:rsidRPr="007C351B">
        <w:rPr>
          <w:rFonts w:asciiTheme="minorHAnsi" w:hAnsiTheme="minorHAnsi" w:cstheme="minorHAnsi"/>
          <w:szCs w:val="24"/>
        </w:rPr>
        <w:t xml:space="preserve">ów średnich (kategorii A, B, D </w:t>
      </w:r>
      <w:r w:rsidRPr="007C351B">
        <w:rPr>
          <w:rFonts w:asciiTheme="minorHAnsi" w:hAnsiTheme="minorHAnsi" w:cstheme="minorHAnsi"/>
          <w:szCs w:val="24"/>
        </w:rPr>
        <w:t>i T), z folii typu 2</w:t>
      </w:r>
    </w:p>
    <w:p w:rsidR="00CD44D1" w:rsidRPr="007C351B" w:rsidRDefault="00CD44D1">
      <w:pPr>
        <w:pStyle w:val="Tekstpodstawowy2"/>
        <w:suppressAutoHyphens w:val="0"/>
        <w:ind w:left="720"/>
        <w:rPr>
          <w:rFonts w:asciiTheme="minorHAnsi" w:hAnsiTheme="minorHAnsi" w:cstheme="minorHAnsi"/>
          <w:spacing w:val="-3"/>
          <w:szCs w:val="24"/>
        </w:rPr>
      </w:pPr>
      <w:r w:rsidRPr="007C351B">
        <w:rPr>
          <w:rFonts w:asciiTheme="minorHAnsi" w:hAnsiTheme="minorHAnsi" w:cstheme="minorHAnsi"/>
          <w:spacing w:val="-3"/>
          <w:szCs w:val="24"/>
        </w:rPr>
        <w:t>- ustawienie słupków stalowych do znaków</w:t>
      </w:r>
    </w:p>
    <w:p w:rsidR="00CD44D1" w:rsidRPr="007C351B" w:rsidRDefault="00CD44D1">
      <w:pPr>
        <w:pStyle w:val="Tekstpodstawowy2"/>
        <w:suppressAutoHyphens w:val="0"/>
        <w:ind w:left="720"/>
        <w:rPr>
          <w:rFonts w:asciiTheme="minorHAnsi" w:hAnsiTheme="minorHAnsi" w:cstheme="minorHAnsi"/>
          <w:spacing w:val="-3"/>
          <w:szCs w:val="24"/>
          <w:u w:val="single"/>
        </w:rPr>
      </w:pPr>
    </w:p>
    <w:p w:rsidR="00CD44D1" w:rsidRPr="007C351B" w:rsidRDefault="00CD44D1">
      <w:pPr>
        <w:pStyle w:val="Tekstpodstawowy2"/>
        <w:numPr>
          <w:ilvl w:val="0"/>
          <w:numId w:val="30"/>
        </w:numPr>
        <w:suppressAutoHyphens w:val="0"/>
        <w:rPr>
          <w:rFonts w:asciiTheme="minorHAnsi" w:hAnsiTheme="minorHAnsi" w:cstheme="minorHAnsi"/>
          <w:spacing w:val="-3"/>
          <w:szCs w:val="24"/>
          <w:u w:val="single"/>
        </w:rPr>
      </w:pPr>
      <w:r w:rsidRPr="007C351B">
        <w:rPr>
          <w:rFonts w:asciiTheme="minorHAnsi" w:hAnsiTheme="minorHAnsi" w:cstheme="minorHAnsi"/>
          <w:szCs w:val="24"/>
          <w:u w:val="single"/>
        </w:rPr>
        <w:t>oznakowania na czas budowy.</w:t>
      </w:r>
    </w:p>
    <w:p w:rsidR="00CD44D1" w:rsidRPr="007C351B" w:rsidRDefault="00CD44D1">
      <w:pPr>
        <w:pStyle w:val="Tekstpodstawowy2"/>
        <w:suppressAutoHyphens w:val="0"/>
        <w:ind w:left="720"/>
        <w:rPr>
          <w:rFonts w:asciiTheme="minorHAnsi" w:hAnsiTheme="minorHAnsi" w:cstheme="minorHAnsi"/>
          <w:spacing w:val="-3"/>
          <w:szCs w:val="24"/>
          <w:u w:val="single"/>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1.4.</w:t>
      </w:r>
      <w:r w:rsidRPr="007C351B">
        <w:rPr>
          <w:rFonts w:asciiTheme="minorHAnsi" w:hAnsiTheme="minorHAnsi" w:cstheme="minorHAnsi"/>
          <w:b/>
          <w:sz w:val="24"/>
          <w:szCs w:val="24"/>
        </w:rPr>
        <w:tab/>
        <w:t>Informacje ogólne o terenie budowy</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Informacje ogólne zwarto w D-00.00.00.</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1.5.</w:t>
      </w:r>
      <w:r w:rsidRPr="007C351B">
        <w:rPr>
          <w:rFonts w:asciiTheme="minorHAnsi" w:hAnsiTheme="minorHAnsi" w:cstheme="minorHAnsi"/>
          <w:b/>
          <w:sz w:val="24"/>
          <w:szCs w:val="24"/>
        </w:rPr>
        <w:tab/>
        <w:t>Nazwy i kody</w:t>
      </w:r>
    </w:p>
    <w:p w:rsidR="00CD44D1" w:rsidRPr="007C351B" w:rsidRDefault="00CD44D1">
      <w:pPr>
        <w:rPr>
          <w:rFonts w:asciiTheme="minorHAnsi" w:hAnsiTheme="minorHAnsi" w:cstheme="minorHAnsi"/>
          <w:sz w:val="24"/>
          <w:szCs w:val="24"/>
        </w:rPr>
      </w:pPr>
    </w:p>
    <w:p w:rsidR="00CD44D1" w:rsidRPr="007C351B" w:rsidRDefault="00CD44D1">
      <w:pPr>
        <w:tabs>
          <w:tab w:val="left" w:pos="1701"/>
          <w:tab w:val="left" w:pos="3119"/>
        </w:tabs>
        <w:ind w:left="3119" w:hanging="3119"/>
        <w:rPr>
          <w:rFonts w:asciiTheme="minorHAnsi" w:hAnsiTheme="minorHAnsi" w:cstheme="minorHAnsi"/>
          <w:sz w:val="24"/>
          <w:szCs w:val="24"/>
        </w:rPr>
      </w:pPr>
      <w:r w:rsidRPr="007C351B">
        <w:rPr>
          <w:rFonts w:asciiTheme="minorHAnsi" w:hAnsiTheme="minorHAnsi" w:cstheme="minorHAnsi"/>
          <w:sz w:val="24"/>
          <w:szCs w:val="24"/>
        </w:rPr>
        <w:t>Grupa robót:</w:t>
      </w:r>
      <w:r w:rsidRPr="007C351B">
        <w:rPr>
          <w:rFonts w:asciiTheme="minorHAnsi" w:hAnsiTheme="minorHAnsi" w:cstheme="minorHAnsi"/>
          <w:sz w:val="24"/>
          <w:szCs w:val="24"/>
        </w:rPr>
        <w:tab/>
        <w:t>45200000-9</w:t>
      </w:r>
      <w:r w:rsidRPr="007C351B">
        <w:rPr>
          <w:rFonts w:asciiTheme="minorHAnsi" w:hAnsiTheme="minorHAnsi" w:cstheme="minorHAnsi"/>
          <w:sz w:val="24"/>
          <w:szCs w:val="24"/>
        </w:rPr>
        <w:tab/>
        <w:t>Roboty budowlane w zakresie wznoszenia kompletnych obiektów budowlanych lub ich części oraz robót w zakresie inżynierii lądowej i wodnej.</w:t>
      </w:r>
    </w:p>
    <w:p w:rsidR="00CD44D1" w:rsidRPr="007C351B" w:rsidRDefault="00CD44D1">
      <w:pPr>
        <w:tabs>
          <w:tab w:val="left" w:pos="1701"/>
          <w:tab w:val="left" w:pos="3119"/>
        </w:tabs>
        <w:ind w:left="3119" w:hanging="3119"/>
        <w:jc w:val="left"/>
        <w:rPr>
          <w:rFonts w:asciiTheme="minorHAnsi" w:hAnsiTheme="minorHAnsi" w:cstheme="minorHAnsi"/>
          <w:sz w:val="24"/>
          <w:szCs w:val="24"/>
        </w:rPr>
      </w:pPr>
      <w:r w:rsidRPr="007C351B">
        <w:rPr>
          <w:rFonts w:asciiTheme="minorHAnsi" w:hAnsiTheme="minorHAnsi" w:cstheme="minorHAnsi"/>
          <w:sz w:val="24"/>
          <w:szCs w:val="24"/>
        </w:rPr>
        <w:t>Klasa robót:</w:t>
      </w:r>
      <w:r w:rsidRPr="007C351B">
        <w:rPr>
          <w:rFonts w:asciiTheme="minorHAnsi" w:hAnsiTheme="minorHAnsi" w:cstheme="minorHAnsi"/>
          <w:sz w:val="24"/>
          <w:szCs w:val="24"/>
        </w:rPr>
        <w:tab/>
        <w:t>45230000-8</w:t>
      </w:r>
      <w:r w:rsidRPr="007C351B">
        <w:rPr>
          <w:rFonts w:asciiTheme="minorHAnsi" w:hAnsiTheme="minorHAnsi" w:cstheme="minorHAnsi"/>
          <w:sz w:val="24"/>
          <w:szCs w:val="24"/>
        </w:rPr>
        <w:tab/>
        <w:t xml:space="preserve">Roboty budowlane w zakresie budowy rurociągów, linii </w:t>
      </w:r>
      <w:bookmarkStart w:id="2" w:name="_GoBack"/>
      <w:bookmarkEnd w:id="2"/>
      <w:r w:rsidRPr="007C351B">
        <w:rPr>
          <w:rFonts w:asciiTheme="minorHAnsi" w:hAnsiTheme="minorHAnsi" w:cstheme="minorHAnsi"/>
          <w:sz w:val="24"/>
          <w:szCs w:val="24"/>
        </w:rPr>
        <w:t>komunikacyjnych i elektroenergetycznych, autostrad, dróg, lotnisk i kolei, wyrównania terenu.</w:t>
      </w:r>
    </w:p>
    <w:p w:rsidR="00CD44D1" w:rsidRPr="007C351B" w:rsidRDefault="00CD44D1">
      <w:pPr>
        <w:tabs>
          <w:tab w:val="left" w:pos="1701"/>
          <w:tab w:val="left" w:pos="3119"/>
        </w:tabs>
        <w:ind w:left="3119" w:hanging="3119"/>
        <w:rPr>
          <w:rFonts w:asciiTheme="minorHAnsi" w:hAnsiTheme="minorHAnsi" w:cstheme="minorHAnsi"/>
          <w:sz w:val="24"/>
          <w:szCs w:val="24"/>
        </w:rPr>
      </w:pPr>
      <w:r w:rsidRPr="007C351B">
        <w:rPr>
          <w:rFonts w:asciiTheme="minorHAnsi" w:hAnsiTheme="minorHAnsi" w:cstheme="minorHAnsi"/>
          <w:sz w:val="24"/>
          <w:szCs w:val="24"/>
        </w:rPr>
        <w:t>Kategoria robót:</w:t>
      </w:r>
      <w:r w:rsidRPr="007C351B">
        <w:rPr>
          <w:rFonts w:asciiTheme="minorHAnsi" w:hAnsiTheme="minorHAnsi" w:cstheme="minorHAnsi"/>
          <w:sz w:val="24"/>
          <w:szCs w:val="24"/>
        </w:rPr>
        <w:tab/>
        <w:t>45233000-9</w:t>
      </w:r>
      <w:r w:rsidRPr="007C351B">
        <w:rPr>
          <w:rFonts w:asciiTheme="minorHAnsi" w:hAnsiTheme="minorHAnsi" w:cstheme="minorHAnsi"/>
          <w:sz w:val="24"/>
          <w:szCs w:val="24"/>
        </w:rPr>
        <w:tab/>
        <w:t>Roboty w zakresie konstruowania, fundamentowania oraz wykonywania nawierzchni autostrad, dróg.</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1.6</w:t>
      </w:r>
      <w:r w:rsidRPr="007C351B">
        <w:rPr>
          <w:rFonts w:asciiTheme="minorHAnsi" w:hAnsiTheme="minorHAnsi" w:cstheme="minorHAnsi"/>
          <w:b/>
          <w:sz w:val="24"/>
          <w:szCs w:val="24"/>
        </w:rPr>
        <w:tab/>
        <w:t>Określenia podstawowe</w:t>
      </w:r>
    </w:p>
    <w:p w:rsidR="00CD44D1" w:rsidRPr="007C351B" w:rsidRDefault="00CD44D1">
      <w:pPr>
        <w:rPr>
          <w:rFonts w:asciiTheme="minorHAnsi" w:hAnsiTheme="minorHAnsi" w:cstheme="minorHAnsi"/>
          <w:sz w:val="24"/>
          <w:szCs w:val="24"/>
        </w:rPr>
      </w:pPr>
    </w:p>
    <w:p w:rsidR="00CD44D1" w:rsidRPr="007C351B" w:rsidRDefault="00CD44D1">
      <w:pPr>
        <w:ind w:right="278"/>
        <w:rPr>
          <w:rFonts w:asciiTheme="minorHAnsi" w:hAnsiTheme="minorHAnsi" w:cstheme="minorHAnsi"/>
          <w:sz w:val="24"/>
        </w:rPr>
      </w:pPr>
      <w:r w:rsidRPr="007C351B">
        <w:rPr>
          <w:rFonts w:asciiTheme="minorHAnsi" w:hAnsiTheme="minorHAnsi" w:cstheme="minorHAnsi"/>
          <w:b/>
          <w:sz w:val="24"/>
        </w:rPr>
        <w:t>Znak pionowy</w:t>
      </w:r>
      <w:r w:rsidRPr="007C351B">
        <w:rPr>
          <w:rFonts w:asciiTheme="minorHAnsi" w:hAnsiTheme="minorHAnsi" w:cstheme="minorHAnsi"/>
          <w:sz w:val="24"/>
        </w:rPr>
        <w:t xml:space="preserve"> - znak wykonany w postaci tarczy lub tablicy z napisami albo symbolami, zwykle umieszczony na konstrukcji wsporczej. </w:t>
      </w:r>
    </w:p>
    <w:p w:rsidR="00CD44D1" w:rsidRPr="007C351B" w:rsidRDefault="00CD44D1">
      <w:pPr>
        <w:suppressAutoHyphens/>
        <w:rPr>
          <w:rFonts w:asciiTheme="minorHAnsi" w:hAnsiTheme="minorHAnsi" w:cstheme="minorHAnsi"/>
          <w:sz w:val="24"/>
          <w:szCs w:val="24"/>
        </w:rPr>
      </w:pPr>
      <w:r w:rsidRPr="007C351B">
        <w:rPr>
          <w:rFonts w:asciiTheme="minorHAnsi" w:hAnsiTheme="minorHAnsi" w:cstheme="minorHAnsi"/>
          <w:b/>
          <w:sz w:val="24"/>
          <w:szCs w:val="24"/>
        </w:rPr>
        <w:t>Tablica prowadząca</w:t>
      </w:r>
      <w:r w:rsidRPr="007C351B">
        <w:rPr>
          <w:rFonts w:asciiTheme="minorHAnsi" w:hAnsiTheme="minorHAnsi" w:cstheme="minorHAnsi"/>
          <w:sz w:val="24"/>
          <w:szCs w:val="24"/>
        </w:rPr>
        <w:t xml:space="preserve"> – znak pionowy wykonany w postaci tablicy z symbolami, umieszczony na konstrukcji wsporczej, stosowany w celu uprzedzenia kierującego pojazdem o koniecznej </w:t>
      </w:r>
      <w:r w:rsidRPr="007C351B">
        <w:rPr>
          <w:rFonts w:asciiTheme="minorHAnsi" w:hAnsiTheme="minorHAnsi" w:cstheme="minorHAnsi"/>
          <w:sz w:val="24"/>
          <w:szCs w:val="24"/>
        </w:rPr>
        <w:lastRenderedPageBreak/>
        <w:t>zmianie kierunku jazdy na szczególnie niebezpiecznych łukach poziomych i skrzyżowaniach typu „T”.</w:t>
      </w:r>
    </w:p>
    <w:p w:rsidR="00CD44D1" w:rsidRPr="007C351B" w:rsidRDefault="00CD44D1">
      <w:pPr>
        <w:suppressAutoHyphens/>
        <w:rPr>
          <w:rFonts w:asciiTheme="minorHAnsi" w:hAnsiTheme="minorHAnsi" w:cstheme="minorHAnsi"/>
          <w:sz w:val="24"/>
          <w:szCs w:val="24"/>
        </w:rPr>
      </w:pPr>
      <w:r w:rsidRPr="007C351B">
        <w:rPr>
          <w:rFonts w:asciiTheme="minorHAnsi" w:hAnsiTheme="minorHAnsi" w:cstheme="minorHAnsi"/>
          <w:b/>
          <w:sz w:val="24"/>
          <w:szCs w:val="24"/>
        </w:rPr>
        <w:t>Tablica rozdzielająca</w:t>
      </w:r>
      <w:r w:rsidRPr="007C351B">
        <w:rPr>
          <w:rFonts w:asciiTheme="minorHAnsi" w:hAnsiTheme="minorHAnsi" w:cstheme="minorHAnsi"/>
          <w:sz w:val="24"/>
          <w:szCs w:val="24"/>
        </w:rPr>
        <w:t xml:space="preserve"> – znak pionowy wykonany w postaci tablicy z symbolami, umieszczony na konstrukcji wsporczej, stosowany w celu wskazania kierującemu pojazdem miejsca rozdzielenia się kierunków ruchu.</w:t>
      </w:r>
    </w:p>
    <w:p w:rsidR="00CD44D1" w:rsidRPr="007C351B" w:rsidRDefault="00CD44D1">
      <w:pPr>
        <w:suppressAutoHyphens/>
        <w:rPr>
          <w:rFonts w:asciiTheme="minorHAnsi" w:hAnsiTheme="minorHAnsi" w:cstheme="minorHAnsi"/>
          <w:sz w:val="24"/>
          <w:szCs w:val="24"/>
        </w:rPr>
      </w:pPr>
      <w:r w:rsidRPr="007C351B">
        <w:rPr>
          <w:rFonts w:asciiTheme="minorHAnsi" w:hAnsiTheme="minorHAnsi" w:cstheme="minorHAnsi"/>
          <w:b/>
          <w:sz w:val="24"/>
          <w:szCs w:val="24"/>
        </w:rPr>
        <w:t>Słupek przeszkodowy</w:t>
      </w:r>
      <w:r w:rsidRPr="007C351B">
        <w:rPr>
          <w:rFonts w:asciiTheme="minorHAnsi" w:hAnsiTheme="minorHAnsi" w:cstheme="minorHAnsi"/>
          <w:sz w:val="24"/>
          <w:szCs w:val="24"/>
        </w:rPr>
        <w:t xml:space="preserve"> – element bezpieczeństwa ruchu stosowany w celu oznaczenia przeszkód na jezdni (bariery rozdzielające pasy ruchu, azyle dla pieszych, wysepki wyodrębnione krawężnikami itp.).</w:t>
      </w:r>
    </w:p>
    <w:p w:rsidR="00CD44D1" w:rsidRPr="007C351B" w:rsidRDefault="00CD44D1">
      <w:pPr>
        <w:suppressAutoHyphens/>
        <w:rPr>
          <w:rFonts w:asciiTheme="minorHAnsi" w:hAnsiTheme="minorHAnsi" w:cstheme="minorHAnsi"/>
          <w:sz w:val="24"/>
          <w:szCs w:val="24"/>
        </w:rPr>
      </w:pPr>
      <w:r w:rsidRPr="007C351B">
        <w:rPr>
          <w:rFonts w:asciiTheme="minorHAnsi" w:hAnsiTheme="minorHAnsi" w:cstheme="minorHAnsi"/>
          <w:b/>
          <w:sz w:val="24"/>
          <w:szCs w:val="24"/>
        </w:rPr>
        <w:t>Słupek przeszkodowy aktywny</w:t>
      </w:r>
      <w:r w:rsidRPr="007C351B">
        <w:rPr>
          <w:rFonts w:asciiTheme="minorHAnsi" w:hAnsiTheme="minorHAnsi" w:cstheme="minorHAnsi"/>
          <w:sz w:val="24"/>
          <w:szCs w:val="24"/>
        </w:rPr>
        <w:t xml:space="preserve"> – słupek przeszkodowy wyposażony w elementy świetlne emitujące pulsujące żółte światło.</w:t>
      </w:r>
    </w:p>
    <w:p w:rsidR="00CD44D1" w:rsidRPr="007C351B" w:rsidRDefault="00CD44D1">
      <w:pPr>
        <w:suppressAutoHyphens/>
        <w:rPr>
          <w:rFonts w:asciiTheme="minorHAnsi" w:hAnsiTheme="minorHAnsi" w:cstheme="minorHAnsi"/>
          <w:sz w:val="24"/>
          <w:szCs w:val="24"/>
        </w:rPr>
      </w:pPr>
      <w:r w:rsidRPr="007C351B">
        <w:rPr>
          <w:rFonts w:asciiTheme="minorHAnsi" w:hAnsiTheme="minorHAnsi" w:cstheme="minorHAnsi"/>
          <w:b/>
          <w:sz w:val="24"/>
          <w:szCs w:val="24"/>
        </w:rPr>
        <w:t>Tablica kierująca</w:t>
      </w:r>
      <w:r w:rsidRPr="007C351B">
        <w:rPr>
          <w:rFonts w:asciiTheme="minorHAnsi" w:hAnsiTheme="minorHAnsi" w:cstheme="minorHAnsi"/>
          <w:sz w:val="24"/>
          <w:szCs w:val="24"/>
        </w:rPr>
        <w:t xml:space="preserve"> – znak pionowy wykonany w postaci tablicy z symbolami, umieszczony na konstrukcji wsporczej, stosowany w celu wskazania kierującemu pojazdem miejsca występowania na jezdni przeszkód (bariery, azyle dla pieszych, wysepki wyodrębnione krawężnikami itp.).</w:t>
      </w:r>
    </w:p>
    <w:p w:rsidR="00CD44D1" w:rsidRPr="007C351B" w:rsidRDefault="00CD44D1">
      <w:pPr>
        <w:suppressAutoHyphens/>
        <w:rPr>
          <w:rFonts w:asciiTheme="minorHAnsi" w:hAnsiTheme="minorHAnsi" w:cstheme="minorHAnsi"/>
          <w:sz w:val="24"/>
          <w:szCs w:val="24"/>
        </w:rPr>
      </w:pPr>
      <w:r w:rsidRPr="007C351B">
        <w:rPr>
          <w:rFonts w:asciiTheme="minorHAnsi" w:hAnsiTheme="minorHAnsi" w:cstheme="minorHAnsi"/>
          <w:b/>
          <w:sz w:val="24"/>
          <w:szCs w:val="24"/>
        </w:rPr>
        <w:t>Osłona energochłonna</w:t>
      </w:r>
      <w:r w:rsidRPr="007C351B">
        <w:rPr>
          <w:rFonts w:asciiTheme="minorHAnsi" w:hAnsiTheme="minorHAnsi" w:cstheme="minorHAnsi"/>
          <w:sz w:val="24"/>
          <w:szCs w:val="24"/>
        </w:rPr>
        <w:t xml:space="preserve"> – element bezpieczeństwa ruchu cechujący się przede wszystkim zdolnością pochłaniania energii pojazdu uderzającego w osłonę.</w:t>
      </w:r>
    </w:p>
    <w:p w:rsidR="00CD44D1" w:rsidRPr="007C351B" w:rsidRDefault="00CD44D1">
      <w:pPr>
        <w:suppressAutoHyphens/>
        <w:rPr>
          <w:rFonts w:asciiTheme="minorHAnsi" w:hAnsiTheme="minorHAnsi" w:cstheme="minorHAnsi"/>
          <w:sz w:val="24"/>
          <w:szCs w:val="24"/>
        </w:rPr>
      </w:pPr>
      <w:r w:rsidRPr="007C351B">
        <w:rPr>
          <w:rFonts w:asciiTheme="minorHAnsi" w:hAnsiTheme="minorHAnsi" w:cstheme="minorHAnsi"/>
          <w:b/>
          <w:sz w:val="24"/>
          <w:szCs w:val="24"/>
        </w:rPr>
        <w:t>Osłona zabezpieczająca</w:t>
      </w:r>
      <w:r w:rsidRPr="007C351B">
        <w:rPr>
          <w:rFonts w:asciiTheme="minorHAnsi" w:hAnsiTheme="minorHAnsi" w:cstheme="minorHAnsi"/>
          <w:sz w:val="24"/>
          <w:szCs w:val="24"/>
        </w:rPr>
        <w:t xml:space="preserve"> – element bezpieczeństwa ruchu wypełniony piaskiem lub wodą. Stosowany w miejscach rozwidlenia i odgałęzienia łącznic wyjazdowych.</w:t>
      </w:r>
    </w:p>
    <w:p w:rsidR="00CD44D1" w:rsidRPr="007C351B" w:rsidRDefault="00CD44D1">
      <w:pPr>
        <w:suppressAutoHyphens/>
        <w:rPr>
          <w:rFonts w:asciiTheme="minorHAnsi" w:hAnsiTheme="minorHAnsi" w:cstheme="minorHAnsi"/>
          <w:sz w:val="24"/>
          <w:szCs w:val="24"/>
        </w:rPr>
      </w:pPr>
      <w:r w:rsidRPr="007C351B">
        <w:rPr>
          <w:rFonts w:asciiTheme="minorHAnsi" w:hAnsiTheme="minorHAnsi" w:cstheme="minorHAnsi"/>
          <w:b/>
          <w:sz w:val="24"/>
          <w:szCs w:val="24"/>
        </w:rPr>
        <w:t xml:space="preserve">Osłona </w:t>
      </w:r>
      <w:proofErr w:type="spellStart"/>
      <w:r w:rsidRPr="007C351B">
        <w:rPr>
          <w:rFonts w:asciiTheme="minorHAnsi" w:hAnsiTheme="minorHAnsi" w:cstheme="minorHAnsi"/>
          <w:b/>
          <w:sz w:val="24"/>
          <w:szCs w:val="24"/>
        </w:rPr>
        <w:t>przeciwolśnieniowa</w:t>
      </w:r>
      <w:proofErr w:type="spellEnd"/>
      <w:r w:rsidRPr="007C351B">
        <w:rPr>
          <w:rFonts w:asciiTheme="minorHAnsi" w:hAnsiTheme="minorHAnsi" w:cstheme="minorHAnsi"/>
          <w:sz w:val="24"/>
          <w:szCs w:val="24"/>
        </w:rPr>
        <w:t xml:space="preserve"> – element bezpieczeństwa ruchu stosowany w celu zapobieżenia oślepianiu przez nadjeżdżające z przeciwka pojazdy na drogach dwujezdniowych lub drogach równoległych.</w:t>
      </w:r>
    </w:p>
    <w:p w:rsidR="00CD44D1" w:rsidRPr="007C351B" w:rsidRDefault="00CD44D1">
      <w:pPr>
        <w:suppressAutoHyphens/>
        <w:rPr>
          <w:rFonts w:asciiTheme="minorHAnsi" w:hAnsiTheme="minorHAnsi" w:cstheme="minorHAnsi"/>
          <w:sz w:val="24"/>
          <w:szCs w:val="24"/>
        </w:rPr>
      </w:pPr>
      <w:r w:rsidRPr="007C351B">
        <w:rPr>
          <w:rFonts w:asciiTheme="minorHAnsi" w:hAnsiTheme="minorHAnsi" w:cstheme="minorHAnsi"/>
          <w:b/>
          <w:sz w:val="24"/>
          <w:szCs w:val="24"/>
        </w:rPr>
        <w:t>Zapora drogowa</w:t>
      </w:r>
      <w:r w:rsidRPr="007C351B">
        <w:rPr>
          <w:rFonts w:asciiTheme="minorHAnsi" w:hAnsiTheme="minorHAnsi" w:cstheme="minorHAnsi"/>
          <w:sz w:val="24"/>
          <w:szCs w:val="24"/>
        </w:rPr>
        <w:t xml:space="preserve"> – znak pionowy wykonany w postaci tablicy z symbolami, umieszczony na konstrukcji wsporczej, stosowany w celu wygrodzenia miejsc robót w pasie drogowym a także na drogach zakończonych placem do zawracania.</w:t>
      </w:r>
    </w:p>
    <w:p w:rsidR="00CD44D1" w:rsidRPr="007C351B" w:rsidRDefault="00CD44D1">
      <w:pPr>
        <w:suppressAutoHyphens/>
        <w:rPr>
          <w:rFonts w:asciiTheme="minorHAnsi" w:hAnsiTheme="minorHAnsi" w:cstheme="minorHAnsi"/>
          <w:sz w:val="24"/>
          <w:szCs w:val="24"/>
        </w:rPr>
      </w:pPr>
      <w:r w:rsidRPr="007C351B">
        <w:rPr>
          <w:rFonts w:asciiTheme="minorHAnsi" w:hAnsiTheme="minorHAnsi" w:cstheme="minorHAnsi"/>
          <w:b/>
          <w:sz w:val="24"/>
          <w:szCs w:val="24"/>
        </w:rPr>
        <w:t>Separator ruchu</w:t>
      </w:r>
      <w:r w:rsidRPr="007C351B">
        <w:rPr>
          <w:rFonts w:asciiTheme="minorHAnsi" w:hAnsiTheme="minorHAnsi" w:cstheme="minorHAnsi"/>
          <w:sz w:val="24"/>
          <w:szCs w:val="24"/>
        </w:rPr>
        <w:t xml:space="preserve"> – element bezpieczeństwa ruchu stosowany w celu optycznego i mechanicznego rozdzielenia pasów o przeciwnych kierunkach ruchu, oddzielenia pasów ruchu dla pojazdów komunikacji zbiorowej, wyznaczenia toru jazdy pojazdów, wyznaczenia zawężonych pasów ruchu, wyznaczania krawędzi jezdni oraz (lub) przeciwdziałania niepożądanemu (niekontrolowanemu) przejeżdżaniu na powierzchnie wyłączone z ruchu, ciągi piesze i rowerowe.</w:t>
      </w:r>
    </w:p>
    <w:p w:rsidR="00CD44D1" w:rsidRPr="007C351B" w:rsidRDefault="00CD44D1">
      <w:pPr>
        <w:rPr>
          <w:rFonts w:asciiTheme="minorHAnsi" w:hAnsiTheme="minorHAnsi" w:cstheme="minorHAnsi"/>
          <w:sz w:val="24"/>
        </w:rPr>
      </w:pPr>
    </w:p>
    <w:p w:rsidR="00CD44D1" w:rsidRPr="007C351B" w:rsidRDefault="00CD44D1">
      <w:pPr>
        <w:pStyle w:val="Tekstpodstawowy2"/>
        <w:rPr>
          <w:rFonts w:asciiTheme="minorHAnsi" w:hAnsiTheme="minorHAnsi" w:cstheme="minorHAnsi"/>
        </w:rPr>
      </w:pPr>
      <w:r w:rsidRPr="007C351B">
        <w:rPr>
          <w:rFonts w:asciiTheme="minorHAnsi" w:hAnsiTheme="minorHAnsi" w:cstheme="minorHAnsi"/>
        </w:rPr>
        <w:t xml:space="preserve">Pozostałe określenia są zgodne z obowiązującymi, odpowiednimi polskimi normami oraz z definicjami podanymi w </w:t>
      </w:r>
      <w:r w:rsidR="00F45F37" w:rsidRPr="007C351B">
        <w:rPr>
          <w:rFonts w:asciiTheme="minorHAnsi" w:hAnsiTheme="minorHAnsi" w:cstheme="minorHAnsi"/>
        </w:rPr>
        <w:t>ST</w:t>
      </w:r>
      <w:r w:rsidRPr="007C351B">
        <w:rPr>
          <w:rFonts w:asciiTheme="minorHAnsi" w:hAnsiTheme="minorHAnsi" w:cstheme="minorHAnsi"/>
        </w:rPr>
        <w:t xml:space="preserve"> DM-00.00.00 „Wymagania ogólne”. </w:t>
      </w:r>
    </w:p>
    <w:p w:rsidR="00CD44D1" w:rsidRPr="007C351B" w:rsidRDefault="00CD44D1">
      <w:pPr>
        <w:rPr>
          <w:rFonts w:asciiTheme="minorHAnsi" w:hAnsiTheme="minorHAnsi" w:cstheme="minorHAnsi"/>
          <w:sz w:val="24"/>
        </w:rPr>
      </w:pPr>
    </w:p>
    <w:p w:rsidR="00CD44D1" w:rsidRPr="007C351B" w:rsidRDefault="00CD44D1">
      <w:pPr>
        <w:rPr>
          <w:rFonts w:asciiTheme="minorHAnsi" w:hAnsiTheme="minorHAnsi" w:cstheme="minorHAnsi"/>
          <w:sz w:val="24"/>
        </w:rPr>
      </w:pPr>
    </w:p>
    <w:p w:rsidR="00CD44D1" w:rsidRPr="007C351B" w:rsidRDefault="00CD44D1">
      <w:pPr>
        <w:pStyle w:val="Nagwek1"/>
        <w:rPr>
          <w:rFonts w:asciiTheme="minorHAnsi" w:hAnsiTheme="minorHAnsi" w:cstheme="minorHAnsi"/>
        </w:rPr>
      </w:pPr>
      <w:r w:rsidRPr="007C351B">
        <w:rPr>
          <w:rFonts w:asciiTheme="minorHAnsi" w:hAnsiTheme="minorHAnsi" w:cstheme="minorHAnsi"/>
        </w:rPr>
        <w:t>2.</w:t>
      </w:r>
      <w:r w:rsidRPr="007C351B">
        <w:rPr>
          <w:rFonts w:asciiTheme="minorHAnsi" w:hAnsiTheme="minorHAnsi" w:cstheme="minorHAnsi"/>
        </w:rPr>
        <w:tab/>
        <w:t>MATERIAŁY</w:t>
      </w:r>
    </w:p>
    <w:p w:rsidR="00CD44D1" w:rsidRPr="007C351B" w:rsidRDefault="00CD44D1">
      <w:pPr>
        <w:rPr>
          <w:rFonts w:asciiTheme="minorHAnsi" w:hAnsiTheme="minorHAnsi" w:cstheme="minorHAnsi"/>
          <w:sz w:val="24"/>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2.1.</w:t>
      </w:r>
      <w:r w:rsidRPr="007C351B">
        <w:rPr>
          <w:rFonts w:asciiTheme="minorHAnsi" w:hAnsiTheme="minorHAnsi" w:cstheme="minorHAnsi"/>
        </w:rPr>
        <w:tab/>
        <w:t>Ogólne wymagania dotyczące materiałów</w:t>
      </w:r>
    </w:p>
    <w:p w:rsidR="00CD44D1" w:rsidRPr="007C351B" w:rsidRDefault="00CD44D1">
      <w:pPr>
        <w:rPr>
          <w:rFonts w:asciiTheme="minorHAnsi" w:eastAsia="MS Mincho" w:hAnsiTheme="minorHAnsi" w:cstheme="minorHAnsi"/>
        </w:rPr>
      </w:pPr>
    </w:p>
    <w:p w:rsidR="00CD44D1" w:rsidRPr="007C351B" w:rsidRDefault="00CD44D1">
      <w:pPr>
        <w:pStyle w:val="Tekstpodstawowy2"/>
        <w:suppressAutoHyphens w:val="0"/>
        <w:rPr>
          <w:rFonts w:asciiTheme="minorHAnsi" w:eastAsia="MS Mincho" w:hAnsiTheme="minorHAnsi" w:cstheme="minorHAnsi"/>
        </w:rPr>
      </w:pPr>
      <w:r w:rsidRPr="007C351B">
        <w:rPr>
          <w:rFonts w:asciiTheme="minorHAnsi" w:eastAsia="MS Mincho" w:hAnsiTheme="minorHAnsi" w:cstheme="minorHAnsi"/>
        </w:rPr>
        <w:t xml:space="preserve">Ogólne wymagania dotyczące materiałów, ich pozyskiwania i składowania podano w </w:t>
      </w:r>
      <w:r w:rsidR="00F45F37" w:rsidRPr="007C351B">
        <w:rPr>
          <w:rFonts w:asciiTheme="minorHAnsi" w:eastAsia="MS Mincho" w:hAnsiTheme="minorHAnsi" w:cstheme="minorHAnsi"/>
        </w:rPr>
        <w:t>ST</w:t>
      </w:r>
      <w:r w:rsidR="009115CD" w:rsidRPr="007C351B">
        <w:rPr>
          <w:rFonts w:asciiTheme="minorHAnsi" w:eastAsia="MS Mincho" w:hAnsiTheme="minorHAnsi" w:cstheme="minorHAnsi"/>
        </w:rPr>
        <w:t xml:space="preserve"> </w:t>
      </w:r>
      <w:r w:rsidRPr="007C351B">
        <w:rPr>
          <w:rFonts w:asciiTheme="minorHAnsi" w:eastAsia="MS Mincho" w:hAnsiTheme="minorHAnsi" w:cstheme="minorHAnsi"/>
        </w:rPr>
        <w:t>DM-00.00.00 "Wymagania ogólne" punkt 2.</w:t>
      </w:r>
    </w:p>
    <w:p w:rsidR="00CD44D1" w:rsidRPr="007C351B" w:rsidRDefault="00CD44D1">
      <w:pPr>
        <w:pStyle w:val="Tekstpodstawowy2"/>
        <w:suppressAutoHyphens w:val="0"/>
        <w:rPr>
          <w:rFonts w:asciiTheme="minorHAnsi" w:eastAsia="MS Mincho" w:hAnsiTheme="minorHAnsi" w:cstheme="minorHAnsi"/>
        </w:rPr>
      </w:pPr>
    </w:p>
    <w:p w:rsidR="00CD44D1" w:rsidRPr="007C351B" w:rsidRDefault="00CD44D1">
      <w:pPr>
        <w:pStyle w:val="Tekstpodstawowy2"/>
        <w:suppressAutoHyphens w:val="0"/>
        <w:rPr>
          <w:rFonts w:asciiTheme="minorHAnsi" w:eastAsia="MS Mincho" w:hAnsiTheme="minorHAnsi" w:cstheme="minorHAnsi"/>
        </w:rPr>
      </w:pPr>
    </w:p>
    <w:p w:rsidR="00CD44D1" w:rsidRPr="007C351B" w:rsidRDefault="00C62F77">
      <w:pPr>
        <w:pStyle w:val="Tekstpodstawowy2"/>
        <w:suppressAutoHyphens w:val="0"/>
        <w:rPr>
          <w:rFonts w:asciiTheme="minorHAnsi" w:eastAsia="MS Mincho" w:hAnsiTheme="minorHAnsi" w:cstheme="minorHAnsi"/>
          <w:b/>
        </w:rPr>
      </w:pPr>
      <w:r w:rsidRPr="007C351B">
        <w:rPr>
          <w:rFonts w:asciiTheme="minorHAnsi" w:eastAsia="MS Mincho" w:hAnsiTheme="minorHAnsi" w:cstheme="minorHAnsi"/>
          <w:b/>
        </w:rPr>
        <w:t>2.2.</w:t>
      </w:r>
      <w:r w:rsidRPr="007C351B">
        <w:rPr>
          <w:rFonts w:asciiTheme="minorHAnsi" w:eastAsia="MS Mincho" w:hAnsiTheme="minorHAnsi" w:cstheme="minorHAnsi"/>
          <w:b/>
        </w:rPr>
        <w:tab/>
        <w:t>Dopuszczenie do stosowania</w:t>
      </w: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 xml:space="preserve">Producent znaków drogowych lub urządzeń bezpieczeństwa ruchu powinien posiadać dla swojego wyrobu aprobatę techniczną, certyfikat zgodności nadany mu przez uprawnioną jednostkę certyfikującą, znak budowlany ,,B" i wystawioną przez siebie deklarację zgodności, </w:t>
      </w:r>
      <w:r w:rsidRPr="007C351B">
        <w:rPr>
          <w:rFonts w:asciiTheme="minorHAnsi" w:hAnsiTheme="minorHAnsi" w:cstheme="minorHAnsi"/>
          <w:sz w:val="24"/>
          <w:szCs w:val="24"/>
        </w:rPr>
        <w:lastRenderedPageBreak/>
        <w:t xml:space="preserve">zgodnie z rozporządzeniem Ministra Infrastruktury [26].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W załączniku nr l do rozporządzenia Ministra Infrastruktury z dnia 3 lipca 2003 w sprawie szczegółowych warunków technicznych dla znaków i sygnałów drogowych oraz urządzeń bezpieczeństwa ruchu drogowego i warunków ich umieszczania na drogach [25], podano szczegółowe informacje odnośnie wymagań dla znaków pionowych.</w:t>
      </w:r>
    </w:p>
    <w:p w:rsidR="00CD44D1" w:rsidRPr="007C351B" w:rsidRDefault="00CD44D1">
      <w:pPr>
        <w:rPr>
          <w:rFonts w:asciiTheme="minorHAnsi" w:hAnsiTheme="minorHAnsi" w:cstheme="minorHAnsi"/>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2.3. Materiały stosowane do fundamentów znaków</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Fundamenty dla zamocowania konstrukcji wsporczych znaków lub urządzeń bezpieczeństwa ruchu mogą być wykonywane jako:</w:t>
      </w:r>
    </w:p>
    <w:p w:rsidR="00CD44D1" w:rsidRPr="007C351B" w:rsidRDefault="00CD44D1">
      <w:pPr>
        <w:numPr>
          <w:ilvl w:val="0"/>
          <w:numId w:val="12"/>
        </w:numPr>
        <w:rPr>
          <w:rFonts w:asciiTheme="minorHAnsi" w:hAnsiTheme="minorHAnsi" w:cstheme="minorHAnsi"/>
          <w:sz w:val="24"/>
          <w:szCs w:val="24"/>
        </w:rPr>
      </w:pPr>
      <w:r w:rsidRPr="007C351B">
        <w:rPr>
          <w:rFonts w:asciiTheme="minorHAnsi" w:hAnsiTheme="minorHAnsi" w:cstheme="minorHAnsi"/>
          <w:sz w:val="24"/>
          <w:szCs w:val="24"/>
        </w:rPr>
        <w:t>prefabrykaty betonowe,</w:t>
      </w:r>
    </w:p>
    <w:p w:rsidR="00CD44D1" w:rsidRPr="007C351B" w:rsidRDefault="00CD44D1">
      <w:pPr>
        <w:numPr>
          <w:ilvl w:val="0"/>
          <w:numId w:val="12"/>
        </w:numPr>
        <w:rPr>
          <w:rFonts w:asciiTheme="minorHAnsi" w:hAnsiTheme="minorHAnsi" w:cstheme="minorHAnsi"/>
          <w:sz w:val="24"/>
          <w:szCs w:val="24"/>
        </w:rPr>
      </w:pPr>
      <w:r w:rsidRPr="007C351B">
        <w:rPr>
          <w:rFonts w:asciiTheme="minorHAnsi" w:hAnsiTheme="minorHAnsi" w:cstheme="minorHAnsi"/>
          <w:sz w:val="24"/>
          <w:szCs w:val="24"/>
        </w:rPr>
        <w:t>z betonu wykonywanego "na mokro",</w:t>
      </w:r>
    </w:p>
    <w:p w:rsidR="00CD44D1" w:rsidRPr="007C351B" w:rsidRDefault="00CD44D1">
      <w:pPr>
        <w:numPr>
          <w:ilvl w:val="0"/>
          <w:numId w:val="12"/>
        </w:numPr>
        <w:rPr>
          <w:rFonts w:asciiTheme="minorHAnsi" w:hAnsiTheme="minorHAnsi" w:cstheme="minorHAnsi"/>
          <w:sz w:val="24"/>
          <w:szCs w:val="24"/>
        </w:rPr>
      </w:pPr>
      <w:r w:rsidRPr="007C351B">
        <w:rPr>
          <w:rFonts w:asciiTheme="minorHAnsi" w:hAnsiTheme="minorHAnsi" w:cstheme="minorHAnsi"/>
          <w:sz w:val="24"/>
          <w:szCs w:val="24"/>
        </w:rPr>
        <w:t>z betonu zbrojonego,</w:t>
      </w:r>
    </w:p>
    <w:p w:rsidR="00CD44D1" w:rsidRPr="007C351B" w:rsidRDefault="00CD44D1">
      <w:pPr>
        <w:numPr>
          <w:ilvl w:val="0"/>
          <w:numId w:val="12"/>
        </w:numPr>
        <w:rPr>
          <w:rFonts w:asciiTheme="minorHAnsi" w:hAnsiTheme="minorHAnsi" w:cstheme="minorHAnsi"/>
          <w:sz w:val="24"/>
          <w:szCs w:val="24"/>
        </w:rPr>
      </w:pPr>
      <w:r w:rsidRPr="007C351B">
        <w:rPr>
          <w:rFonts w:asciiTheme="minorHAnsi" w:hAnsiTheme="minorHAnsi" w:cstheme="minorHAnsi"/>
          <w:sz w:val="24"/>
          <w:szCs w:val="24"/>
        </w:rPr>
        <w:t>inne rozwiązania zaakceptowane przez Inżyniera.</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Dla fundamentów należy opracować dokumentację techniczną zgodną z obowiązującymi przepisami. Fundamenty pod konstrukcje wsporcze oznakowania kierunkowego należy wykonać z betonu lub betonu z</w:t>
      </w:r>
      <w:r w:rsidR="00A14C69" w:rsidRPr="007C351B">
        <w:rPr>
          <w:rFonts w:asciiTheme="minorHAnsi" w:hAnsiTheme="minorHAnsi" w:cstheme="minorHAnsi"/>
          <w:sz w:val="24"/>
          <w:szCs w:val="24"/>
        </w:rPr>
        <w:t>brojonego klasy, co najmniej C10/12</w:t>
      </w:r>
      <w:r w:rsidRPr="007C351B">
        <w:rPr>
          <w:rFonts w:asciiTheme="minorHAnsi" w:hAnsiTheme="minorHAnsi" w:cstheme="minorHAnsi"/>
          <w:sz w:val="24"/>
          <w:szCs w:val="24"/>
        </w:rPr>
        <w:t xml:space="preserve"> wg PN-EN 206</w:t>
      </w:r>
      <w:r w:rsidRPr="007C351B">
        <w:rPr>
          <w:rFonts w:asciiTheme="minorHAnsi" w:hAnsiTheme="minorHAnsi" w:cstheme="minorHAnsi"/>
          <w:sz w:val="24"/>
          <w:szCs w:val="24"/>
        </w:rPr>
        <w:softHyphen/>
        <w:t>1:2000 [9]. Zbrojenia stalowe należy wykonać zgodnie z normą PN-B-03264:l984 [7]. Wykonanie i osadzenie kotew fundamentowych należy wykonać zgodnie z normą PN-B</w:t>
      </w:r>
      <w:r w:rsidRPr="007C351B">
        <w:rPr>
          <w:rFonts w:asciiTheme="minorHAnsi" w:hAnsiTheme="minorHAnsi" w:cstheme="minorHAnsi"/>
          <w:sz w:val="24"/>
          <w:szCs w:val="24"/>
        </w:rPr>
        <w:softHyphen/>
        <w:t>03215:1998 [6]. Posadowienie fundamentów należy wykonać na głębokość poniżej przemarzania gruntu.</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 xml:space="preserve">2.4. </w:t>
      </w:r>
      <w:r w:rsidRPr="007C351B">
        <w:rPr>
          <w:rFonts w:asciiTheme="minorHAnsi" w:hAnsiTheme="minorHAnsi" w:cstheme="minorHAnsi"/>
        </w:rPr>
        <w:tab/>
        <w:t>Konstrukcje wsporcze</w:t>
      </w:r>
    </w:p>
    <w:p w:rsidR="00CD44D1" w:rsidRPr="007C351B" w:rsidRDefault="00CD44D1">
      <w:pPr>
        <w:rPr>
          <w:rFonts w:asciiTheme="minorHAnsi" w:hAnsiTheme="minorHAnsi" w:cstheme="minorHAnsi"/>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2.4.1. </w:t>
      </w:r>
      <w:r w:rsidRPr="007C351B">
        <w:rPr>
          <w:rFonts w:asciiTheme="minorHAnsi" w:hAnsiTheme="minorHAnsi" w:cstheme="minorHAnsi"/>
          <w:b/>
          <w:sz w:val="24"/>
          <w:szCs w:val="24"/>
        </w:rPr>
        <w:tab/>
        <w:t>Ogólne charakterystyki konstrukcji</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Konstrukcje wsporcze znaków pionowych lub urządzeń bezpieczeństwa ruchu należy wykonać zgodnie z dokumentacją projektową uwzględniającą wymagania postawione w PN-EN 12899</w:t>
      </w:r>
      <w:r w:rsidRPr="007C351B">
        <w:rPr>
          <w:rFonts w:asciiTheme="minorHAnsi" w:hAnsiTheme="minorHAnsi" w:cstheme="minorHAnsi"/>
          <w:sz w:val="24"/>
          <w:szCs w:val="24"/>
        </w:rPr>
        <w:softHyphen/>
        <w:t xml:space="preserve">1:2005[16] i SST. Projekt wykonawczy konstrukcji wsporczych wykona i dostarczy Wykonawca do  zaakceptowania przez Inżyniera. </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 xml:space="preserve">Konstrukcje wsporcze do znaków i tablic lub urządzeń bezpieczeństwa ruchu należy zaprojektować i wykonać w sposób gwarantujący stabilne i prawidłowe ustawienie w pasie drogowym. Zakres dokumentacji powinien obejmować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 miejscach wskazanych przez projektanta inżynierii ruchu, gdzie występuje szczególne niebezpieczeństwo bezpośredniej kolizji z konstrukcją wsporczą, usytuowanie i jej dobór wymagają oddzielnych rozwiązań projektowych spełniających warunek bezpieczeństwa dla użytkowników dróg. W takich przypadkach należy stosować </w:t>
      </w:r>
      <w:r w:rsidRPr="007C351B">
        <w:rPr>
          <w:rFonts w:asciiTheme="minorHAnsi" w:hAnsiTheme="minorHAnsi" w:cstheme="minorHAnsi"/>
          <w:sz w:val="24"/>
          <w:szCs w:val="24"/>
        </w:rPr>
        <w:lastRenderedPageBreak/>
        <w:t>konstrukcje zabezpieczające bierne bezpieczeństwo kategorii HE, zgodne z PN-EN 12767:2003 [15].</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Obowiązkiem Wykonawcy jest dostarczenie Inżynierowi do zaakceptowania projektów konstrukcji wsporczych znaków pionowych oraz bramownic, w dostosowaniu do szczegółowych warunków panujących w miejscu usytuowania znaków.</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Wyróżnia się trzy kategorie biernego bezpieczeństwa dla konstrukcji wsporczych:</w:t>
      </w:r>
    </w:p>
    <w:p w:rsidR="00CD44D1" w:rsidRPr="007C351B" w:rsidRDefault="00CD44D1">
      <w:pPr>
        <w:numPr>
          <w:ilvl w:val="0"/>
          <w:numId w:val="13"/>
        </w:numPr>
        <w:rPr>
          <w:rFonts w:asciiTheme="minorHAnsi" w:hAnsiTheme="minorHAnsi" w:cstheme="minorHAnsi"/>
          <w:sz w:val="24"/>
          <w:szCs w:val="24"/>
        </w:rPr>
      </w:pPr>
      <w:r w:rsidRPr="007C351B">
        <w:rPr>
          <w:rFonts w:asciiTheme="minorHAnsi" w:hAnsiTheme="minorHAnsi" w:cstheme="minorHAnsi"/>
          <w:sz w:val="24"/>
          <w:szCs w:val="24"/>
        </w:rPr>
        <w:t>pochłaniająca energię w wysokim stopniu (HE),</w:t>
      </w:r>
    </w:p>
    <w:p w:rsidR="00CD44D1" w:rsidRPr="007C351B" w:rsidRDefault="00CD44D1">
      <w:pPr>
        <w:numPr>
          <w:ilvl w:val="0"/>
          <w:numId w:val="13"/>
        </w:numPr>
        <w:rPr>
          <w:rFonts w:asciiTheme="minorHAnsi" w:hAnsiTheme="minorHAnsi" w:cstheme="minorHAnsi"/>
          <w:sz w:val="24"/>
          <w:szCs w:val="24"/>
        </w:rPr>
      </w:pPr>
      <w:r w:rsidRPr="007C351B">
        <w:rPr>
          <w:rFonts w:asciiTheme="minorHAnsi" w:hAnsiTheme="minorHAnsi" w:cstheme="minorHAnsi"/>
          <w:sz w:val="24"/>
          <w:szCs w:val="24"/>
        </w:rPr>
        <w:t>pochłaniająca energię w niskim stopniu (LE),</w:t>
      </w:r>
    </w:p>
    <w:p w:rsidR="00CD44D1" w:rsidRPr="007C351B" w:rsidRDefault="00CD44D1">
      <w:pPr>
        <w:numPr>
          <w:ilvl w:val="0"/>
          <w:numId w:val="13"/>
        </w:numPr>
        <w:rPr>
          <w:rFonts w:asciiTheme="minorHAnsi" w:hAnsiTheme="minorHAnsi" w:cstheme="minorHAnsi"/>
          <w:sz w:val="24"/>
          <w:szCs w:val="24"/>
        </w:rPr>
      </w:pPr>
      <w:r w:rsidRPr="007C351B">
        <w:rPr>
          <w:rFonts w:asciiTheme="minorHAnsi" w:hAnsiTheme="minorHAnsi" w:cstheme="minorHAnsi"/>
          <w:sz w:val="24"/>
          <w:szCs w:val="24"/>
        </w:rPr>
        <w:t>nie pochłaniająca energii (NE).</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2.4.2. </w:t>
      </w:r>
      <w:r w:rsidRPr="007C351B">
        <w:rPr>
          <w:rFonts w:asciiTheme="minorHAnsi" w:hAnsiTheme="minorHAnsi" w:cstheme="minorHAnsi"/>
          <w:b/>
          <w:sz w:val="24"/>
          <w:szCs w:val="24"/>
        </w:rPr>
        <w:tab/>
        <w:t>Rury</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Rury powinny odpowiadać wymaganiom PN-H-74200:1998, [22], PN-84/H</w:t>
      </w:r>
      <w:r w:rsidRPr="007C351B">
        <w:rPr>
          <w:rFonts w:asciiTheme="minorHAnsi" w:hAnsiTheme="minorHAnsi" w:cstheme="minorHAnsi"/>
          <w:sz w:val="24"/>
          <w:szCs w:val="24"/>
        </w:rPr>
        <w:softHyphen/>
        <w:t xml:space="preserve"> 74220 [3] lub innej normy zaakceptowanej przez Inżyniera. 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Końce rur powinny być obcięte równo i prostopadle do osi rury.</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Pożądane jest, aby rury były dostarczane o długościach:</w:t>
      </w:r>
    </w:p>
    <w:p w:rsidR="00CD44D1" w:rsidRPr="007C351B" w:rsidRDefault="00CD44D1">
      <w:pPr>
        <w:numPr>
          <w:ilvl w:val="0"/>
          <w:numId w:val="14"/>
        </w:numPr>
        <w:rPr>
          <w:rFonts w:asciiTheme="minorHAnsi" w:hAnsiTheme="minorHAnsi" w:cstheme="minorHAnsi"/>
          <w:sz w:val="24"/>
          <w:szCs w:val="24"/>
        </w:rPr>
      </w:pPr>
      <w:r w:rsidRPr="007C351B">
        <w:rPr>
          <w:rFonts w:asciiTheme="minorHAnsi" w:hAnsiTheme="minorHAnsi" w:cstheme="minorHAnsi"/>
          <w:sz w:val="24"/>
          <w:szCs w:val="24"/>
        </w:rPr>
        <w:t>dokładnych, zgodnych z zamówieniem; z dopuszczalną odchyłką: t 10 mm,</w:t>
      </w:r>
    </w:p>
    <w:p w:rsidR="00CD44D1" w:rsidRPr="007C351B" w:rsidRDefault="00CD44D1">
      <w:pPr>
        <w:numPr>
          <w:ilvl w:val="0"/>
          <w:numId w:val="14"/>
        </w:numPr>
        <w:rPr>
          <w:rFonts w:asciiTheme="minorHAnsi" w:hAnsiTheme="minorHAnsi" w:cstheme="minorHAnsi"/>
          <w:sz w:val="24"/>
          <w:szCs w:val="24"/>
        </w:rPr>
      </w:pPr>
      <w:r w:rsidRPr="007C351B">
        <w:rPr>
          <w:rFonts w:asciiTheme="minorHAnsi" w:hAnsiTheme="minorHAnsi" w:cstheme="minorHAnsi"/>
          <w:sz w:val="24"/>
          <w:szCs w:val="24"/>
        </w:rPr>
        <w:t>wielokrotnych w stosunku do zamówionych długości dokładnych poniżej 3 m z naddatkiem 5 mm na każde cięcie i z dopuszczalną odchyłką dla całej długości wielokrotnej, jak dla długości dokładnych.</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Rury powinny być proste. Dopuszczalna miejscowa krzywizna nie powinna przekraczać 1,5 mm na l m długości rury. Rury powinny być wykonane ze stali w gatunkach dopuszczonych przez PN-H</w:t>
      </w:r>
      <w:r w:rsidRPr="007C351B">
        <w:rPr>
          <w:rFonts w:asciiTheme="minorHAnsi" w:hAnsiTheme="minorHAnsi" w:cstheme="minorHAnsi"/>
          <w:sz w:val="24"/>
          <w:szCs w:val="24"/>
        </w:rPr>
        <w:softHyphen/>
        <w:t>84023.07 [5], lub inne normy. Rury powinny być dostarczone bez opakowania w wiązkach lub luzem względnie w opakowaniu uzgodnionym z Zamawiającym. Rury powinny być cechowane indywidualnie lub na przywieszkach metalowych.</w:t>
      </w:r>
    </w:p>
    <w:p w:rsidR="00CD44D1" w:rsidRPr="007C351B" w:rsidRDefault="00CD44D1">
      <w:pPr>
        <w:rPr>
          <w:rFonts w:asciiTheme="minorHAnsi" w:hAnsiTheme="minorHAnsi" w:cstheme="minorHAnsi"/>
          <w:sz w:val="24"/>
        </w:rPr>
      </w:pPr>
      <w:r w:rsidRPr="007C351B">
        <w:rPr>
          <w:rFonts w:asciiTheme="minorHAnsi" w:hAnsiTheme="minorHAnsi" w:cstheme="minorHAnsi"/>
          <w:sz w:val="24"/>
        </w:rPr>
        <w:t>Dolna część rury musi posiadać zakotwienie, góra zabezpieczona kapturkiem z tworzywa sztucznego lub metalowym. Słupki pod znaki konwencjonalne muszą być wykonane jako jednoczęściowe.</w:t>
      </w:r>
    </w:p>
    <w:p w:rsidR="00130E3D" w:rsidRPr="007C351B" w:rsidRDefault="00130E3D">
      <w:pPr>
        <w:rPr>
          <w:rFonts w:asciiTheme="minorHAnsi" w:hAnsiTheme="minorHAnsi" w:cstheme="minorHAnsi"/>
          <w:sz w:val="24"/>
        </w:rPr>
      </w:pPr>
      <w:r w:rsidRPr="007C351B">
        <w:rPr>
          <w:rFonts w:asciiTheme="minorHAnsi" w:hAnsiTheme="minorHAnsi" w:cstheme="minorHAnsi"/>
          <w:sz w:val="24"/>
        </w:rPr>
        <w:t>Minimalna średnica zewnętrzna słupków do znaków pionowych – 60 mm</w:t>
      </w:r>
    </w:p>
    <w:p w:rsidR="00A70F1D" w:rsidRPr="007C351B" w:rsidRDefault="00A70F1D">
      <w:pPr>
        <w:rPr>
          <w:rFonts w:asciiTheme="minorHAnsi" w:hAnsiTheme="minorHAnsi" w:cstheme="minorHAnsi"/>
          <w:sz w:val="24"/>
        </w:rPr>
      </w:pPr>
      <w:r w:rsidRPr="007C351B">
        <w:rPr>
          <w:rFonts w:asciiTheme="minorHAnsi" w:hAnsiTheme="minorHAnsi" w:cstheme="minorHAnsi"/>
          <w:sz w:val="24"/>
        </w:rPr>
        <w:t>Grubość powłoki cynkowej powinna wynosić 60 µm.</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2.4.3. </w:t>
      </w:r>
      <w:r w:rsidRPr="007C351B">
        <w:rPr>
          <w:rFonts w:asciiTheme="minorHAnsi" w:hAnsiTheme="minorHAnsi" w:cstheme="minorHAnsi"/>
          <w:b/>
          <w:sz w:val="24"/>
          <w:szCs w:val="24"/>
        </w:rPr>
        <w:tab/>
        <w:t>Kształtowniki</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Kształtowniki powinny odpowiadać wymaganiom PN-91/H-93010 [23].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Kształtowniki powinny być obcięte prostopadle do osi wzdłużnej kształtownika. Powierzchnia końców kształtownika nie powinna wykazywać rzadzizn, rozwarstwień, pęknięć i śladów jamy skurczowej widocznych nie uzbrojonym okiem. Kształtowniki powinny być ze stali St3W lub St4W oraz mieć własności mechaniczne według aktualnej normy uzgodnionej pomiędzy Zamawiającym i wytwórcą.</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2.4.4. </w:t>
      </w:r>
      <w:r w:rsidRPr="007C351B">
        <w:rPr>
          <w:rFonts w:asciiTheme="minorHAnsi" w:hAnsiTheme="minorHAnsi" w:cstheme="minorHAnsi"/>
          <w:b/>
          <w:sz w:val="24"/>
          <w:szCs w:val="24"/>
        </w:rPr>
        <w:tab/>
        <w:t>Powłoki metalizacyjne cynkowe</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Powłoka metalizacyjna cynkowa na konstrukcjach stalowych, powinna spełniać wymagania PN EN ISO 1461:2000 [12] i PN-EN 10240:2001 [12a]. Minimalna grubość po</w:t>
      </w:r>
      <w:r w:rsidR="00BF68B1" w:rsidRPr="007C351B">
        <w:rPr>
          <w:rFonts w:asciiTheme="minorHAnsi" w:hAnsiTheme="minorHAnsi" w:cstheme="minorHAnsi"/>
          <w:sz w:val="24"/>
          <w:szCs w:val="24"/>
        </w:rPr>
        <w:t>włoki cynkowej powinna wynosić 4</w:t>
      </w:r>
      <w:r w:rsidRPr="007C351B">
        <w:rPr>
          <w:rFonts w:asciiTheme="minorHAnsi" w:hAnsiTheme="minorHAnsi" w:cstheme="minorHAnsi"/>
          <w:sz w:val="24"/>
          <w:szCs w:val="24"/>
        </w:rPr>
        <w:t xml:space="preserve">0 </w:t>
      </w:r>
      <w:proofErr w:type="spellStart"/>
      <w:r w:rsidRPr="007C351B">
        <w:rPr>
          <w:rFonts w:asciiTheme="minorHAnsi" w:hAnsiTheme="minorHAnsi" w:cstheme="minorHAnsi"/>
          <w:sz w:val="24"/>
          <w:szCs w:val="24"/>
        </w:rPr>
        <w:t>μm</w:t>
      </w:r>
      <w:proofErr w:type="spellEnd"/>
      <w:r w:rsidRPr="007C351B">
        <w:rPr>
          <w:rFonts w:asciiTheme="minorHAnsi" w:hAnsiTheme="minorHAnsi" w:cstheme="minorHAnsi"/>
          <w:sz w:val="24"/>
          <w:szCs w:val="24"/>
        </w:rPr>
        <w:t>. Powierzchnia powłoki powinna być ciągła i jednorodna pod względem ziarnistości. Nie może ona wykazywać widocznych wad jak rysy, pęknięcia, pęcherze lub odstawanie powłoki od podłoża.</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2.4.5. </w:t>
      </w:r>
      <w:r w:rsidRPr="007C351B">
        <w:rPr>
          <w:rFonts w:asciiTheme="minorHAnsi" w:hAnsiTheme="minorHAnsi" w:cstheme="minorHAnsi"/>
          <w:b/>
          <w:sz w:val="24"/>
          <w:szCs w:val="24"/>
        </w:rPr>
        <w:tab/>
        <w:t>Konstrukcje wsporcze</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wykonania projektu konstrukcji lub zamocowania oraz do wydania gwarancji na okres trwałości znaku uzgodniony z odbiorcą. Przedmiotem gwarancji są właściwości techniczne konstrukcji wsporczej lub elementów mocujących oraz trwałość zabezpieczenia przeciwkorozyjnego.</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2.5. </w:t>
      </w:r>
      <w:r w:rsidRPr="007C351B">
        <w:rPr>
          <w:rFonts w:asciiTheme="minorHAnsi" w:hAnsiTheme="minorHAnsi" w:cstheme="minorHAnsi"/>
          <w:b/>
          <w:sz w:val="24"/>
          <w:szCs w:val="24"/>
        </w:rPr>
        <w:tab/>
        <w:t>Tarcza znaku</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 xml:space="preserve">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w:t>
      </w:r>
      <w:r w:rsidR="00953894" w:rsidRPr="007C351B">
        <w:rPr>
          <w:rFonts w:asciiTheme="minorHAnsi" w:hAnsiTheme="minorHAnsi" w:cstheme="minorHAnsi"/>
          <w:sz w:val="24"/>
          <w:szCs w:val="24"/>
        </w:rPr>
        <w:t>5</w:t>
      </w:r>
      <w:r w:rsidRPr="007C351B">
        <w:rPr>
          <w:rFonts w:asciiTheme="minorHAnsi" w:hAnsiTheme="minorHAnsi" w:cstheme="minorHAnsi"/>
          <w:sz w:val="24"/>
          <w:szCs w:val="24"/>
        </w:rPr>
        <w:t>lat.</w:t>
      </w:r>
    </w:p>
    <w:p w:rsidR="002B1809" w:rsidRPr="007C351B" w:rsidRDefault="002B1809">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2.5.1. </w:t>
      </w:r>
      <w:r w:rsidRPr="007C351B">
        <w:rPr>
          <w:rFonts w:asciiTheme="minorHAnsi" w:hAnsiTheme="minorHAnsi" w:cstheme="minorHAnsi"/>
          <w:b/>
          <w:sz w:val="24"/>
          <w:szCs w:val="24"/>
        </w:rPr>
        <w:tab/>
        <w:t>Trwałość materiałów na wpływy zewnętrzne</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w:t>
      </w:r>
      <w:r w:rsidRPr="007C351B">
        <w:rPr>
          <w:rFonts w:asciiTheme="minorHAnsi" w:hAnsiTheme="minorHAnsi" w:cstheme="minorHAnsi"/>
          <w:sz w:val="24"/>
          <w:szCs w:val="24"/>
        </w:rPr>
        <w:lastRenderedPageBreak/>
        <w:t>oddziaływania chemiczne (w tym korozję elektrochemiczną) - przez cały czas trwałości znaku, określony przez wytwórcę lub dostawcę.</w:t>
      </w:r>
    </w:p>
    <w:p w:rsidR="00CD44D1" w:rsidRPr="007C351B" w:rsidRDefault="00CD44D1">
      <w:pPr>
        <w:rPr>
          <w:rFonts w:asciiTheme="minorHAnsi" w:hAnsiTheme="minorHAnsi" w:cstheme="minorHAnsi"/>
          <w:b/>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2.5.2. </w:t>
      </w:r>
      <w:r w:rsidRPr="007C351B">
        <w:rPr>
          <w:rFonts w:asciiTheme="minorHAnsi" w:hAnsiTheme="minorHAnsi" w:cstheme="minorHAnsi"/>
          <w:b/>
          <w:sz w:val="24"/>
          <w:szCs w:val="24"/>
        </w:rPr>
        <w:tab/>
        <w:t>Warunki gwarancyjne producenta lub dostawcy znaku</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Trwałość znaku powinna być co najmniej równa trwałości zastosowanej folii. Minimalne okresy gwarancyjne powinny wynosić dla znaków z folią typu l - 7 lat, z folią typu 2 - 10 lat, z folią pryzmatyczną - 12 lat</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Producent lub dostawca znaku obowiązany jest przy dostawie określić, uzgodnioną z odbiorcą, trwałość znaku oraz warunki gwarancyjne dla znaku, a także udostępnić na życzenie odbiorcy:</w:t>
      </w: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a) instrukcję montażu znaku,</w:t>
      </w: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b) dane szczegółowe o ewentualnych ograniczeniach w stosowaniu znaku,</w:t>
      </w: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c) instrukcję utrzymania znaku.</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2.5.3. </w:t>
      </w:r>
      <w:r w:rsidRPr="007C351B">
        <w:rPr>
          <w:rFonts w:asciiTheme="minorHAnsi" w:hAnsiTheme="minorHAnsi" w:cstheme="minorHAnsi"/>
          <w:b/>
          <w:sz w:val="24"/>
          <w:szCs w:val="24"/>
        </w:rPr>
        <w:tab/>
        <w:t>Materiały do wykonania tarczy znaku</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Tarcza znaku powinna być wykonana z :</w:t>
      </w:r>
    </w:p>
    <w:p w:rsidR="00CD44D1" w:rsidRPr="007C351B" w:rsidRDefault="00CD44D1">
      <w:pPr>
        <w:numPr>
          <w:ilvl w:val="0"/>
          <w:numId w:val="15"/>
        </w:numPr>
        <w:tabs>
          <w:tab w:val="clear" w:pos="720"/>
          <w:tab w:val="num" w:pos="426"/>
        </w:tabs>
        <w:ind w:left="426" w:right="-144" w:hanging="426"/>
        <w:jc w:val="left"/>
        <w:rPr>
          <w:rFonts w:asciiTheme="minorHAnsi" w:hAnsiTheme="minorHAnsi" w:cstheme="minorHAnsi"/>
          <w:sz w:val="24"/>
          <w:szCs w:val="24"/>
        </w:rPr>
      </w:pPr>
      <w:r w:rsidRPr="007C351B">
        <w:rPr>
          <w:rFonts w:asciiTheme="minorHAnsi" w:hAnsiTheme="minorHAnsi" w:cstheme="minorHAnsi"/>
          <w:sz w:val="24"/>
          <w:szCs w:val="24"/>
        </w:rPr>
        <w:t>blachy ocynkowanej ogniowo o grubości min. 1,2S mm wg PN-EN 10327:200S(U) [14]</w:t>
      </w:r>
    </w:p>
    <w:p w:rsidR="00CD44D1" w:rsidRPr="007C351B" w:rsidRDefault="00CD44D1">
      <w:pPr>
        <w:numPr>
          <w:ilvl w:val="0"/>
          <w:numId w:val="15"/>
        </w:numPr>
        <w:tabs>
          <w:tab w:val="clear" w:pos="720"/>
          <w:tab w:val="num" w:pos="426"/>
        </w:tabs>
        <w:ind w:left="426" w:right="-144" w:hanging="426"/>
        <w:jc w:val="left"/>
        <w:rPr>
          <w:rFonts w:asciiTheme="minorHAnsi" w:hAnsiTheme="minorHAnsi" w:cstheme="minorHAnsi"/>
          <w:sz w:val="24"/>
          <w:szCs w:val="24"/>
        </w:rPr>
      </w:pPr>
      <w:r w:rsidRPr="007C351B">
        <w:rPr>
          <w:rFonts w:asciiTheme="minorHAnsi" w:hAnsiTheme="minorHAnsi" w:cstheme="minorHAnsi"/>
          <w:sz w:val="24"/>
          <w:szCs w:val="24"/>
        </w:rPr>
        <w:t xml:space="preserve">lub PN-EN 10292:2003/Al:2004/Al:200S(U) [13], </w:t>
      </w:r>
    </w:p>
    <w:p w:rsidR="00CD44D1" w:rsidRPr="007C351B" w:rsidRDefault="00CD44D1">
      <w:pPr>
        <w:numPr>
          <w:ilvl w:val="0"/>
          <w:numId w:val="15"/>
        </w:numPr>
        <w:tabs>
          <w:tab w:val="clear" w:pos="720"/>
          <w:tab w:val="num" w:pos="426"/>
        </w:tabs>
        <w:ind w:left="426" w:right="-144" w:hanging="426"/>
        <w:jc w:val="left"/>
        <w:rPr>
          <w:rFonts w:asciiTheme="minorHAnsi" w:hAnsiTheme="minorHAnsi" w:cstheme="minorHAnsi"/>
          <w:sz w:val="24"/>
          <w:szCs w:val="24"/>
        </w:rPr>
      </w:pPr>
      <w:r w:rsidRPr="007C351B">
        <w:rPr>
          <w:rFonts w:asciiTheme="minorHAnsi" w:hAnsiTheme="minorHAnsi" w:cstheme="minorHAnsi"/>
          <w:sz w:val="24"/>
          <w:szCs w:val="24"/>
        </w:rPr>
        <w:t xml:space="preserve">blachy aluminiowej o grubości min. I,S m wg PN-EN 48S-4:1997 [10], </w:t>
      </w:r>
    </w:p>
    <w:p w:rsidR="00CD44D1" w:rsidRPr="007C351B" w:rsidRDefault="00CD44D1">
      <w:pPr>
        <w:numPr>
          <w:ilvl w:val="0"/>
          <w:numId w:val="15"/>
        </w:numPr>
        <w:tabs>
          <w:tab w:val="clear" w:pos="720"/>
          <w:tab w:val="num" w:pos="426"/>
        </w:tabs>
        <w:ind w:left="426" w:right="-144" w:hanging="426"/>
        <w:jc w:val="left"/>
        <w:rPr>
          <w:rFonts w:asciiTheme="minorHAnsi" w:hAnsiTheme="minorHAnsi" w:cstheme="minorHAnsi"/>
          <w:sz w:val="24"/>
          <w:szCs w:val="24"/>
        </w:rPr>
      </w:pPr>
      <w:r w:rsidRPr="007C351B">
        <w:rPr>
          <w:rFonts w:asciiTheme="minorHAnsi" w:hAnsiTheme="minorHAnsi" w:cstheme="minorHAnsi"/>
          <w:sz w:val="24"/>
          <w:szCs w:val="24"/>
        </w:rPr>
        <w:t>innych materiałów, np. tworzyw syntetycznych, pod warunkiem uzyskania przez producenta aprobaty technicznej.</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Tarcza tablicy o powierzchni&gt; l m2 powinna być wykonana z :</w:t>
      </w:r>
    </w:p>
    <w:p w:rsidR="00CD44D1" w:rsidRPr="007C351B" w:rsidRDefault="00CD44D1">
      <w:pPr>
        <w:numPr>
          <w:ilvl w:val="0"/>
          <w:numId w:val="15"/>
        </w:numPr>
        <w:tabs>
          <w:tab w:val="clear" w:pos="720"/>
          <w:tab w:val="num" w:pos="426"/>
        </w:tabs>
        <w:ind w:left="426" w:right="-144" w:hanging="426"/>
        <w:jc w:val="left"/>
        <w:rPr>
          <w:rFonts w:asciiTheme="minorHAnsi" w:hAnsiTheme="minorHAnsi" w:cstheme="minorHAnsi"/>
          <w:sz w:val="24"/>
          <w:szCs w:val="24"/>
        </w:rPr>
      </w:pPr>
      <w:r w:rsidRPr="007C351B">
        <w:rPr>
          <w:rFonts w:asciiTheme="minorHAnsi" w:hAnsiTheme="minorHAnsi" w:cstheme="minorHAnsi"/>
          <w:sz w:val="24"/>
          <w:szCs w:val="24"/>
        </w:rPr>
        <w:t>blachy ocynkowanej ogniowo o grubości min. 1,S mm wg PN-EN 10327:200S (U) [14] lub PN-EN 10292:2003/ A1:2004/Al:200S(U) [13] lub z</w:t>
      </w:r>
    </w:p>
    <w:p w:rsidR="00CD44D1" w:rsidRPr="007C351B" w:rsidRDefault="00CD44D1">
      <w:pPr>
        <w:numPr>
          <w:ilvl w:val="0"/>
          <w:numId w:val="15"/>
        </w:numPr>
        <w:tabs>
          <w:tab w:val="clear" w:pos="720"/>
          <w:tab w:val="num" w:pos="426"/>
        </w:tabs>
        <w:ind w:left="426" w:right="-144" w:hanging="426"/>
        <w:jc w:val="left"/>
        <w:rPr>
          <w:rFonts w:asciiTheme="minorHAnsi" w:hAnsiTheme="minorHAnsi" w:cstheme="minorHAnsi"/>
          <w:sz w:val="24"/>
          <w:szCs w:val="24"/>
        </w:rPr>
      </w:pPr>
      <w:r w:rsidRPr="007C351B">
        <w:rPr>
          <w:rFonts w:asciiTheme="minorHAnsi" w:hAnsiTheme="minorHAnsi" w:cstheme="minorHAnsi"/>
          <w:sz w:val="24"/>
          <w:szCs w:val="24"/>
        </w:rPr>
        <w:t>blachy aluminiowej o grubości min. 2 mm wg PN-EN 48S-4:1997 [10].</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Grubość warstwy powłoki cynkowej na blasze stalowej ocynkowanej ogniowo nie</w:t>
      </w: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może być mniejsza niż 28 /</w:t>
      </w:r>
      <w:proofErr w:type="spellStart"/>
      <w:r w:rsidRPr="007C351B">
        <w:rPr>
          <w:rFonts w:asciiTheme="minorHAnsi" w:hAnsiTheme="minorHAnsi" w:cstheme="minorHAnsi"/>
          <w:sz w:val="24"/>
          <w:szCs w:val="24"/>
        </w:rPr>
        <w:t>lIIl</w:t>
      </w:r>
      <w:proofErr w:type="spellEnd"/>
      <w:r w:rsidRPr="007C351B">
        <w:rPr>
          <w:rFonts w:asciiTheme="minorHAnsi" w:hAnsiTheme="minorHAnsi" w:cstheme="minorHAnsi"/>
          <w:sz w:val="24"/>
          <w:szCs w:val="24"/>
        </w:rPr>
        <w:t xml:space="preserve"> (200 g Znlm2).</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Znaki i tablice powinny spełniać następujące wymagania podane w tablicy l.</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 xml:space="preserve">Przyjęto zgodnie z tablicą l, że przy sile naporu wiatru równej 0,6 </w:t>
      </w:r>
      <w:proofErr w:type="spellStart"/>
      <w:r w:rsidRPr="007C351B">
        <w:rPr>
          <w:rFonts w:asciiTheme="minorHAnsi" w:hAnsiTheme="minorHAnsi" w:cstheme="minorHAnsi"/>
          <w:sz w:val="24"/>
          <w:szCs w:val="24"/>
        </w:rPr>
        <w:t>kN</w:t>
      </w:r>
      <w:proofErr w:type="spellEnd"/>
      <w:r w:rsidRPr="007C351B">
        <w:rPr>
          <w:rFonts w:asciiTheme="minorHAnsi" w:hAnsiTheme="minorHAnsi" w:cstheme="minorHAnsi"/>
          <w:sz w:val="24"/>
          <w:szCs w:val="24"/>
        </w:rPr>
        <w:t xml:space="preserve"> (klasa WL2), chwilowe odkształcenie zginające, zarówno znak, jak i samą tarczę znaku nie może być większe niż 25 mm/m (klasa TDB4).</w:t>
      </w:r>
    </w:p>
    <w:p w:rsidR="00CD44D1" w:rsidRPr="007C351B" w:rsidRDefault="00CD44D1">
      <w:pPr>
        <w:rPr>
          <w:rFonts w:asciiTheme="minorHAnsi" w:hAnsiTheme="minorHAnsi" w:cstheme="minorHAnsi"/>
          <w:b/>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2.5.4. </w:t>
      </w:r>
      <w:r w:rsidRPr="007C351B">
        <w:rPr>
          <w:rFonts w:asciiTheme="minorHAnsi" w:hAnsiTheme="minorHAnsi" w:cstheme="minorHAnsi"/>
          <w:b/>
          <w:sz w:val="24"/>
          <w:szCs w:val="24"/>
        </w:rPr>
        <w:tab/>
        <w:t>Warunki wykonania tarczy znaku</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Tarcze znaków powinny spełniać także następujące wymagania:</w:t>
      </w:r>
    </w:p>
    <w:p w:rsidR="00CD44D1" w:rsidRPr="007C351B" w:rsidRDefault="00CD44D1">
      <w:pPr>
        <w:numPr>
          <w:ilvl w:val="0"/>
          <w:numId w:val="11"/>
        </w:numPr>
        <w:rPr>
          <w:rFonts w:asciiTheme="minorHAnsi" w:hAnsiTheme="minorHAnsi" w:cstheme="minorHAnsi"/>
          <w:sz w:val="24"/>
          <w:szCs w:val="24"/>
        </w:rPr>
      </w:pPr>
      <w:r w:rsidRPr="007C351B">
        <w:rPr>
          <w:rFonts w:asciiTheme="minorHAnsi" w:hAnsiTheme="minorHAnsi" w:cstheme="minorHAnsi"/>
          <w:sz w:val="24"/>
          <w:szCs w:val="24"/>
        </w:rPr>
        <w:t>krawędzie tarczy znaku powinny być usztywnione na całym obwodzie poprzez ich podwójne gięcie o promieniu gięcia nie większym niż 10 mm włącznie z narożnikami lub przez zamocowanie odpowiedniego profilu na całym obwodzie znaku,</w:t>
      </w:r>
    </w:p>
    <w:p w:rsidR="00CD44D1" w:rsidRPr="007C351B" w:rsidRDefault="00CD44D1">
      <w:pPr>
        <w:numPr>
          <w:ilvl w:val="0"/>
          <w:numId w:val="11"/>
        </w:numPr>
        <w:rPr>
          <w:rFonts w:asciiTheme="minorHAnsi" w:hAnsiTheme="minorHAnsi" w:cstheme="minorHAnsi"/>
          <w:sz w:val="24"/>
          <w:szCs w:val="24"/>
        </w:rPr>
      </w:pPr>
      <w:r w:rsidRPr="007C351B">
        <w:rPr>
          <w:rFonts w:asciiTheme="minorHAnsi" w:hAnsiTheme="minorHAnsi" w:cstheme="minorHAnsi"/>
          <w:sz w:val="24"/>
          <w:szCs w:val="24"/>
        </w:rPr>
        <w:t>powierzchnia czołowa tarczy znaku powinna być równa - bez wgięć, pofałdowań i otworów montażowych. Dopuszczalna nierówność wynosi 1 mm/m</w:t>
      </w:r>
    </w:p>
    <w:p w:rsidR="00CD44D1" w:rsidRPr="007C351B" w:rsidRDefault="00CD44D1">
      <w:pPr>
        <w:numPr>
          <w:ilvl w:val="0"/>
          <w:numId w:val="11"/>
        </w:numPr>
        <w:rPr>
          <w:rFonts w:asciiTheme="minorHAnsi" w:hAnsiTheme="minorHAnsi" w:cstheme="minorHAnsi"/>
          <w:sz w:val="24"/>
          <w:szCs w:val="24"/>
        </w:rPr>
      </w:pPr>
      <w:r w:rsidRPr="007C351B">
        <w:rPr>
          <w:rFonts w:asciiTheme="minorHAnsi" w:hAnsiTheme="minorHAnsi" w:cstheme="minorHAnsi"/>
          <w:sz w:val="24"/>
          <w:szCs w:val="24"/>
        </w:rPr>
        <w:lastRenderedPageBreak/>
        <w:t>- podwójna gięta krawędź lub przymocowane do tylnej powierzchni profile montażowe powinny usztywnić tarczę znaku w taki sposób, aby wymagania podane w tablicy l były spełnione a zarazem stanowiły element konstrukcyjny do montażu do konstrukcji wsporczej. Dopuszcza się maksymalne odkształcenie trwałe do 20 % odkształcenia odpowiedniej klasy na zginanie i skręcanie,</w:t>
      </w:r>
    </w:p>
    <w:p w:rsidR="00CD44D1" w:rsidRPr="007C351B" w:rsidRDefault="00CD44D1">
      <w:pPr>
        <w:numPr>
          <w:ilvl w:val="0"/>
          <w:numId w:val="11"/>
        </w:numPr>
        <w:rPr>
          <w:rFonts w:asciiTheme="minorHAnsi" w:hAnsiTheme="minorHAnsi" w:cstheme="minorHAnsi"/>
          <w:sz w:val="24"/>
          <w:szCs w:val="24"/>
        </w:rPr>
      </w:pPr>
      <w:r w:rsidRPr="007C351B">
        <w:rPr>
          <w:rFonts w:asciiTheme="minorHAnsi" w:hAnsiTheme="minorHAnsi" w:cstheme="minorHAnsi"/>
          <w:sz w:val="24"/>
          <w:szCs w:val="24"/>
        </w:rPr>
        <w:t>tylna powierzchnia tarczy powinna być zabezpieczona przed procesami korozji ochronnymi powłokami chemicznymi oraz powłoką lakierniczą o grubości min. 60 ~m z proszkowych farb poliestrowych ciemnoszarych matowych lub półmatowych w kolorze RAL 7037; badania należy wykonywać zgodnie z PN-88/C-81523 [4] oraz PN</w:t>
      </w:r>
      <w:r w:rsidRPr="007C351B">
        <w:rPr>
          <w:rFonts w:asciiTheme="minorHAnsi" w:hAnsiTheme="minorHAnsi" w:cstheme="minorHAnsi"/>
          <w:sz w:val="24"/>
          <w:szCs w:val="24"/>
        </w:rPr>
        <w:softHyphen/>
        <w:t>76/C-8l521 [l] w zakresie odporności na działanie mgły solnej oraz wody. Tarcze znaków i tablic o powierzchni&gt; l m2 powinny spełniać dodatkowo następujące wymagania:</w:t>
      </w:r>
    </w:p>
    <w:p w:rsidR="00CD44D1" w:rsidRPr="007C351B" w:rsidRDefault="00CD44D1">
      <w:pPr>
        <w:numPr>
          <w:ilvl w:val="0"/>
          <w:numId w:val="11"/>
        </w:numPr>
        <w:rPr>
          <w:rFonts w:asciiTheme="minorHAnsi" w:hAnsiTheme="minorHAnsi" w:cstheme="minorHAnsi"/>
          <w:sz w:val="24"/>
          <w:szCs w:val="24"/>
        </w:rPr>
      </w:pPr>
      <w:r w:rsidRPr="007C351B">
        <w:rPr>
          <w:rFonts w:asciiTheme="minorHAnsi" w:hAnsiTheme="minorHAnsi" w:cstheme="minorHAnsi"/>
          <w:sz w:val="24"/>
          <w:szCs w:val="24"/>
        </w:rPr>
        <w:t xml:space="preserve">narożniki znaku i tablicy powinny być zaokrąglone, o promieniu zgodnym z wymaganiami określonymi w załączniku </w:t>
      </w:r>
      <w:proofErr w:type="spellStart"/>
      <w:r w:rsidRPr="007C351B">
        <w:rPr>
          <w:rFonts w:asciiTheme="minorHAnsi" w:hAnsiTheme="minorHAnsi" w:cstheme="minorHAnsi"/>
          <w:sz w:val="24"/>
          <w:szCs w:val="24"/>
        </w:rPr>
        <w:t>nI</w:t>
      </w:r>
      <w:proofErr w:type="spellEnd"/>
      <w:r w:rsidRPr="007C351B">
        <w:rPr>
          <w:rFonts w:asciiTheme="minorHAnsi" w:hAnsiTheme="minorHAnsi" w:cstheme="minorHAnsi"/>
          <w:sz w:val="24"/>
          <w:szCs w:val="24"/>
        </w:rPr>
        <w:t xml:space="preserve"> l do rozporządzenia Ministra Infrastruktury z dnia 3 lipca 2003 r. [25] nie mniejszym jednak niż 30 mm, gdy wielkości tego promienia nie wskazano,</w:t>
      </w:r>
    </w:p>
    <w:p w:rsidR="00CD44D1" w:rsidRPr="007C351B" w:rsidRDefault="00CD44D1">
      <w:pPr>
        <w:numPr>
          <w:ilvl w:val="0"/>
          <w:numId w:val="11"/>
        </w:numPr>
        <w:rPr>
          <w:rFonts w:asciiTheme="minorHAnsi" w:hAnsiTheme="minorHAnsi" w:cstheme="minorHAnsi"/>
          <w:sz w:val="24"/>
          <w:szCs w:val="24"/>
        </w:rPr>
      </w:pPr>
      <w:r w:rsidRPr="007C351B">
        <w:rPr>
          <w:rFonts w:asciiTheme="minorHAnsi" w:hAnsiTheme="minorHAnsi" w:cstheme="minorHAnsi"/>
          <w:sz w:val="24"/>
          <w:szCs w:val="24"/>
        </w:rPr>
        <w:t>łączenie poszczególnych segmentów tarczy (dla znaków wielkogabarytowych) wzdłuż poziomej lub pionowej krawędzi powinno być wykonane w taki sposób, aby nie występowały przesunięcia i prześwity w miejscach ich łączenia.</w:t>
      </w:r>
    </w:p>
    <w:p w:rsidR="002B1809" w:rsidRPr="007C351B" w:rsidRDefault="002B1809">
      <w:pPr>
        <w:rPr>
          <w:rFonts w:asciiTheme="minorHAnsi" w:hAnsiTheme="minorHAnsi" w:cstheme="minorHAnsi"/>
          <w:b/>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2.6. </w:t>
      </w:r>
      <w:r w:rsidRPr="007C351B">
        <w:rPr>
          <w:rFonts w:asciiTheme="minorHAnsi" w:hAnsiTheme="minorHAnsi" w:cstheme="minorHAnsi"/>
          <w:b/>
          <w:sz w:val="24"/>
          <w:szCs w:val="24"/>
        </w:rPr>
        <w:tab/>
        <w:t>Znaki odblaskowe</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2.6.1. </w:t>
      </w:r>
      <w:r w:rsidRPr="007C351B">
        <w:rPr>
          <w:rFonts w:asciiTheme="minorHAnsi" w:hAnsiTheme="minorHAnsi" w:cstheme="minorHAnsi"/>
          <w:b/>
          <w:sz w:val="24"/>
          <w:szCs w:val="24"/>
        </w:rPr>
        <w:tab/>
        <w:t>Wymagania dotyczące powierzchni odblaskowej</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Znaki drogowe odblaskowe wykonuje się przez naklejenie na tarczę znaku lica wykonanego z samoprzylepnej, aktywowanej przez docisk, folii odblaskowej. Znaki drogowe klasy A, B, C, D, E, F, G, T i urządzenia bezpieczeństwa ruchu drogowego klasy U nie odblaskowe, nie są dopuszczone do stosowania na drogach publicznych.</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Folia odblaskowa (odbijająca powrotnie) powinna spełniać wymagania określone</w:t>
      </w: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w aprobacie technicznej.</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Lico znaku powinno być wykonane z:</w:t>
      </w:r>
    </w:p>
    <w:p w:rsidR="00CD44D1" w:rsidRPr="007C351B" w:rsidRDefault="00CD44D1">
      <w:pPr>
        <w:numPr>
          <w:ilvl w:val="0"/>
          <w:numId w:val="16"/>
        </w:numPr>
        <w:tabs>
          <w:tab w:val="clear" w:pos="720"/>
          <w:tab w:val="num" w:pos="284"/>
        </w:tabs>
        <w:ind w:left="284" w:hanging="284"/>
        <w:rPr>
          <w:rFonts w:asciiTheme="minorHAnsi" w:hAnsiTheme="minorHAnsi" w:cstheme="minorHAnsi"/>
          <w:sz w:val="24"/>
          <w:szCs w:val="24"/>
        </w:rPr>
      </w:pPr>
      <w:r w:rsidRPr="007C351B">
        <w:rPr>
          <w:rFonts w:asciiTheme="minorHAnsi" w:hAnsiTheme="minorHAnsi" w:cstheme="minorHAnsi"/>
          <w:sz w:val="24"/>
          <w:szCs w:val="24"/>
        </w:rPr>
        <w:t>samoprzylepnej folii odblaskowej o właściwościach fotometrycznych i kolorymetrycznych typu l, typu 2 (folia z kulkami szklanymi lub pryzmatyczna) lub folii pryzmatycznej potwierdzonych uzyskanymi aprobatami technicznymi dla poszczególnych typów folii,</w:t>
      </w:r>
    </w:p>
    <w:p w:rsidR="00CD44D1" w:rsidRPr="007C351B" w:rsidRDefault="00CD44D1">
      <w:pPr>
        <w:numPr>
          <w:ilvl w:val="0"/>
          <w:numId w:val="16"/>
        </w:numPr>
        <w:tabs>
          <w:tab w:val="clear" w:pos="720"/>
          <w:tab w:val="num" w:pos="284"/>
        </w:tabs>
        <w:ind w:left="284" w:hanging="284"/>
        <w:rPr>
          <w:rFonts w:asciiTheme="minorHAnsi" w:hAnsiTheme="minorHAnsi" w:cstheme="minorHAnsi"/>
          <w:sz w:val="24"/>
          <w:szCs w:val="24"/>
        </w:rPr>
      </w:pPr>
      <w:r w:rsidRPr="007C351B">
        <w:rPr>
          <w:rFonts w:asciiTheme="minorHAnsi" w:hAnsiTheme="minorHAnsi" w:cstheme="minorHAnsi"/>
          <w:sz w:val="24"/>
          <w:szCs w:val="24"/>
        </w:rPr>
        <w:t>do nanoszenia barw innych niż biała można. stosować: farby transparentne do sitodruku, zalecane przez producenta danej folii, transparentne folie ploterowe posiadające aprobaty techniczne oraz w przypadku folii typu l wycinane kształty z folii odblaskowych barwnych,</w:t>
      </w:r>
    </w:p>
    <w:p w:rsidR="00CD44D1" w:rsidRPr="007C351B" w:rsidRDefault="00CD44D1">
      <w:pPr>
        <w:numPr>
          <w:ilvl w:val="0"/>
          <w:numId w:val="16"/>
        </w:numPr>
        <w:tabs>
          <w:tab w:val="clear" w:pos="720"/>
          <w:tab w:val="num" w:pos="284"/>
        </w:tabs>
        <w:ind w:left="284" w:hanging="284"/>
        <w:rPr>
          <w:rFonts w:asciiTheme="minorHAnsi" w:hAnsiTheme="minorHAnsi" w:cstheme="minorHAnsi"/>
          <w:sz w:val="24"/>
          <w:szCs w:val="24"/>
        </w:rPr>
      </w:pPr>
      <w:r w:rsidRPr="007C351B">
        <w:rPr>
          <w:rFonts w:asciiTheme="minorHAnsi" w:hAnsiTheme="minorHAnsi" w:cstheme="minorHAnsi"/>
          <w:sz w:val="24"/>
          <w:szCs w:val="24"/>
        </w:rPr>
        <w:t xml:space="preserve">dopuszcza się wycinanie kształtów z folii typu 2 pod warunkiem zabezpieczenia ich krawędzi lakierem zalecanym przez producenta folii, - nie dopuszcza się stosowania folii o okresie trwałości poniżej 7 lat do znaków stałych, - folie o 2-letnim i 3-letnim okresie trwałości mogą być wykorzystywane do znaków tymczasowych stosowanych do oznakowania robót drogowych, pod warunkiem posiadania aprobaty technicznej i zachowania zgodności z załącznikiem nr l do rozporządzenia Ministra Infrastruktury z dnia 3 lipca 2003 w sprawie szczegółowych warunków technicznych dla znaków i sygnałów </w:t>
      </w:r>
      <w:r w:rsidRPr="007C351B">
        <w:rPr>
          <w:rFonts w:asciiTheme="minorHAnsi" w:hAnsiTheme="minorHAnsi" w:cstheme="minorHAnsi"/>
          <w:sz w:val="24"/>
          <w:szCs w:val="24"/>
        </w:rPr>
        <w:lastRenderedPageBreak/>
        <w:t>drogowych oraz urządzeń bezpieczeństwa ruchu drogowego i warunków ich umieszczania na drogach [25].</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 xml:space="preserve">Minimalna początkowa wartość współczynnika odblasku R'(cd.lx-1m-2 ) znaków odblaskowych, zmierzona zgodnie z procedurą zawartą w </w:t>
      </w:r>
      <w:proofErr w:type="spellStart"/>
      <w:r w:rsidRPr="007C351B">
        <w:rPr>
          <w:rFonts w:asciiTheme="minorHAnsi" w:hAnsiTheme="minorHAnsi" w:cstheme="minorHAnsi"/>
          <w:sz w:val="24"/>
          <w:szCs w:val="24"/>
        </w:rPr>
        <w:t>ClE</w:t>
      </w:r>
      <w:proofErr w:type="spellEnd"/>
      <w:r w:rsidRPr="007C351B">
        <w:rPr>
          <w:rFonts w:asciiTheme="minorHAnsi" w:hAnsiTheme="minorHAnsi" w:cstheme="minorHAnsi"/>
          <w:sz w:val="24"/>
          <w:szCs w:val="24"/>
        </w:rPr>
        <w:t xml:space="preserve"> No.54 [29], używając standardowego </w:t>
      </w:r>
      <w:proofErr w:type="spellStart"/>
      <w:r w:rsidRPr="007C351B">
        <w:rPr>
          <w:rFonts w:asciiTheme="minorHAnsi" w:hAnsiTheme="minorHAnsi" w:cstheme="minorHAnsi"/>
          <w:sz w:val="24"/>
          <w:szCs w:val="24"/>
        </w:rPr>
        <w:t>iluminanta</w:t>
      </w:r>
      <w:proofErr w:type="spellEnd"/>
      <w:r w:rsidRPr="007C351B">
        <w:rPr>
          <w:rFonts w:asciiTheme="minorHAnsi" w:hAnsiTheme="minorHAnsi" w:cstheme="minorHAnsi"/>
          <w:sz w:val="24"/>
          <w:szCs w:val="24"/>
        </w:rPr>
        <w:t xml:space="preserve"> A, powinna spełniać odpowiednio wymagania podane w tablicy 2.</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 xml:space="preserve">Współczynnik odblasku R' dla wszystkich kolorów drukowanych, z wyjątkiem białego, nie powinien być mniejszy niż 70 % wartości podanych w tablicy 2 dla znaków z folią typu 1 lub typu 2, zgodnie z publikacją </w:t>
      </w:r>
      <w:proofErr w:type="spellStart"/>
      <w:r w:rsidRPr="007C351B">
        <w:rPr>
          <w:rFonts w:asciiTheme="minorHAnsi" w:hAnsiTheme="minorHAnsi" w:cstheme="minorHAnsi"/>
          <w:sz w:val="24"/>
          <w:szCs w:val="24"/>
        </w:rPr>
        <w:t>ClE</w:t>
      </w:r>
      <w:proofErr w:type="spellEnd"/>
      <w:r w:rsidRPr="007C351B">
        <w:rPr>
          <w:rFonts w:asciiTheme="minorHAnsi" w:hAnsiTheme="minorHAnsi" w:cstheme="minorHAnsi"/>
          <w:sz w:val="24"/>
          <w:szCs w:val="24"/>
        </w:rPr>
        <w:t xml:space="preserve"> No 39.2 [28]. Folie odblaskowe pryzmatyczne (typ 3) powinny spełniać minimalne wymagania dla folii typu 2 lub zwiększone wymagania postawione w aprobacie technicznej dla danej folii. W przypadku oświetlenia standardowym </w:t>
      </w:r>
      <w:proofErr w:type="spellStart"/>
      <w:r w:rsidRPr="007C351B">
        <w:rPr>
          <w:rFonts w:asciiTheme="minorHAnsi" w:hAnsiTheme="minorHAnsi" w:cstheme="minorHAnsi"/>
          <w:sz w:val="24"/>
          <w:szCs w:val="24"/>
        </w:rPr>
        <w:t>iluminantem</w:t>
      </w:r>
      <w:proofErr w:type="spellEnd"/>
      <w:r w:rsidRPr="007C351B">
        <w:rPr>
          <w:rFonts w:asciiTheme="minorHAnsi" w:hAnsiTheme="minorHAnsi" w:cstheme="minorHAnsi"/>
          <w:sz w:val="24"/>
          <w:szCs w:val="24"/>
        </w:rPr>
        <w:t xml:space="preserve"> D 65 i pomiaru w geometrii 45/0 współrzędne chromatyczności i współczynnik luminancji β powinny być zgodne z wymaganiami podanymi w tablicach 2 i 3.</w:t>
      </w:r>
    </w:p>
    <w:p w:rsidR="00CD44D1" w:rsidRPr="007C351B" w:rsidRDefault="00CD44D1">
      <w:pPr>
        <w:jc w:val="center"/>
        <w:rPr>
          <w:rFonts w:asciiTheme="minorHAnsi" w:hAnsiTheme="minorHAnsi" w:cstheme="minorHAnsi"/>
          <w:sz w:val="24"/>
          <w:szCs w:val="24"/>
        </w:rPr>
      </w:pPr>
      <w:r w:rsidRPr="007C351B">
        <w:rPr>
          <w:rFonts w:asciiTheme="minorHAnsi" w:hAnsiTheme="minorHAnsi" w:cstheme="minorHAnsi"/>
          <w:sz w:val="24"/>
          <w:szCs w:val="24"/>
        </w:rPr>
        <w:br w:type="page"/>
      </w:r>
      <w:r w:rsidRPr="007C351B">
        <w:rPr>
          <w:rFonts w:asciiTheme="minorHAnsi" w:hAnsiTheme="minorHAnsi" w:cstheme="minorHAnsi"/>
          <w:sz w:val="24"/>
          <w:szCs w:val="24"/>
        </w:rPr>
        <w:lastRenderedPageBreak/>
        <w:t>Tablica 2. Wymagania dla współczynnika luminancji β i współrzędnych chromatyczności x, y oraz współczynnika odblasku R'</w:t>
      </w:r>
    </w:p>
    <w:p w:rsidR="00CD44D1" w:rsidRPr="007C351B" w:rsidRDefault="00CD44D1">
      <w:pPr>
        <w:rPr>
          <w:rFonts w:asciiTheme="minorHAnsi" w:hAnsiTheme="minorHAnsi" w:cstheme="minorHAnsi"/>
          <w:sz w:val="24"/>
          <w:szCs w:val="24"/>
        </w:rPr>
      </w:pPr>
    </w:p>
    <w:tbl>
      <w:tblPr>
        <w:tblW w:w="86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534"/>
        <w:gridCol w:w="2880"/>
        <w:gridCol w:w="1440"/>
        <w:gridCol w:w="1800"/>
        <w:gridCol w:w="1954"/>
      </w:tblGrid>
      <w:tr w:rsidR="00CD44D1" w:rsidRPr="007C351B">
        <w:tc>
          <w:tcPr>
            <w:tcW w:w="534" w:type="dxa"/>
            <w:tcBorders>
              <w:top w:val="double" w:sz="4" w:space="0" w:color="auto"/>
              <w:bottom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Lp.</w:t>
            </w:r>
          </w:p>
        </w:tc>
        <w:tc>
          <w:tcPr>
            <w:tcW w:w="2880" w:type="dxa"/>
            <w:tcBorders>
              <w:top w:val="double" w:sz="4" w:space="0" w:color="auto"/>
              <w:bottom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Właściwości</w:t>
            </w:r>
          </w:p>
        </w:tc>
        <w:tc>
          <w:tcPr>
            <w:tcW w:w="1440" w:type="dxa"/>
            <w:tcBorders>
              <w:top w:val="double" w:sz="4" w:space="0" w:color="auto"/>
              <w:bottom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Jednostki</w:t>
            </w:r>
          </w:p>
        </w:tc>
        <w:tc>
          <w:tcPr>
            <w:tcW w:w="3754" w:type="dxa"/>
            <w:gridSpan w:val="2"/>
            <w:tcBorders>
              <w:top w:val="double" w:sz="4" w:space="0" w:color="auto"/>
              <w:bottom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Wymagania:</w:t>
            </w:r>
          </w:p>
        </w:tc>
      </w:tr>
      <w:tr w:rsidR="00CD44D1" w:rsidRPr="007C351B">
        <w:trPr>
          <w:trHeight w:val="2575"/>
        </w:trPr>
        <w:tc>
          <w:tcPr>
            <w:tcW w:w="534" w:type="dxa"/>
            <w:tcBorders>
              <w:top w:val="double" w:sz="4" w:space="0" w:color="auto"/>
            </w:tcBorders>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1</w:t>
            </w:r>
          </w:p>
        </w:tc>
        <w:tc>
          <w:tcPr>
            <w:tcW w:w="2880" w:type="dxa"/>
            <w:tcBorders>
              <w:top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Współczynnik odblasku R' (kąt</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oświetlenia 5°, kąt obserwacji</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0,33°) dla folii:</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białej</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żółtej</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czerwonej</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zielonej</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niebieskiej</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brązowej</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pomarańczowej</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szarej</w:t>
            </w:r>
          </w:p>
        </w:tc>
        <w:tc>
          <w:tcPr>
            <w:tcW w:w="1440" w:type="dxa"/>
            <w:tcBorders>
              <w:top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cdlm2lx</w:t>
            </w:r>
          </w:p>
        </w:tc>
        <w:tc>
          <w:tcPr>
            <w:tcW w:w="1800" w:type="dxa"/>
            <w:tcBorders>
              <w:top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typ 1</w:t>
            </w:r>
          </w:p>
          <w:p w:rsidR="00CD44D1" w:rsidRPr="007C351B" w:rsidRDefault="00CD44D1">
            <w:pPr>
              <w:jc w:val="center"/>
              <w:rPr>
                <w:rFonts w:asciiTheme="minorHAnsi" w:hAnsiTheme="minorHAnsi" w:cstheme="minorHAnsi"/>
                <w:sz w:val="20"/>
              </w:rPr>
            </w:pPr>
          </w:p>
          <w:p w:rsidR="00CD44D1" w:rsidRPr="007C351B" w:rsidRDefault="00CD44D1">
            <w:pPr>
              <w:jc w:val="center"/>
              <w:rPr>
                <w:rFonts w:asciiTheme="minorHAnsi" w:hAnsiTheme="minorHAnsi" w:cstheme="minorHAnsi"/>
                <w:sz w:val="20"/>
              </w:rPr>
            </w:pP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50</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35</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10</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7</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2</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0,6</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20</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30</w:t>
            </w:r>
          </w:p>
        </w:tc>
        <w:tc>
          <w:tcPr>
            <w:tcW w:w="1954" w:type="dxa"/>
            <w:tcBorders>
              <w:top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typ 2</w:t>
            </w:r>
          </w:p>
          <w:p w:rsidR="00CD44D1" w:rsidRPr="007C351B" w:rsidRDefault="00CD44D1">
            <w:pPr>
              <w:jc w:val="center"/>
              <w:rPr>
                <w:rFonts w:asciiTheme="minorHAnsi" w:hAnsiTheme="minorHAnsi" w:cstheme="minorHAnsi"/>
                <w:sz w:val="20"/>
              </w:rPr>
            </w:pPr>
          </w:p>
          <w:p w:rsidR="00CD44D1" w:rsidRPr="007C351B" w:rsidRDefault="00CD44D1">
            <w:pPr>
              <w:jc w:val="center"/>
              <w:rPr>
                <w:rFonts w:asciiTheme="minorHAnsi" w:hAnsiTheme="minorHAnsi" w:cstheme="minorHAnsi"/>
                <w:sz w:val="20"/>
              </w:rPr>
            </w:pP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180</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120</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45</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21</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14</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8</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65</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 90</w:t>
            </w:r>
          </w:p>
        </w:tc>
      </w:tr>
      <w:tr w:rsidR="00CD44D1" w:rsidRPr="007C351B">
        <w:trPr>
          <w:trHeight w:val="2575"/>
        </w:trPr>
        <w:tc>
          <w:tcPr>
            <w:tcW w:w="534" w:type="dxa"/>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2</w:t>
            </w:r>
          </w:p>
        </w:tc>
        <w:tc>
          <w:tcPr>
            <w:tcW w:w="2880"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Współczynnik luminancji 13 i</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współrzędne chromatyczności x,</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y *) dla folii:</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białej</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żółtej</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czerwonej</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zielonej</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niebieskiej</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brązowej</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pomarańczowej</w:t>
            </w:r>
          </w:p>
          <w:p w:rsidR="00CD44D1" w:rsidRPr="007C351B" w:rsidRDefault="00CD44D1">
            <w:pPr>
              <w:rPr>
                <w:rFonts w:asciiTheme="minorHAnsi" w:hAnsiTheme="minorHAnsi" w:cstheme="minorHAnsi"/>
                <w:sz w:val="20"/>
              </w:rPr>
            </w:pPr>
            <w:r w:rsidRPr="007C351B">
              <w:rPr>
                <w:rFonts w:asciiTheme="minorHAnsi" w:hAnsiTheme="minorHAnsi" w:cstheme="minorHAnsi"/>
                <w:sz w:val="20"/>
              </w:rPr>
              <w:t>- szarej</w:t>
            </w:r>
          </w:p>
        </w:tc>
        <w:tc>
          <w:tcPr>
            <w:tcW w:w="1440"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w:t>
            </w:r>
          </w:p>
        </w:tc>
        <w:tc>
          <w:tcPr>
            <w:tcW w:w="1800"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typ 1</w:t>
            </w:r>
          </w:p>
          <w:p w:rsidR="00CD44D1" w:rsidRPr="007C351B" w:rsidRDefault="00CD44D1">
            <w:pPr>
              <w:jc w:val="center"/>
              <w:rPr>
                <w:rFonts w:asciiTheme="minorHAnsi" w:hAnsiTheme="minorHAnsi" w:cstheme="minorHAnsi"/>
                <w:sz w:val="20"/>
              </w:rPr>
            </w:pPr>
          </w:p>
          <w:p w:rsidR="00CD44D1" w:rsidRPr="007C351B" w:rsidRDefault="00CD44D1">
            <w:pPr>
              <w:jc w:val="center"/>
              <w:rPr>
                <w:rFonts w:asciiTheme="minorHAnsi" w:hAnsiTheme="minorHAnsi" w:cstheme="minorHAnsi"/>
                <w:sz w:val="20"/>
              </w:rPr>
            </w:pP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β ≥ 0,35</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β ≥ 0,27</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β ≥ 0,05</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β ≥ 0,04</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β ≥  0,01</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0,09 ≥ β ≥ 0,03</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β ≥ 0,17</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0,18 ≥ β ≥ 0,12</w:t>
            </w:r>
          </w:p>
        </w:tc>
        <w:tc>
          <w:tcPr>
            <w:tcW w:w="1954"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typ 2</w:t>
            </w:r>
          </w:p>
          <w:p w:rsidR="00CD44D1" w:rsidRPr="007C351B" w:rsidRDefault="00CD44D1">
            <w:pPr>
              <w:jc w:val="center"/>
              <w:rPr>
                <w:rFonts w:asciiTheme="minorHAnsi" w:hAnsiTheme="minorHAnsi" w:cstheme="minorHAnsi"/>
                <w:sz w:val="20"/>
              </w:rPr>
            </w:pPr>
          </w:p>
          <w:p w:rsidR="00CD44D1" w:rsidRPr="007C351B" w:rsidRDefault="00CD44D1">
            <w:pPr>
              <w:jc w:val="center"/>
              <w:rPr>
                <w:rFonts w:asciiTheme="minorHAnsi" w:hAnsiTheme="minorHAnsi" w:cstheme="minorHAnsi"/>
                <w:sz w:val="20"/>
              </w:rPr>
            </w:pP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β ≥  0,27</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β ≥ 0,16</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β ≥ 0,03</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β ≥ 0,03</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β ≥ 0,01</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0,09≥ β ≥ 0,03</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β ≥ 0,14</w:t>
            </w:r>
          </w:p>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0,18 ≥β ≥  0,12</w:t>
            </w:r>
          </w:p>
        </w:tc>
      </w:tr>
      <w:tr w:rsidR="00CD44D1" w:rsidRPr="007C351B">
        <w:tc>
          <w:tcPr>
            <w:tcW w:w="8608" w:type="dxa"/>
            <w:gridSpan w:val="5"/>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 współrzędne chromatyczności x, y w polu barw według tablicy 3</w:t>
            </w:r>
          </w:p>
        </w:tc>
      </w:tr>
    </w:tbl>
    <w:p w:rsidR="00CD44D1" w:rsidRPr="007C351B" w:rsidRDefault="00CD44D1">
      <w:pPr>
        <w:rPr>
          <w:rFonts w:asciiTheme="minorHAnsi" w:hAnsiTheme="minorHAnsi" w:cstheme="minorHAnsi"/>
          <w:sz w:val="24"/>
          <w:szCs w:val="24"/>
        </w:rPr>
      </w:pPr>
    </w:p>
    <w:p w:rsidR="00CD44D1" w:rsidRPr="007C351B" w:rsidRDefault="00CD44D1">
      <w:pPr>
        <w:jc w:val="center"/>
        <w:rPr>
          <w:rFonts w:asciiTheme="minorHAnsi" w:hAnsiTheme="minorHAnsi" w:cstheme="minorHAnsi"/>
          <w:sz w:val="24"/>
          <w:szCs w:val="24"/>
        </w:rPr>
      </w:pPr>
      <w:r w:rsidRPr="007C351B">
        <w:rPr>
          <w:rFonts w:asciiTheme="minorHAnsi" w:hAnsiTheme="minorHAnsi" w:cstheme="minorHAnsi"/>
          <w:sz w:val="24"/>
          <w:szCs w:val="24"/>
        </w:rPr>
        <w:t>Tablica 3. Współrzędne punktów narożnych wyznaczających pola barw</w:t>
      </w:r>
    </w:p>
    <w:p w:rsidR="00CD44D1" w:rsidRPr="007C351B" w:rsidRDefault="00CD44D1">
      <w:pPr>
        <w:jc w:val="center"/>
        <w:rPr>
          <w:rFonts w:asciiTheme="minorHAnsi" w:hAnsiTheme="minorHAnsi" w:cstheme="minorHAnsi"/>
          <w:sz w:val="24"/>
          <w:szCs w:val="24"/>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3"/>
        <w:gridCol w:w="1521"/>
        <w:gridCol w:w="1571"/>
        <w:gridCol w:w="1535"/>
        <w:gridCol w:w="1526"/>
        <w:gridCol w:w="1526"/>
      </w:tblGrid>
      <w:tr w:rsidR="00CD44D1" w:rsidRPr="007C351B">
        <w:trPr>
          <w:cantSplit/>
          <w:trHeight w:val="20"/>
        </w:trPr>
        <w:tc>
          <w:tcPr>
            <w:tcW w:w="3054" w:type="dxa"/>
            <w:gridSpan w:val="2"/>
            <w:vMerge w:val="restart"/>
            <w:tcBorders>
              <w:top w:val="double" w:sz="4" w:space="0" w:color="auto"/>
              <w:left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Barwa folii</w:t>
            </w:r>
          </w:p>
        </w:tc>
        <w:tc>
          <w:tcPr>
            <w:tcW w:w="6158" w:type="dxa"/>
            <w:gridSpan w:val="4"/>
            <w:tcBorders>
              <w:top w:val="double" w:sz="4" w:space="0" w:color="auto"/>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Współrzędne chromatyczności punktów narożnych wyznaczających pole barwy (źródło światła D65, geometria pomiaru 45/0 °)</w:t>
            </w:r>
          </w:p>
        </w:tc>
      </w:tr>
      <w:tr w:rsidR="00CD44D1" w:rsidRPr="007C351B">
        <w:trPr>
          <w:cantSplit/>
          <w:trHeight w:val="20"/>
        </w:trPr>
        <w:tc>
          <w:tcPr>
            <w:tcW w:w="3054" w:type="dxa"/>
            <w:gridSpan w:val="2"/>
            <w:vMerge/>
            <w:tcBorders>
              <w:left w:val="double" w:sz="4" w:space="0" w:color="auto"/>
              <w:bottom w:val="double" w:sz="4" w:space="0" w:color="auto"/>
            </w:tcBorders>
            <w:vAlign w:val="center"/>
          </w:tcPr>
          <w:p w:rsidR="00CD44D1" w:rsidRPr="007C351B" w:rsidRDefault="00CD44D1">
            <w:pPr>
              <w:rPr>
                <w:rFonts w:asciiTheme="minorHAnsi" w:hAnsiTheme="minorHAnsi" w:cstheme="minorHAnsi"/>
                <w:sz w:val="20"/>
              </w:rPr>
            </w:pPr>
          </w:p>
        </w:tc>
        <w:tc>
          <w:tcPr>
            <w:tcW w:w="1571" w:type="dxa"/>
            <w:tcBorders>
              <w:bottom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1</w:t>
            </w:r>
          </w:p>
        </w:tc>
        <w:tc>
          <w:tcPr>
            <w:tcW w:w="1535" w:type="dxa"/>
            <w:tcBorders>
              <w:bottom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2</w:t>
            </w:r>
          </w:p>
        </w:tc>
        <w:tc>
          <w:tcPr>
            <w:tcW w:w="1526" w:type="dxa"/>
            <w:tcBorders>
              <w:bottom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3</w:t>
            </w:r>
          </w:p>
        </w:tc>
        <w:tc>
          <w:tcPr>
            <w:tcW w:w="1526" w:type="dxa"/>
            <w:tcBorders>
              <w:bottom w:val="double" w:sz="4" w:space="0" w:color="auto"/>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4</w:t>
            </w:r>
          </w:p>
        </w:tc>
      </w:tr>
      <w:tr w:rsidR="00CD44D1" w:rsidRPr="007C351B">
        <w:trPr>
          <w:cantSplit/>
          <w:trHeight w:val="20"/>
        </w:trPr>
        <w:tc>
          <w:tcPr>
            <w:tcW w:w="1533" w:type="dxa"/>
            <w:vMerge w:val="restart"/>
            <w:tcBorders>
              <w:top w:val="double" w:sz="4" w:space="0" w:color="auto"/>
              <w:left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Biała</w:t>
            </w:r>
          </w:p>
        </w:tc>
        <w:tc>
          <w:tcPr>
            <w:tcW w:w="1521" w:type="dxa"/>
            <w:tcBorders>
              <w:top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x</w:t>
            </w:r>
          </w:p>
        </w:tc>
        <w:tc>
          <w:tcPr>
            <w:tcW w:w="1571" w:type="dxa"/>
            <w:tcBorders>
              <w:top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0,355</w:t>
            </w:r>
          </w:p>
        </w:tc>
        <w:tc>
          <w:tcPr>
            <w:tcW w:w="1535" w:type="dxa"/>
            <w:tcBorders>
              <w:top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0,305</w:t>
            </w:r>
          </w:p>
        </w:tc>
        <w:tc>
          <w:tcPr>
            <w:tcW w:w="1526" w:type="dxa"/>
            <w:tcBorders>
              <w:top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0,285</w:t>
            </w:r>
          </w:p>
        </w:tc>
        <w:tc>
          <w:tcPr>
            <w:tcW w:w="1526" w:type="dxa"/>
            <w:tcBorders>
              <w:top w:val="double" w:sz="4" w:space="0" w:color="auto"/>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0,335</w:t>
            </w:r>
          </w:p>
        </w:tc>
      </w:tr>
      <w:tr w:rsidR="00CD44D1" w:rsidRPr="007C351B">
        <w:trPr>
          <w:cantSplit/>
          <w:trHeight w:val="20"/>
        </w:trPr>
        <w:tc>
          <w:tcPr>
            <w:tcW w:w="1533" w:type="dxa"/>
            <w:vMerge/>
            <w:tcBorders>
              <w:left w:val="double" w:sz="4" w:space="0" w:color="auto"/>
            </w:tcBorders>
            <w:vAlign w:val="center"/>
          </w:tcPr>
          <w:p w:rsidR="00CD44D1" w:rsidRPr="007C351B" w:rsidRDefault="00CD44D1">
            <w:pPr>
              <w:rPr>
                <w:rFonts w:asciiTheme="minorHAnsi" w:hAnsiTheme="minorHAnsi" w:cstheme="minorHAnsi"/>
                <w:sz w:val="20"/>
              </w:rPr>
            </w:pP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Y</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0,355</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0,305</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0,325</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0,375</w:t>
            </w:r>
          </w:p>
        </w:tc>
      </w:tr>
      <w:tr w:rsidR="00CD44D1" w:rsidRPr="007C351B">
        <w:trPr>
          <w:cantSplit/>
          <w:trHeight w:val="20"/>
        </w:trPr>
        <w:tc>
          <w:tcPr>
            <w:tcW w:w="1533" w:type="dxa"/>
            <w:vMerge w:val="restart"/>
            <w:tcBorders>
              <w:left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Żółta typ 1 folii</w:t>
            </w: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x</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0,522</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0,470</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0,427</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0,465</w:t>
            </w:r>
          </w:p>
        </w:tc>
      </w:tr>
      <w:tr w:rsidR="00CD44D1" w:rsidRPr="007C351B">
        <w:trPr>
          <w:cantSplit/>
          <w:trHeight w:val="20"/>
        </w:trPr>
        <w:tc>
          <w:tcPr>
            <w:tcW w:w="1533" w:type="dxa"/>
            <w:vMerge/>
            <w:tcBorders>
              <w:left w:val="double" w:sz="4" w:space="0" w:color="auto"/>
            </w:tcBorders>
            <w:vAlign w:val="center"/>
          </w:tcPr>
          <w:p w:rsidR="00CD44D1" w:rsidRPr="007C351B" w:rsidRDefault="00CD44D1">
            <w:pPr>
              <w:rPr>
                <w:rFonts w:asciiTheme="minorHAnsi" w:hAnsiTheme="minorHAnsi" w:cstheme="minorHAnsi"/>
                <w:sz w:val="20"/>
              </w:rPr>
            </w:pP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Y</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0,477</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0,440</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0,483</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0,534</w:t>
            </w:r>
          </w:p>
        </w:tc>
      </w:tr>
      <w:tr w:rsidR="00CD44D1" w:rsidRPr="007C351B">
        <w:trPr>
          <w:cantSplit/>
          <w:trHeight w:val="20"/>
        </w:trPr>
        <w:tc>
          <w:tcPr>
            <w:tcW w:w="1533" w:type="dxa"/>
            <w:vMerge w:val="restart"/>
            <w:tcBorders>
              <w:left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Żółta typ 2 folii</w:t>
            </w: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x</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0,545</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0,487</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0,427</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0,465</w:t>
            </w:r>
          </w:p>
        </w:tc>
      </w:tr>
      <w:tr w:rsidR="00CD44D1" w:rsidRPr="007C351B">
        <w:trPr>
          <w:cantSplit/>
          <w:trHeight w:val="20"/>
        </w:trPr>
        <w:tc>
          <w:tcPr>
            <w:tcW w:w="1533" w:type="dxa"/>
            <w:vMerge/>
            <w:tcBorders>
              <w:left w:val="double" w:sz="4" w:space="0" w:color="auto"/>
            </w:tcBorders>
            <w:vAlign w:val="center"/>
          </w:tcPr>
          <w:p w:rsidR="00CD44D1" w:rsidRPr="007C351B" w:rsidRDefault="00CD44D1">
            <w:pPr>
              <w:rPr>
                <w:rFonts w:asciiTheme="minorHAnsi" w:hAnsiTheme="minorHAnsi" w:cstheme="minorHAnsi"/>
                <w:sz w:val="20"/>
              </w:rPr>
            </w:pP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v</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0,454</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0,423</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0,483</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0,534</w:t>
            </w:r>
          </w:p>
        </w:tc>
      </w:tr>
      <w:tr w:rsidR="00CD44D1" w:rsidRPr="007C351B">
        <w:trPr>
          <w:cantSplit/>
          <w:trHeight w:val="20"/>
        </w:trPr>
        <w:tc>
          <w:tcPr>
            <w:tcW w:w="1533" w:type="dxa"/>
            <w:vMerge w:val="restart"/>
            <w:tcBorders>
              <w:left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Czerwona</w:t>
            </w: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x</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0,735</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0,674</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0,569</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.0,655</w:t>
            </w:r>
          </w:p>
        </w:tc>
      </w:tr>
      <w:tr w:rsidR="00CD44D1" w:rsidRPr="007C351B">
        <w:trPr>
          <w:cantSplit/>
          <w:trHeight w:val="20"/>
        </w:trPr>
        <w:tc>
          <w:tcPr>
            <w:tcW w:w="1533" w:type="dxa"/>
            <w:vMerge/>
            <w:tcBorders>
              <w:left w:val="double" w:sz="4" w:space="0" w:color="auto"/>
            </w:tcBorders>
            <w:vAlign w:val="center"/>
          </w:tcPr>
          <w:p w:rsidR="00CD44D1" w:rsidRPr="007C351B" w:rsidRDefault="00CD44D1">
            <w:pPr>
              <w:rPr>
                <w:rFonts w:asciiTheme="minorHAnsi" w:hAnsiTheme="minorHAnsi" w:cstheme="minorHAnsi"/>
                <w:sz w:val="20"/>
              </w:rPr>
            </w:pP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y</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0,265</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0,236</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0,341</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0,345</w:t>
            </w:r>
          </w:p>
        </w:tc>
      </w:tr>
      <w:tr w:rsidR="00CD44D1" w:rsidRPr="007C351B">
        <w:trPr>
          <w:cantSplit/>
          <w:trHeight w:val="20"/>
        </w:trPr>
        <w:tc>
          <w:tcPr>
            <w:tcW w:w="1533" w:type="dxa"/>
            <w:vMerge w:val="restart"/>
            <w:tcBorders>
              <w:left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Niebieska</w:t>
            </w: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x</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0,078</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0,150</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0,210</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0,137</w:t>
            </w:r>
          </w:p>
        </w:tc>
      </w:tr>
      <w:tr w:rsidR="00CD44D1" w:rsidRPr="007C351B">
        <w:trPr>
          <w:cantSplit/>
          <w:trHeight w:val="20"/>
        </w:trPr>
        <w:tc>
          <w:tcPr>
            <w:tcW w:w="1533" w:type="dxa"/>
            <w:vMerge/>
            <w:tcBorders>
              <w:left w:val="double" w:sz="4" w:space="0" w:color="auto"/>
            </w:tcBorders>
            <w:vAlign w:val="center"/>
          </w:tcPr>
          <w:p w:rsidR="00CD44D1" w:rsidRPr="007C351B" w:rsidRDefault="00CD44D1">
            <w:pPr>
              <w:rPr>
                <w:rFonts w:asciiTheme="minorHAnsi" w:hAnsiTheme="minorHAnsi" w:cstheme="minorHAnsi"/>
                <w:sz w:val="20"/>
              </w:rPr>
            </w:pP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v</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0,171</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0,220</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0,160.</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0,038</w:t>
            </w:r>
          </w:p>
        </w:tc>
      </w:tr>
      <w:tr w:rsidR="00CD44D1" w:rsidRPr="007C351B">
        <w:trPr>
          <w:cantSplit/>
          <w:trHeight w:val="20"/>
        </w:trPr>
        <w:tc>
          <w:tcPr>
            <w:tcW w:w="1533" w:type="dxa"/>
            <w:vMerge w:val="restart"/>
            <w:tcBorders>
              <w:left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Zielona</w:t>
            </w: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x</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0,007</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0,248</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0,177</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0,026</w:t>
            </w:r>
          </w:p>
        </w:tc>
      </w:tr>
      <w:tr w:rsidR="00CD44D1" w:rsidRPr="007C351B">
        <w:trPr>
          <w:cantSplit/>
          <w:trHeight w:val="20"/>
        </w:trPr>
        <w:tc>
          <w:tcPr>
            <w:tcW w:w="1533" w:type="dxa"/>
            <w:vMerge/>
            <w:tcBorders>
              <w:left w:val="double" w:sz="4" w:space="0" w:color="auto"/>
            </w:tcBorders>
            <w:vAlign w:val="center"/>
          </w:tcPr>
          <w:p w:rsidR="00CD44D1" w:rsidRPr="007C351B" w:rsidRDefault="00CD44D1">
            <w:pPr>
              <w:rPr>
                <w:rFonts w:asciiTheme="minorHAnsi" w:hAnsiTheme="minorHAnsi" w:cstheme="minorHAnsi"/>
                <w:sz w:val="20"/>
              </w:rPr>
            </w:pP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v</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0,703</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0,409</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0,362</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0,399</w:t>
            </w:r>
          </w:p>
        </w:tc>
      </w:tr>
      <w:tr w:rsidR="00CD44D1" w:rsidRPr="007C351B">
        <w:trPr>
          <w:cantSplit/>
          <w:trHeight w:val="20"/>
        </w:trPr>
        <w:tc>
          <w:tcPr>
            <w:tcW w:w="1533" w:type="dxa"/>
            <w:vMerge w:val="restart"/>
            <w:tcBorders>
              <w:left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Brązowa</w:t>
            </w: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x</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0,455</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0,523</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0,479</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0,558</w:t>
            </w:r>
          </w:p>
        </w:tc>
      </w:tr>
      <w:tr w:rsidR="00CD44D1" w:rsidRPr="007C351B">
        <w:trPr>
          <w:cantSplit/>
          <w:trHeight w:val="20"/>
        </w:trPr>
        <w:tc>
          <w:tcPr>
            <w:tcW w:w="1533" w:type="dxa"/>
            <w:vMerge/>
            <w:tcBorders>
              <w:left w:val="double" w:sz="4" w:space="0" w:color="auto"/>
            </w:tcBorders>
            <w:vAlign w:val="center"/>
          </w:tcPr>
          <w:p w:rsidR="00CD44D1" w:rsidRPr="007C351B" w:rsidRDefault="00CD44D1">
            <w:pPr>
              <w:rPr>
                <w:rFonts w:asciiTheme="minorHAnsi" w:hAnsiTheme="minorHAnsi" w:cstheme="minorHAnsi"/>
                <w:sz w:val="20"/>
              </w:rPr>
            </w:pP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y</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0,397</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0,429</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0,373</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0,394</w:t>
            </w:r>
          </w:p>
        </w:tc>
      </w:tr>
      <w:tr w:rsidR="00CD44D1" w:rsidRPr="007C351B">
        <w:trPr>
          <w:cantSplit/>
          <w:trHeight w:val="20"/>
        </w:trPr>
        <w:tc>
          <w:tcPr>
            <w:tcW w:w="1533" w:type="dxa"/>
            <w:vMerge w:val="restart"/>
            <w:tcBorders>
              <w:left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Pomarańczowa</w:t>
            </w: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x</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0,610</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0,535</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0,506</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0,570</w:t>
            </w:r>
          </w:p>
        </w:tc>
      </w:tr>
      <w:tr w:rsidR="00CD44D1" w:rsidRPr="007C351B">
        <w:trPr>
          <w:cantSplit/>
          <w:trHeight w:val="20"/>
        </w:trPr>
        <w:tc>
          <w:tcPr>
            <w:tcW w:w="1533" w:type="dxa"/>
            <w:vMerge/>
            <w:tcBorders>
              <w:left w:val="double" w:sz="4" w:space="0" w:color="auto"/>
            </w:tcBorders>
            <w:vAlign w:val="center"/>
          </w:tcPr>
          <w:p w:rsidR="00CD44D1" w:rsidRPr="007C351B" w:rsidRDefault="00CD44D1">
            <w:pPr>
              <w:rPr>
                <w:rFonts w:asciiTheme="minorHAnsi" w:hAnsiTheme="minorHAnsi" w:cstheme="minorHAnsi"/>
                <w:sz w:val="20"/>
              </w:rPr>
            </w:pP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y</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0,390</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0,375</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0,404</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0,429</w:t>
            </w:r>
          </w:p>
        </w:tc>
      </w:tr>
      <w:tr w:rsidR="00CD44D1" w:rsidRPr="007C351B">
        <w:trPr>
          <w:cantSplit/>
          <w:trHeight w:val="20"/>
        </w:trPr>
        <w:tc>
          <w:tcPr>
            <w:tcW w:w="1533" w:type="dxa"/>
            <w:vMerge w:val="restart"/>
            <w:tcBorders>
              <w:left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Szara</w:t>
            </w:r>
          </w:p>
        </w:tc>
        <w:tc>
          <w:tcPr>
            <w:tcW w:w="1521" w:type="dxa"/>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x</w:t>
            </w:r>
          </w:p>
        </w:tc>
        <w:tc>
          <w:tcPr>
            <w:tcW w:w="1571"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0,350</w:t>
            </w:r>
          </w:p>
        </w:tc>
        <w:tc>
          <w:tcPr>
            <w:tcW w:w="1535"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0,300</w:t>
            </w:r>
          </w:p>
        </w:tc>
        <w:tc>
          <w:tcPr>
            <w:tcW w:w="1526" w:type="dxa"/>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0,285</w:t>
            </w:r>
          </w:p>
        </w:tc>
        <w:tc>
          <w:tcPr>
            <w:tcW w:w="1526" w:type="dxa"/>
            <w:tcBorders>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0,335</w:t>
            </w:r>
          </w:p>
        </w:tc>
      </w:tr>
      <w:tr w:rsidR="00CD44D1" w:rsidRPr="007C351B">
        <w:trPr>
          <w:cantSplit/>
          <w:trHeight w:val="20"/>
        </w:trPr>
        <w:tc>
          <w:tcPr>
            <w:tcW w:w="1533" w:type="dxa"/>
            <w:vMerge/>
            <w:tcBorders>
              <w:left w:val="double" w:sz="4" w:space="0" w:color="auto"/>
              <w:bottom w:val="double" w:sz="4" w:space="0" w:color="auto"/>
            </w:tcBorders>
            <w:vAlign w:val="center"/>
          </w:tcPr>
          <w:p w:rsidR="00CD44D1" w:rsidRPr="007C351B" w:rsidRDefault="00CD44D1">
            <w:pPr>
              <w:rPr>
                <w:rFonts w:asciiTheme="minorHAnsi" w:hAnsiTheme="minorHAnsi" w:cstheme="minorHAnsi"/>
                <w:sz w:val="20"/>
              </w:rPr>
            </w:pPr>
          </w:p>
        </w:tc>
        <w:tc>
          <w:tcPr>
            <w:tcW w:w="1521" w:type="dxa"/>
            <w:tcBorders>
              <w:bottom w:val="double" w:sz="4" w:space="0" w:color="auto"/>
            </w:tcBorders>
            <w:vAlign w:val="center"/>
          </w:tcPr>
          <w:p w:rsidR="00CD44D1" w:rsidRPr="007C351B" w:rsidRDefault="00CD44D1">
            <w:pPr>
              <w:rPr>
                <w:rFonts w:asciiTheme="minorHAnsi" w:hAnsiTheme="minorHAnsi" w:cstheme="minorHAnsi"/>
                <w:sz w:val="20"/>
              </w:rPr>
            </w:pPr>
            <w:r w:rsidRPr="007C351B">
              <w:rPr>
                <w:rFonts w:asciiTheme="minorHAnsi" w:hAnsiTheme="minorHAnsi" w:cstheme="minorHAnsi"/>
                <w:sz w:val="20"/>
              </w:rPr>
              <w:t>x</w:t>
            </w:r>
          </w:p>
        </w:tc>
        <w:tc>
          <w:tcPr>
            <w:tcW w:w="1571" w:type="dxa"/>
            <w:tcBorders>
              <w:bottom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0,360</w:t>
            </w:r>
          </w:p>
        </w:tc>
        <w:tc>
          <w:tcPr>
            <w:tcW w:w="1535" w:type="dxa"/>
            <w:tcBorders>
              <w:bottom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0,310</w:t>
            </w:r>
          </w:p>
        </w:tc>
        <w:tc>
          <w:tcPr>
            <w:tcW w:w="1526" w:type="dxa"/>
            <w:tcBorders>
              <w:bottom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0,325</w:t>
            </w:r>
          </w:p>
        </w:tc>
        <w:tc>
          <w:tcPr>
            <w:tcW w:w="1526" w:type="dxa"/>
            <w:tcBorders>
              <w:bottom w:val="double" w:sz="4" w:space="0" w:color="auto"/>
              <w:right w:val="double" w:sz="4" w:space="0" w:color="auto"/>
            </w:tcBorders>
            <w:vAlign w:val="center"/>
          </w:tcPr>
          <w:p w:rsidR="00CD44D1" w:rsidRPr="007C351B" w:rsidRDefault="00CD44D1">
            <w:pPr>
              <w:jc w:val="center"/>
              <w:rPr>
                <w:rFonts w:asciiTheme="minorHAnsi" w:hAnsiTheme="minorHAnsi" w:cstheme="minorHAnsi"/>
                <w:sz w:val="20"/>
              </w:rPr>
            </w:pPr>
            <w:r w:rsidRPr="007C351B">
              <w:rPr>
                <w:rFonts w:asciiTheme="minorHAnsi" w:hAnsiTheme="minorHAnsi" w:cstheme="minorHAnsi"/>
                <w:sz w:val="20"/>
              </w:rPr>
              <w:t>0,375</w:t>
            </w:r>
          </w:p>
        </w:tc>
      </w:tr>
    </w:tbl>
    <w:p w:rsidR="00CD44D1" w:rsidRPr="007C351B" w:rsidRDefault="00CD44D1">
      <w:pPr>
        <w:rPr>
          <w:rFonts w:asciiTheme="minorHAnsi" w:hAnsiTheme="minorHAnsi" w:cstheme="minorHAnsi"/>
          <w:b/>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2.6.2. </w:t>
      </w:r>
      <w:r w:rsidRPr="007C351B">
        <w:rPr>
          <w:rFonts w:asciiTheme="minorHAnsi" w:hAnsiTheme="minorHAnsi" w:cstheme="minorHAnsi"/>
          <w:b/>
          <w:sz w:val="24"/>
          <w:szCs w:val="24"/>
        </w:rPr>
        <w:tab/>
        <w:t>Wymagania jakościowe</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 xml:space="preserve">Powierzchnia licowa znaku powinna być równa, gładka, bez rozwarstwień, pęcherzy i </w:t>
      </w:r>
      <w:proofErr w:type="spellStart"/>
      <w:r w:rsidRPr="007C351B">
        <w:rPr>
          <w:rFonts w:asciiTheme="minorHAnsi" w:hAnsiTheme="minorHAnsi" w:cstheme="minorHAnsi"/>
          <w:sz w:val="24"/>
          <w:szCs w:val="24"/>
        </w:rPr>
        <w:t>odklejeń</w:t>
      </w:r>
      <w:proofErr w:type="spellEnd"/>
      <w:r w:rsidRPr="007C351B">
        <w:rPr>
          <w:rFonts w:asciiTheme="minorHAnsi" w:hAnsiTheme="minorHAnsi" w:cstheme="minorHAnsi"/>
          <w:sz w:val="24"/>
          <w:szCs w:val="24"/>
        </w:rPr>
        <w:t xml:space="preserve"> na krawędziach. Na powierzchni mogą występować w obrębie jednego pola Średnio nie więcej niż 0,7 błędów na powierzchni (kurz, pęcherze) o wielkości najwyżej 1 mm. Rysy nie mają prawa wystąpić. Sposób połączenia folii z powierzchnią tarczy znaku powinien uniemożliwiać jej odłączenie od tarczy bez jej zniszczenia.</w:t>
      </w: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Dokładność rysunku znaku powinna być taka, aby wady konturów znaku, które mogą powstać przy nanoszeniu farby na odblaskową powierzchnię znaku, nie były większe niż podane w p~ 2.6.3.</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Lica znaków wykonane drukiem sitowym powinny być wolne od smug i cieni. Krawędzie lica znaku z folii typu 2 i folii pryzmatycznej powinny być odpowiednio zabezpieczone np. przez lakierowanie lub ramą z profilu ceowego. Powłoka lakiernicza w kolorze RAL 7037 na tylnej stronie znaku powinna być równa, gładka bez smug i zacieków. Sprawdzenie polega na ocenie wizualnej.</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2.6.3 </w:t>
      </w:r>
      <w:r w:rsidRPr="007C351B">
        <w:rPr>
          <w:rFonts w:asciiTheme="minorHAnsi" w:hAnsiTheme="minorHAnsi" w:cstheme="minorHAnsi"/>
          <w:b/>
          <w:sz w:val="24"/>
          <w:szCs w:val="24"/>
        </w:rPr>
        <w:tab/>
        <w:t xml:space="preserve">Tolerancje wymiarowe znaków drogowych </w:t>
      </w:r>
    </w:p>
    <w:p w:rsidR="00CD44D1" w:rsidRPr="007C351B" w:rsidRDefault="00CD44D1">
      <w:pPr>
        <w:rPr>
          <w:rFonts w:asciiTheme="minorHAnsi" w:hAnsiTheme="minorHAnsi" w:cstheme="minorHAnsi"/>
          <w:sz w:val="24"/>
          <w:szCs w:val="24"/>
        </w:rPr>
      </w:pPr>
    </w:p>
    <w:p w:rsidR="00CD44D1" w:rsidRPr="007C351B" w:rsidRDefault="00CD44D1">
      <w:pPr>
        <w:tabs>
          <w:tab w:val="left" w:pos="851"/>
        </w:tabs>
        <w:rPr>
          <w:rFonts w:asciiTheme="minorHAnsi" w:hAnsiTheme="minorHAnsi" w:cstheme="minorHAnsi"/>
          <w:b/>
          <w:sz w:val="24"/>
          <w:szCs w:val="24"/>
        </w:rPr>
      </w:pPr>
      <w:r w:rsidRPr="007C351B">
        <w:rPr>
          <w:rFonts w:asciiTheme="minorHAnsi" w:hAnsiTheme="minorHAnsi" w:cstheme="minorHAnsi"/>
          <w:b/>
          <w:sz w:val="24"/>
          <w:szCs w:val="24"/>
        </w:rPr>
        <w:t xml:space="preserve">2.6.3.1 </w:t>
      </w:r>
      <w:r w:rsidRPr="007C351B">
        <w:rPr>
          <w:rFonts w:asciiTheme="minorHAnsi" w:hAnsiTheme="minorHAnsi" w:cstheme="minorHAnsi"/>
          <w:b/>
          <w:sz w:val="24"/>
          <w:szCs w:val="24"/>
        </w:rPr>
        <w:tab/>
        <w:t>Tolerancje wymiarowe dla grubości blach</w:t>
      </w: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Sprawdzenie śrubą mikrometryczną:</w:t>
      </w:r>
    </w:p>
    <w:p w:rsidR="00CD44D1" w:rsidRPr="007C351B" w:rsidRDefault="00CD44D1">
      <w:pPr>
        <w:numPr>
          <w:ilvl w:val="0"/>
          <w:numId w:val="18"/>
        </w:numPr>
        <w:tabs>
          <w:tab w:val="clear" w:pos="720"/>
          <w:tab w:val="num" w:pos="426"/>
        </w:tabs>
        <w:ind w:left="426" w:hanging="284"/>
        <w:rPr>
          <w:rFonts w:asciiTheme="minorHAnsi" w:hAnsiTheme="minorHAnsi" w:cstheme="minorHAnsi"/>
          <w:sz w:val="24"/>
          <w:szCs w:val="24"/>
        </w:rPr>
      </w:pPr>
      <w:r w:rsidRPr="007C351B">
        <w:rPr>
          <w:rFonts w:asciiTheme="minorHAnsi" w:hAnsiTheme="minorHAnsi" w:cstheme="minorHAnsi"/>
          <w:sz w:val="24"/>
          <w:szCs w:val="24"/>
        </w:rPr>
        <w:t>dla blachy stalowej ocynkowanej ogniowo o gr. 1,25 - 1,5 mm wynosi – 0,14 mm,</w:t>
      </w:r>
    </w:p>
    <w:p w:rsidR="00CD44D1" w:rsidRPr="007C351B" w:rsidRDefault="00CD44D1">
      <w:pPr>
        <w:numPr>
          <w:ilvl w:val="0"/>
          <w:numId w:val="18"/>
        </w:numPr>
        <w:tabs>
          <w:tab w:val="clear" w:pos="720"/>
          <w:tab w:val="num" w:pos="426"/>
        </w:tabs>
        <w:ind w:left="426" w:hanging="284"/>
        <w:rPr>
          <w:rFonts w:asciiTheme="minorHAnsi" w:hAnsiTheme="minorHAnsi" w:cstheme="minorHAnsi"/>
          <w:sz w:val="24"/>
          <w:szCs w:val="24"/>
        </w:rPr>
      </w:pPr>
      <w:r w:rsidRPr="007C351B">
        <w:rPr>
          <w:rFonts w:asciiTheme="minorHAnsi" w:hAnsiTheme="minorHAnsi" w:cstheme="minorHAnsi"/>
          <w:sz w:val="24"/>
          <w:szCs w:val="24"/>
        </w:rPr>
        <w:t>dla blach aluminiowych o gr. 1,5 - 2,0 mm wynosi – 0,10 mm.</w:t>
      </w:r>
    </w:p>
    <w:p w:rsidR="00CD44D1" w:rsidRPr="007C351B" w:rsidRDefault="00CD44D1">
      <w:pPr>
        <w:rPr>
          <w:rFonts w:asciiTheme="minorHAnsi" w:hAnsiTheme="minorHAnsi" w:cstheme="minorHAnsi"/>
          <w:sz w:val="24"/>
          <w:szCs w:val="24"/>
        </w:rPr>
      </w:pPr>
    </w:p>
    <w:p w:rsidR="00CD44D1" w:rsidRPr="007C351B" w:rsidRDefault="00CD44D1">
      <w:pPr>
        <w:tabs>
          <w:tab w:val="left" w:pos="851"/>
        </w:tabs>
        <w:rPr>
          <w:rFonts w:asciiTheme="minorHAnsi" w:hAnsiTheme="minorHAnsi" w:cstheme="minorHAnsi"/>
          <w:b/>
          <w:sz w:val="24"/>
          <w:szCs w:val="24"/>
        </w:rPr>
      </w:pPr>
      <w:r w:rsidRPr="007C351B">
        <w:rPr>
          <w:rFonts w:asciiTheme="minorHAnsi" w:hAnsiTheme="minorHAnsi" w:cstheme="minorHAnsi"/>
          <w:b/>
          <w:sz w:val="24"/>
          <w:szCs w:val="24"/>
        </w:rPr>
        <w:t xml:space="preserve">2.6.3.2 </w:t>
      </w:r>
      <w:r w:rsidRPr="007C351B">
        <w:rPr>
          <w:rFonts w:asciiTheme="minorHAnsi" w:hAnsiTheme="minorHAnsi" w:cstheme="minorHAnsi"/>
          <w:b/>
          <w:sz w:val="24"/>
          <w:szCs w:val="24"/>
        </w:rPr>
        <w:tab/>
        <w:t>Tolerancje wymiarowe dla grubości powłok malarskich</w:t>
      </w: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 xml:space="preserve">Dla powłoki lakierniczej na tylnej powierzchni tarczy znaku o grubości 60 </w:t>
      </w:r>
      <w:proofErr w:type="spellStart"/>
      <w:r w:rsidRPr="007C351B">
        <w:rPr>
          <w:rFonts w:asciiTheme="minorHAnsi" w:hAnsiTheme="minorHAnsi" w:cstheme="minorHAnsi"/>
          <w:sz w:val="24"/>
          <w:szCs w:val="24"/>
        </w:rPr>
        <w:t>μm</w:t>
      </w:r>
      <w:proofErr w:type="spellEnd"/>
      <w:r w:rsidRPr="007C351B">
        <w:rPr>
          <w:rFonts w:asciiTheme="minorHAnsi" w:hAnsiTheme="minorHAnsi" w:cstheme="minorHAnsi"/>
          <w:sz w:val="24"/>
          <w:szCs w:val="24"/>
        </w:rPr>
        <w:t xml:space="preserve"> wynosi </w:t>
      </w:r>
      <w:r w:rsidRPr="007C351B">
        <w:rPr>
          <w:rFonts w:asciiTheme="minorHAnsi" w:hAnsiTheme="minorHAnsi" w:cstheme="minorHAnsi"/>
          <w:sz w:val="24"/>
          <w:szCs w:val="24"/>
        </w:rPr>
        <w:br/>
        <w:t>±15 nm. Sprawdzenie wg PN-EN ISO 2808:2000 [22].</w:t>
      </w:r>
    </w:p>
    <w:p w:rsidR="00CD44D1" w:rsidRPr="007C351B" w:rsidRDefault="00CD44D1">
      <w:pPr>
        <w:rPr>
          <w:rFonts w:asciiTheme="minorHAnsi" w:hAnsiTheme="minorHAnsi" w:cstheme="minorHAnsi"/>
          <w:sz w:val="24"/>
          <w:szCs w:val="24"/>
        </w:rPr>
      </w:pPr>
    </w:p>
    <w:p w:rsidR="00CD44D1" w:rsidRPr="007C351B" w:rsidRDefault="00CD44D1">
      <w:pPr>
        <w:tabs>
          <w:tab w:val="left" w:pos="851"/>
        </w:tabs>
        <w:rPr>
          <w:rFonts w:asciiTheme="minorHAnsi" w:hAnsiTheme="minorHAnsi" w:cstheme="minorHAnsi"/>
          <w:b/>
          <w:sz w:val="24"/>
          <w:szCs w:val="24"/>
        </w:rPr>
      </w:pPr>
      <w:r w:rsidRPr="007C351B">
        <w:rPr>
          <w:rFonts w:asciiTheme="minorHAnsi" w:hAnsiTheme="minorHAnsi" w:cstheme="minorHAnsi"/>
          <w:b/>
          <w:sz w:val="24"/>
          <w:szCs w:val="24"/>
        </w:rPr>
        <w:t xml:space="preserve">2.6.3.3 </w:t>
      </w:r>
      <w:r w:rsidRPr="007C351B">
        <w:rPr>
          <w:rFonts w:asciiTheme="minorHAnsi" w:hAnsiTheme="minorHAnsi" w:cstheme="minorHAnsi"/>
          <w:b/>
          <w:sz w:val="24"/>
          <w:szCs w:val="24"/>
        </w:rPr>
        <w:tab/>
        <w:t>Tolerancje wymiarowe dla płaskości powierzchni</w:t>
      </w: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Odchylenia od poziomu nie mogą wynieść więcej niż 0,2 %, wyjątkowo do 0,5 %. Sprawdzenie szczelinomierzem.</w:t>
      </w:r>
    </w:p>
    <w:p w:rsidR="00CD44D1" w:rsidRPr="007C351B" w:rsidRDefault="00CD44D1">
      <w:pPr>
        <w:rPr>
          <w:rFonts w:asciiTheme="minorHAnsi" w:hAnsiTheme="minorHAnsi" w:cstheme="minorHAnsi"/>
          <w:sz w:val="24"/>
          <w:szCs w:val="24"/>
        </w:rPr>
      </w:pPr>
    </w:p>
    <w:p w:rsidR="00CD44D1" w:rsidRPr="007C351B" w:rsidRDefault="00CD44D1">
      <w:pPr>
        <w:tabs>
          <w:tab w:val="left" w:pos="851"/>
        </w:tabs>
        <w:rPr>
          <w:rFonts w:asciiTheme="minorHAnsi" w:hAnsiTheme="minorHAnsi" w:cstheme="minorHAnsi"/>
          <w:b/>
          <w:sz w:val="24"/>
          <w:szCs w:val="24"/>
        </w:rPr>
      </w:pPr>
      <w:r w:rsidRPr="007C351B">
        <w:rPr>
          <w:rFonts w:asciiTheme="minorHAnsi" w:hAnsiTheme="minorHAnsi" w:cstheme="minorHAnsi"/>
          <w:b/>
          <w:sz w:val="24"/>
          <w:szCs w:val="24"/>
        </w:rPr>
        <w:t xml:space="preserve">2.6.3.4 </w:t>
      </w:r>
      <w:r w:rsidRPr="007C351B">
        <w:rPr>
          <w:rFonts w:asciiTheme="minorHAnsi" w:hAnsiTheme="minorHAnsi" w:cstheme="minorHAnsi"/>
          <w:b/>
          <w:sz w:val="24"/>
          <w:szCs w:val="24"/>
        </w:rPr>
        <w:tab/>
        <w:t>Tolerancje wymiarowe dla tarcz znaków</w:t>
      </w: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Sprawdzenie przymiarem liniowym:</w:t>
      </w:r>
    </w:p>
    <w:p w:rsidR="00CD44D1" w:rsidRPr="007C351B" w:rsidRDefault="00CD44D1">
      <w:pPr>
        <w:numPr>
          <w:ilvl w:val="0"/>
          <w:numId w:val="18"/>
        </w:numPr>
        <w:tabs>
          <w:tab w:val="clear" w:pos="720"/>
          <w:tab w:val="num" w:pos="426"/>
        </w:tabs>
        <w:ind w:left="426" w:hanging="284"/>
        <w:rPr>
          <w:rFonts w:asciiTheme="minorHAnsi" w:hAnsiTheme="minorHAnsi" w:cstheme="minorHAnsi"/>
          <w:sz w:val="24"/>
          <w:szCs w:val="24"/>
        </w:rPr>
      </w:pPr>
      <w:r w:rsidRPr="007C351B">
        <w:rPr>
          <w:rFonts w:asciiTheme="minorHAnsi" w:hAnsiTheme="minorHAnsi" w:cstheme="minorHAnsi"/>
          <w:sz w:val="24"/>
          <w:szCs w:val="24"/>
        </w:rPr>
        <w:t>wymiary dla tarcz znaków o powierzchni &lt; 1m2 podane w opisach szczeg6lowych załącznika nr l [25] są należy powiększyć o 10 mm i wykonać w tolerancji wymiarowej ± 5 mm,</w:t>
      </w:r>
    </w:p>
    <w:p w:rsidR="00CD44D1" w:rsidRPr="007C351B" w:rsidRDefault="00CD44D1">
      <w:pPr>
        <w:numPr>
          <w:ilvl w:val="0"/>
          <w:numId w:val="18"/>
        </w:numPr>
        <w:tabs>
          <w:tab w:val="clear" w:pos="720"/>
          <w:tab w:val="num" w:pos="426"/>
        </w:tabs>
        <w:ind w:left="426" w:hanging="284"/>
        <w:rPr>
          <w:rFonts w:asciiTheme="minorHAnsi" w:hAnsiTheme="minorHAnsi" w:cstheme="minorHAnsi"/>
          <w:sz w:val="24"/>
          <w:szCs w:val="24"/>
        </w:rPr>
      </w:pPr>
      <w:r w:rsidRPr="007C351B">
        <w:rPr>
          <w:rFonts w:asciiTheme="minorHAnsi" w:hAnsiTheme="minorHAnsi" w:cstheme="minorHAnsi"/>
          <w:sz w:val="24"/>
          <w:szCs w:val="24"/>
        </w:rPr>
        <w:t>wymiary dla tarcz znaków i tablic o powierzchni&gt; 1m2 podane w opisach szczeg6lowych załącznika nr l [25] oraz wymiary wynikowe dla tablic grupy E należy powiększyć o 15 mm i wykonać w tolerancji wymiarowej ± 10 mm.</w:t>
      </w:r>
    </w:p>
    <w:p w:rsidR="00CD44D1" w:rsidRPr="007C351B" w:rsidRDefault="00CD44D1">
      <w:pPr>
        <w:rPr>
          <w:rFonts w:asciiTheme="minorHAnsi" w:hAnsiTheme="minorHAnsi" w:cstheme="minorHAnsi"/>
          <w:sz w:val="24"/>
          <w:szCs w:val="24"/>
        </w:rPr>
      </w:pPr>
    </w:p>
    <w:p w:rsidR="00CD44D1" w:rsidRPr="007C351B" w:rsidRDefault="00CD44D1">
      <w:pPr>
        <w:tabs>
          <w:tab w:val="left" w:pos="851"/>
        </w:tabs>
        <w:rPr>
          <w:rFonts w:asciiTheme="minorHAnsi" w:hAnsiTheme="minorHAnsi" w:cstheme="minorHAnsi"/>
          <w:b/>
          <w:sz w:val="24"/>
          <w:szCs w:val="24"/>
        </w:rPr>
      </w:pPr>
      <w:r w:rsidRPr="007C351B">
        <w:rPr>
          <w:rFonts w:asciiTheme="minorHAnsi" w:hAnsiTheme="minorHAnsi" w:cstheme="minorHAnsi"/>
          <w:b/>
          <w:sz w:val="24"/>
          <w:szCs w:val="24"/>
        </w:rPr>
        <w:t xml:space="preserve">2.6.3.5 </w:t>
      </w:r>
      <w:r w:rsidRPr="007C351B">
        <w:rPr>
          <w:rFonts w:asciiTheme="minorHAnsi" w:hAnsiTheme="minorHAnsi" w:cstheme="minorHAnsi"/>
          <w:b/>
          <w:sz w:val="24"/>
          <w:szCs w:val="24"/>
        </w:rPr>
        <w:tab/>
        <w:t>Tolerancje wymiarowe dla lica znaku</w:t>
      </w: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Sprawdzone przymiarem liniowym:</w:t>
      </w:r>
    </w:p>
    <w:p w:rsidR="00CD44D1" w:rsidRPr="007C351B" w:rsidRDefault="00CD44D1">
      <w:pPr>
        <w:numPr>
          <w:ilvl w:val="0"/>
          <w:numId w:val="18"/>
        </w:numPr>
        <w:tabs>
          <w:tab w:val="clear" w:pos="720"/>
          <w:tab w:val="num" w:pos="426"/>
        </w:tabs>
        <w:ind w:left="426" w:hanging="284"/>
        <w:rPr>
          <w:rFonts w:asciiTheme="minorHAnsi" w:hAnsiTheme="minorHAnsi" w:cstheme="minorHAnsi"/>
          <w:sz w:val="24"/>
          <w:szCs w:val="24"/>
        </w:rPr>
      </w:pPr>
      <w:r w:rsidRPr="007C351B">
        <w:rPr>
          <w:rFonts w:asciiTheme="minorHAnsi" w:hAnsiTheme="minorHAnsi" w:cstheme="minorHAnsi"/>
          <w:sz w:val="24"/>
          <w:szCs w:val="24"/>
        </w:rPr>
        <w:t xml:space="preserve">tolerancje wymiarowe rysunku lica wykonanego drukiem sitowym wynoszą ± 1,5 mm, </w:t>
      </w:r>
    </w:p>
    <w:p w:rsidR="00CD44D1" w:rsidRPr="007C351B" w:rsidRDefault="00CD44D1">
      <w:pPr>
        <w:numPr>
          <w:ilvl w:val="0"/>
          <w:numId w:val="18"/>
        </w:numPr>
        <w:tabs>
          <w:tab w:val="clear" w:pos="720"/>
          <w:tab w:val="num" w:pos="426"/>
        </w:tabs>
        <w:ind w:left="426" w:hanging="284"/>
        <w:rPr>
          <w:rFonts w:asciiTheme="minorHAnsi" w:hAnsiTheme="minorHAnsi" w:cstheme="minorHAnsi"/>
          <w:sz w:val="24"/>
          <w:szCs w:val="24"/>
        </w:rPr>
      </w:pPr>
      <w:r w:rsidRPr="007C351B">
        <w:rPr>
          <w:rFonts w:asciiTheme="minorHAnsi" w:hAnsiTheme="minorHAnsi" w:cstheme="minorHAnsi"/>
          <w:sz w:val="24"/>
          <w:szCs w:val="24"/>
        </w:rPr>
        <w:t xml:space="preserve">tolerancje wymiarowe rysunku lica wykonanego metodą wyklejania wynoszą ± 2 mm, </w:t>
      </w:r>
    </w:p>
    <w:p w:rsidR="00CD44D1" w:rsidRPr="007C351B" w:rsidRDefault="00CD44D1">
      <w:pPr>
        <w:numPr>
          <w:ilvl w:val="0"/>
          <w:numId w:val="18"/>
        </w:numPr>
        <w:tabs>
          <w:tab w:val="clear" w:pos="720"/>
          <w:tab w:val="num" w:pos="426"/>
        </w:tabs>
        <w:ind w:left="426" w:hanging="284"/>
        <w:rPr>
          <w:rFonts w:asciiTheme="minorHAnsi" w:hAnsiTheme="minorHAnsi" w:cstheme="minorHAnsi"/>
          <w:sz w:val="24"/>
          <w:szCs w:val="24"/>
        </w:rPr>
      </w:pPr>
      <w:r w:rsidRPr="007C351B">
        <w:rPr>
          <w:rFonts w:asciiTheme="minorHAnsi" w:hAnsiTheme="minorHAnsi" w:cstheme="minorHAnsi"/>
          <w:sz w:val="24"/>
          <w:szCs w:val="24"/>
        </w:rPr>
        <w:t>kontury rysunku znaku (obwódka i symbol) muszą być równe z dokładnością w każdym kierunku do 1,0 mm</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lastRenderedPageBreak/>
        <w:t>W znakach nowych na każdym z fragmentów powierzchni znaku o wymiarach 4 x 4 cm nie może występować więcej niż 0,7 lokalnych usterek (załamania, pęcherzyki) o wymiarach nie większych niż 1 mm w każdym kierunku. Niedopuszcza1ne jest występowanie jakichkolwiek zarysowań powierzchni znaku. Na znakach w okresie gwarancji, na każdym z fragmentów powierzchni znaku o wymiarach 4 x 4 cm dopuszcza się do 2 usterek jak wyżej, o wymiarach nie większych niż 1 mm w każdym kierunku. Na powierzchni tej dopuszcza się do 3 zarysowań o szerokości nie większej niż 0,8 mm i całkowitej długości nie większej niż 10 cm. Na całkowitej długości znaku dopuszcza się nie więcej niż 5 rys szerokości nie większej niż 0,8 mm i długości przekraczającej 10 cm - pod warunkiem, że zarysowania te nie zniekształcają treści znaku.</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 xml:space="preserve">Na znakach w okresie gwarancji dopuszcza się również lokalne uszkodzenie folii o powierzchni nie przekraczającej 6 mm2 każde - w liczbie nie większej niż pięć na powierzchni znaku małego lub średniego, oraz o powierzchni nie przekraczającej 8 mm2 każde - w liczbie nie większej niż 8 na każdym z fragmentów powierzchni znaku dużego lub wielkiego (włączając znaki informacyjne) o wymiarach 1200 x 1200 mm. Uszkodzenia folii nie mogą zniekształcać treści znaku - w przypadku występowania takiego zniekształcenia znak musi być bezzwłocznie wymieniony. </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 W znakach eksploatowanych dopuszczalne jest występowanie co najwyżej dwóch lokalnych ognisk korozji o wymiarach nie przekraczających 2,0 mm w każdym kierunku na powierzchni każdego z fragmentów znaku o wymiarach 4 x 4 cm. W znakach nowych oraz w znakach znajdujących się w okresie wymaganej gwarancji żadna korozja tarczy znaku nie może występować. Wymagana jest taka wytrzymałość połączenia folii odblaskowej z tarczą znaku, by po zgięciu tarczy o 90° przy promieniu łuku zgięcia do 10 mm w żadnym miejscu nie uległo ono zniszczeniu.</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2.6.4 </w:t>
      </w:r>
      <w:r w:rsidRPr="007C351B">
        <w:rPr>
          <w:rFonts w:asciiTheme="minorHAnsi" w:hAnsiTheme="minorHAnsi" w:cstheme="minorHAnsi"/>
          <w:b/>
          <w:sz w:val="24"/>
          <w:szCs w:val="24"/>
        </w:rPr>
        <w:tab/>
        <w:t>Obowiązujący system oceny zgodności</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 xml:space="preserve">Zgodnie z art. 4, art. 5 ust 1 oraz art. 8, ust I ustawy z dnia 16 kwietnia 2004 r. o wyrobach budowlanych [30] wyrób, który posiada aprobatę techniczną może być wprowadzony do obrotu i stosowania przy wykonywaniu robót budowlanych w zakresie odpowiadającym jego właściwościom użytkowym i przeznaczeniu, jeżeli producent dokonał oceny zgodności, wydał krajową deklarację zgodności z aprobatą techniczną i oznakował wyrób budowlany zgodnie z obowiązującymi przepisami. Zgodnie z rozporządzeniem Ministra </w:t>
      </w:r>
      <w:r w:rsidR="00CF18C7" w:rsidRPr="007C351B">
        <w:rPr>
          <w:rFonts w:asciiTheme="minorHAnsi" w:hAnsiTheme="minorHAnsi" w:cstheme="minorHAnsi"/>
          <w:sz w:val="24"/>
          <w:szCs w:val="24"/>
        </w:rPr>
        <w:t>Infrastruktury</w:t>
      </w:r>
      <w:r w:rsidRPr="007C351B">
        <w:rPr>
          <w:rFonts w:asciiTheme="minorHAnsi" w:hAnsiTheme="minorHAnsi" w:cstheme="minorHAnsi"/>
          <w:sz w:val="24"/>
          <w:szCs w:val="24"/>
        </w:rPr>
        <w:t xml:space="preserve"> z dnia 11 sierpnia 2004 r. [26] oceny zgodności wyrobu z aprobatą techniczną dokonuje producent, stosując system 1.</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2.11. </w:t>
      </w:r>
      <w:r w:rsidRPr="007C351B">
        <w:rPr>
          <w:rFonts w:asciiTheme="minorHAnsi" w:hAnsiTheme="minorHAnsi" w:cstheme="minorHAnsi"/>
          <w:b/>
          <w:sz w:val="24"/>
          <w:szCs w:val="24"/>
        </w:rPr>
        <w:tab/>
        <w:t>Materiały do montażu znaków</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 xml:space="preserve">Wszystkie łączniki metalowe przewidywane do mocowania między sobą elementów konstrukcji wsporczych znaków jak śruby, listwy, wkręty, nakrętki itp. powinny być czyste, gładkie, bez pęknięć, naderwań, rozwarstwień i wypukłych karbów. Łączniki mogą być </w:t>
      </w:r>
      <w:r w:rsidRPr="007C351B">
        <w:rPr>
          <w:rFonts w:asciiTheme="minorHAnsi" w:hAnsiTheme="minorHAnsi" w:cstheme="minorHAnsi"/>
          <w:sz w:val="24"/>
          <w:szCs w:val="24"/>
        </w:rPr>
        <w:lastRenderedPageBreak/>
        <w:t>dostarczane w pudełkach tekturowych, pojemnikach blaszanych lub paletach, w zależności od ich wielkości. Łączniki powinny być ocynkowane ogniowo lub wykonane z materiałów odpornych na korozję w czasie nie krótszym niż tarcza znaku i konstrukcja wsporcza.</w:t>
      </w:r>
    </w:p>
    <w:p w:rsidR="00CD44D1" w:rsidRPr="007C351B" w:rsidRDefault="00CD44D1">
      <w:pPr>
        <w:rPr>
          <w:rFonts w:asciiTheme="minorHAnsi" w:hAnsiTheme="minorHAnsi" w:cstheme="minorHAnsi"/>
          <w:b/>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2.12.  Urządzenia elektryczne na konstrukcji wsporczej</w:t>
      </w:r>
    </w:p>
    <w:p w:rsidR="00CD44D1" w:rsidRPr="007C351B" w:rsidRDefault="00CD44D1">
      <w:pPr>
        <w:rPr>
          <w:rFonts w:asciiTheme="minorHAnsi" w:hAnsiTheme="minorHAnsi" w:cstheme="minorHAnsi"/>
          <w:b/>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Przy umieszczaniu na konstrukcji wsporczej znaku drogowego jakichkolwiek urządzeń elektrycznych - obowiązują zasady oznaczania i zabezpieczania tych urządzeń, określone w odpowiednich przepisach i zaleceniach dotyczących urządzeń elektroenergetycznych.</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Aparaturę elektryczną należy montować na pojedynczym słupie. Na słupie ma być zamocowana skrzynka elektryczna zgodnie z PN-EN 40-5:2004. Każda skrzynka elektryczna ma być zabezpieczona zamkiem natomiast poziomem zabezpieczenia przed przenikaniem kurzu i wody, określonym w EN 60529:2003 powinien być poziom 2 dla cząstek stałych i poziom 3 dla wody.</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 xml:space="preserve">2.13. </w:t>
      </w:r>
      <w:r w:rsidRPr="007C351B">
        <w:rPr>
          <w:rFonts w:asciiTheme="minorHAnsi" w:hAnsiTheme="minorHAnsi" w:cstheme="minorHAnsi"/>
          <w:b/>
          <w:sz w:val="24"/>
          <w:szCs w:val="24"/>
        </w:rPr>
        <w:tab/>
        <w:t>Przechowywanie i składowanie materiałów</w:t>
      </w:r>
    </w:p>
    <w:p w:rsidR="00CD44D1" w:rsidRPr="007C351B" w:rsidRDefault="00CD44D1">
      <w:pPr>
        <w:jc w:val="left"/>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Prefabrykaty betonowe powinny być składowane na wyrównanym, utwardzonym, odwodnionym podłożu. Prefabrykaty należy układać na podkładach z zachowaniem  prześwitu minimum 10 cm między podłożem a prefabrykatem. Znaki powinny być przechowywane w pomieszczeniach suchych, z dala od materiałów działających korodująco i w warunkach zabezpieczających przed uszkodzeniami.</w:t>
      </w:r>
    </w:p>
    <w:p w:rsidR="00CD44D1" w:rsidRPr="007C351B" w:rsidRDefault="00CD44D1">
      <w:pPr>
        <w:rPr>
          <w:rFonts w:asciiTheme="minorHAnsi" w:hAnsiTheme="minorHAnsi" w:cstheme="minorHAnsi"/>
        </w:rPr>
      </w:pPr>
    </w:p>
    <w:p w:rsidR="00CD44D1" w:rsidRPr="007C351B" w:rsidRDefault="00CD44D1">
      <w:pPr>
        <w:rPr>
          <w:rFonts w:asciiTheme="minorHAnsi" w:hAnsiTheme="minorHAnsi" w:cstheme="minorHAnsi"/>
        </w:rPr>
      </w:pPr>
    </w:p>
    <w:p w:rsidR="00CD44D1" w:rsidRPr="007C351B" w:rsidRDefault="00CD44D1">
      <w:pPr>
        <w:pStyle w:val="Nagwek1"/>
        <w:rPr>
          <w:rFonts w:asciiTheme="minorHAnsi" w:hAnsiTheme="minorHAnsi" w:cstheme="minorHAnsi"/>
        </w:rPr>
      </w:pPr>
      <w:r w:rsidRPr="007C351B">
        <w:rPr>
          <w:rFonts w:asciiTheme="minorHAnsi" w:hAnsiTheme="minorHAnsi" w:cstheme="minorHAnsi"/>
        </w:rPr>
        <w:t>3.</w:t>
      </w:r>
      <w:r w:rsidRPr="007C351B">
        <w:rPr>
          <w:rFonts w:asciiTheme="minorHAnsi" w:hAnsiTheme="minorHAnsi" w:cstheme="minorHAnsi"/>
        </w:rPr>
        <w:tab/>
        <w:t>SPRZĘT</w:t>
      </w:r>
    </w:p>
    <w:p w:rsidR="00CD44D1" w:rsidRPr="007C351B" w:rsidRDefault="00CD44D1">
      <w:pPr>
        <w:pStyle w:val="Nagwek2"/>
        <w:rPr>
          <w:rFonts w:asciiTheme="minorHAnsi" w:hAnsiTheme="minorHAnsi" w:cstheme="minorHAnsi"/>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3.1.</w:t>
      </w:r>
      <w:r w:rsidRPr="007C351B">
        <w:rPr>
          <w:rFonts w:asciiTheme="minorHAnsi" w:hAnsiTheme="minorHAnsi" w:cstheme="minorHAnsi"/>
        </w:rPr>
        <w:tab/>
        <w:t>Ogólne wymagania dotyczące sprzętu</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Ogólne wymagania dotyczące sprzętu podano w</w:t>
      </w:r>
      <w:r w:rsidR="001C0745" w:rsidRPr="007C351B">
        <w:rPr>
          <w:rFonts w:asciiTheme="minorHAnsi" w:hAnsiTheme="minorHAnsi" w:cstheme="minorHAnsi"/>
          <w:sz w:val="24"/>
          <w:szCs w:val="24"/>
        </w:rPr>
        <w:t xml:space="preserve"> </w:t>
      </w:r>
      <w:r w:rsidR="00F45F37" w:rsidRPr="007C351B">
        <w:rPr>
          <w:rFonts w:asciiTheme="minorHAnsi" w:hAnsiTheme="minorHAnsi" w:cstheme="minorHAnsi"/>
          <w:sz w:val="24"/>
          <w:szCs w:val="24"/>
        </w:rPr>
        <w:t>ST</w:t>
      </w:r>
      <w:r w:rsidRPr="007C351B">
        <w:rPr>
          <w:rFonts w:asciiTheme="minorHAnsi" w:hAnsiTheme="minorHAnsi" w:cstheme="minorHAnsi"/>
          <w:sz w:val="24"/>
          <w:szCs w:val="24"/>
        </w:rPr>
        <w:t xml:space="preserve"> DM-00.00.00 „Wymagania ogólne" punkt 3.</w:t>
      </w:r>
    </w:p>
    <w:p w:rsidR="00CD44D1" w:rsidRPr="007C351B" w:rsidRDefault="00CD44D1">
      <w:pPr>
        <w:pStyle w:val="Nagwek2"/>
        <w:rPr>
          <w:rFonts w:asciiTheme="minorHAnsi" w:hAnsiTheme="minorHAnsi" w:cstheme="minorHAnsi"/>
          <w:szCs w:val="24"/>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3.2.</w:t>
      </w:r>
      <w:r w:rsidRPr="007C351B">
        <w:rPr>
          <w:rFonts w:asciiTheme="minorHAnsi" w:hAnsiTheme="minorHAnsi" w:cstheme="minorHAnsi"/>
        </w:rPr>
        <w:tab/>
        <w:t>Sprzęt do wykonania oznakowania pionowego</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Roboty związane z wykonaniem i ustawieniem oznakowania pionowego mogą być wykonane przy użyciu dowolnego sprzętu mechanicznego, zaakceptowanego przez Inżyniera.</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Wykonawca przystępujący do wykonania oznakowania pionowego powinien wykazać się możliwością korzystania z następującego sprzętu:</w:t>
      </w:r>
    </w:p>
    <w:p w:rsidR="00CD44D1" w:rsidRPr="007C351B" w:rsidRDefault="00CD44D1">
      <w:pPr>
        <w:numPr>
          <w:ilvl w:val="0"/>
          <w:numId w:val="19"/>
        </w:numPr>
        <w:rPr>
          <w:rFonts w:asciiTheme="minorHAnsi" w:hAnsiTheme="minorHAnsi" w:cstheme="minorHAnsi"/>
          <w:sz w:val="24"/>
          <w:szCs w:val="24"/>
        </w:rPr>
      </w:pPr>
      <w:r w:rsidRPr="007C351B">
        <w:rPr>
          <w:rFonts w:asciiTheme="minorHAnsi" w:hAnsiTheme="minorHAnsi" w:cstheme="minorHAnsi"/>
          <w:sz w:val="24"/>
          <w:szCs w:val="24"/>
        </w:rPr>
        <w:t>koparek kołowych lub koparek gąsienicowych,</w:t>
      </w:r>
    </w:p>
    <w:p w:rsidR="00CD44D1" w:rsidRPr="007C351B" w:rsidRDefault="00CD44D1">
      <w:pPr>
        <w:numPr>
          <w:ilvl w:val="0"/>
          <w:numId w:val="19"/>
        </w:numPr>
        <w:rPr>
          <w:rFonts w:asciiTheme="minorHAnsi" w:hAnsiTheme="minorHAnsi" w:cstheme="minorHAnsi"/>
          <w:sz w:val="24"/>
          <w:szCs w:val="24"/>
        </w:rPr>
      </w:pPr>
      <w:r w:rsidRPr="007C351B">
        <w:rPr>
          <w:rFonts w:asciiTheme="minorHAnsi" w:hAnsiTheme="minorHAnsi" w:cstheme="minorHAnsi"/>
          <w:sz w:val="24"/>
          <w:szCs w:val="24"/>
        </w:rPr>
        <w:t>żurawi samochodowych o udźwigu do 4 t,</w:t>
      </w:r>
    </w:p>
    <w:p w:rsidR="00CD44D1" w:rsidRPr="007C351B" w:rsidRDefault="00CD44D1">
      <w:pPr>
        <w:numPr>
          <w:ilvl w:val="0"/>
          <w:numId w:val="19"/>
        </w:numPr>
        <w:rPr>
          <w:rFonts w:asciiTheme="minorHAnsi" w:hAnsiTheme="minorHAnsi" w:cstheme="minorHAnsi"/>
          <w:sz w:val="24"/>
          <w:szCs w:val="24"/>
        </w:rPr>
      </w:pPr>
      <w:r w:rsidRPr="007C351B">
        <w:rPr>
          <w:rFonts w:asciiTheme="minorHAnsi" w:hAnsiTheme="minorHAnsi" w:cstheme="minorHAnsi"/>
          <w:sz w:val="24"/>
          <w:szCs w:val="24"/>
        </w:rPr>
        <w:t>wiertnic do wykonywania dołów pod słupki w gruncie spoistym,</w:t>
      </w:r>
    </w:p>
    <w:p w:rsidR="00CD44D1" w:rsidRPr="007C351B" w:rsidRDefault="00CD44D1">
      <w:pPr>
        <w:numPr>
          <w:ilvl w:val="0"/>
          <w:numId w:val="19"/>
        </w:numPr>
        <w:rPr>
          <w:rFonts w:asciiTheme="minorHAnsi" w:hAnsiTheme="minorHAnsi" w:cstheme="minorHAnsi"/>
          <w:sz w:val="24"/>
          <w:szCs w:val="24"/>
        </w:rPr>
      </w:pPr>
      <w:r w:rsidRPr="007C351B">
        <w:rPr>
          <w:rFonts w:asciiTheme="minorHAnsi" w:hAnsiTheme="minorHAnsi" w:cstheme="minorHAnsi"/>
          <w:sz w:val="24"/>
          <w:szCs w:val="24"/>
        </w:rPr>
        <w:t>betoniarek przewoźnych do wykonywania fundamentów betonowych "na mokro", - środków transportowych do przewozu materiałów,</w:t>
      </w:r>
    </w:p>
    <w:p w:rsidR="00CD44D1" w:rsidRPr="007C351B" w:rsidRDefault="00CD44D1">
      <w:pPr>
        <w:numPr>
          <w:ilvl w:val="0"/>
          <w:numId w:val="19"/>
        </w:numPr>
        <w:rPr>
          <w:rFonts w:asciiTheme="minorHAnsi" w:hAnsiTheme="minorHAnsi" w:cstheme="minorHAnsi"/>
          <w:sz w:val="24"/>
          <w:szCs w:val="24"/>
        </w:rPr>
      </w:pPr>
      <w:r w:rsidRPr="007C351B">
        <w:rPr>
          <w:rFonts w:asciiTheme="minorHAnsi" w:hAnsiTheme="minorHAnsi" w:cstheme="minorHAnsi"/>
          <w:sz w:val="24"/>
          <w:szCs w:val="24"/>
        </w:rPr>
        <w:t>przewoźnych zbiorników na wodę,</w:t>
      </w:r>
    </w:p>
    <w:p w:rsidR="00CD44D1" w:rsidRPr="007C351B" w:rsidRDefault="00CD44D1">
      <w:pPr>
        <w:numPr>
          <w:ilvl w:val="0"/>
          <w:numId w:val="19"/>
        </w:numPr>
        <w:rPr>
          <w:rFonts w:asciiTheme="minorHAnsi" w:hAnsiTheme="minorHAnsi" w:cstheme="minorHAnsi"/>
          <w:sz w:val="24"/>
          <w:szCs w:val="24"/>
        </w:rPr>
      </w:pPr>
      <w:r w:rsidRPr="007C351B">
        <w:rPr>
          <w:rFonts w:asciiTheme="minorHAnsi" w:hAnsiTheme="minorHAnsi" w:cstheme="minorHAnsi"/>
          <w:sz w:val="24"/>
          <w:szCs w:val="24"/>
        </w:rPr>
        <w:t xml:space="preserve"> sprzętu spawalniczego, itp.</w:t>
      </w: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Pierwsze dwie pozycje dotyczą wykonawcy znaków bramowych.</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p>
    <w:p w:rsidR="00CD44D1" w:rsidRPr="007C351B" w:rsidRDefault="00CD44D1">
      <w:pPr>
        <w:pStyle w:val="Nagwek1"/>
        <w:rPr>
          <w:rFonts w:asciiTheme="minorHAnsi" w:hAnsiTheme="minorHAnsi" w:cstheme="minorHAnsi"/>
        </w:rPr>
      </w:pPr>
      <w:r w:rsidRPr="007C351B">
        <w:rPr>
          <w:rFonts w:asciiTheme="minorHAnsi" w:hAnsiTheme="minorHAnsi" w:cstheme="minorHAnsi"/>
        </w:rPr>
        <w:t>4.</w:t>
      </w:r>
      <w:r w:rsidRPr="007C351B">
        <w:rPr>
          <w:rFonts w:asciiTheme="minorHAnsi" w:hAnsiTheme="minorHAnsi" w:cstheme="minorHAnsi"/>
        </w:rPr>
        <w:tab/>
        <w:t>TRANSPORT</w:t>
      </w:r>
    </w:p>
    <w:p w:rsidR="00CD44D1" w:rsidRPr="007C351B" w:rsidRDefault="00CD44D1">
      <w:pPr>
        <w:pStyle w:val="Nagwek2"/>
        <w:rPr>
          <w:rFonts w:asciiTheme="minorHAnsi" w:hAnsiTheme="minorHAnsi" w:cstheme="minorHAnsi"/>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4.1.</w:t>
      </w:r>
      <w:r w:rsidRPr="007C351B">
        <w:rPr>
          <w:rFonts w:asciiTheme="minorHAnsi" w:hAnsiTheme="minorHAnsi" w:cstheme="minorHAnsi"/>
        </w:rPr>
        <w:tab/>
        <w:t>Ogólne wymagania dotyczące transportu</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Ogólne wymagania dotyczące transportu podano w</w:t>
      </w:r>
      <w:r w:rsidR="001C0745" w:rsidRPr="007C351B">
        <w:rPr>
          <w:rFonts w:asciiTheme="minorHAnsi" w:hAnsiTheme="minorHAnsi" w:cstheme="minorHAnsi"/>
          <w:sz w:val="24"/>
          <w:szCs w:val="24"/>
        </w:rPr>
        <w:t xml:space="preserve"> </w:t>
      </w:r>
      <w:r w:rsidR="00F45F37" w:rsidRPr="007C351B">
        <w:rPr>
          <w:rFonts w:asciiTheme="minorHAnsi" w:hAnsiTheme="minorHAnsi" w:cstheme="minorHAnsi"/>
          <w:sz w:val="24"/>
          <w:szCs w:val="24"/>
        </w:rPr>
        <w:t>ST</w:t>
      </w:r>
      <w:r w:rsidRPr="007C351B">
        <w:rPr>
          <w:rFonts w:asciiTheme="minorHAnsi" w:hAnsiTheme="minorHAnsi" w:cstheme="minorHAnsi"/>
          <w:sz w:val="24"/>
          <w:szCs w:val="24"/>
        </w:rPr>
        <w:t xml:space="preserve"> DM-00.00.00 „Wymagania ogólne" </w:t>
      </w:r>
      <w:r w:rsidRPr="007C351B">
        <w:rPr>
          <w:rFonts w:asciiTheme="minorHAnsi" w:hAnsiTheme="minorHAnsi" w:cstheme="minorHAnsi"/>
          <w:sz w:val="24"/>
          <w:szCs w:val="24"/>
        </w:rPr>
        <w:br/>
        <w:t>punkt 4.</w:t>
      </w:r>
    </w:p>
    <w:p w:rsidR="00CD44D1" w:rsidRPr="007C351B" w:rsidRDefault="00CD44D1">
      <w:pPr>
        <w:pStyle w:val="Nagwek2"/>
        <w:rPr>
          <w:rFonts w:asciiTheme="minorHAnsi" w:hAnsiTheme="minorHAnsi" w:cstheme="minorHAnsi"/>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4.2.</w:t>
      </w:r>
      <w:r w:rsidRPr="007C351B">
        <w:rPr>
          <w:rFonts w:asciiTheme="minorHAnsi" w:hAnsiTheme="minorHAnsi" w:cstheme="minorHAnsi"/>
        </w:rPr>
        <w:tab/>
        <w:t>Transport materiałów do pionowego oznakowania dróg</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Transport cementu powinien odbywać się zgodnie z BN-88/6731-08. Transport kruszywa powinien odbywać się zgodnie z PN-B-06712. Prefabrykaty betonowe - do zamocowania konstrukcji wsporczych znaków, powinny być przewożone środkami transportowymi w warunkach zabezpieczających je przed uszkodzeniami. Rozmieszczenie prefabrykatów na środkach transportu powinno być symetryczne.</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Wykonawca zapewni wszelkie warunki techniczne jak odpowiednie opakowanie i zabezpieczenie znaków i tablic przed powstaniem jakichkolwiek uszkodzeń w trakcie transportu. W szczególności warunki transportu uniemożliwią przesuwanie się przewożonych znaków i tablic, ich wzajemne obcieranie i uderzanie.</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r w:rsidRPr="007C351B">
        <w:rPr>
          <w:rFonts w:asciiTheme="minorHAnsi" w:hAnsiTheme="minorHAnsi" w:cstheme="minorHAnsi"/>
          <w:sz w:val="24"/>
          <w:szCs w:val="24"/>
        </w:rPr>
        <w:t>Znaki drogowe należy na okres transportu odpowiednio zabezpieczyć, tak aby nie ulegały przemieszczaniu i w sposób nie uszkodzony dotarły do odbiorcy.</w:t>
      </w:r>
    </w:p>
    <w:p w:rsidR="00CD44D1" w:rsidRPr="007C351B" w:rsidRDefault="00CD44D1">
      <w:pPr>
        <w:rPr>
          <w:rFonts w:asciiTheme="minorHAnsi" w:hAnsiTheme="minorHAnsi" w:cstheme="minorHAnsi"/>
          <w:sz w:val="24"/>
          <w:szCs w:val="24"/>
        </w:rPr>
      </w:pPr>
    </w:p>
    <w:p w:rsidR="00CD44D1" w:rsidRPr="007C351B" w:rsidRDefault="00CD44D1">
      <w:pPr>
        <w:rPr>
          <w:rFonts w:asciiTheme="minorHAnsi" w:hAnsiTheme="minorHAnsi" w:cstheme="minorHAnsi"/>
          <w:sz w:val="24"/>
          <w:szCs w:val="24"/>
        </w:rPr>
      </w:pPr>
    </w:p>
    <w:p w:rsidR="00CD44D1" w:rsidRPr="007C351B" w:rsidRDefault="00CD44D1">
      <w:pPr>
        <w:pStyle w:val="Nagwek1"/>
        <w:rPr>
          <w:rFonts w:asciiTheme="minorHAnsi" w:hAnsiTheme="minorHAnsi" w:cstheme="minorHAnsi"/>
        </w:rPr>
      </w:pPr>
      <w:r w:rsidRPr="007C351B">
        <w:rPr>
          <w:rFonts w:asciiTheme="minorHAnsi" w:hAnsiTheme="minorHAnsi" w:cstheme="minorHAnsi"/>
        </w:rPr>
        <w:t>5.</w:t>
      </w:r>
      <w:r w:rsidRPr="007C351B">
        <w:rPr>
          <w:rFonts w:asciiTheme="minorHAnsi" w:hAnsiTheme="minorHAnsi" w:cstheme="minorHAnsi"/>
        </w:rPr>
        <w:tab/>
        <w:t>WYKONANIE ROBÓT</w:t>
      </w:r>
    </w:p>
    <w:p w:rsidR="00CD44D1" w:rsidRPr="007C351B" w:rsidRDefault="00CD44D1">
      <w:pPr>
        <w:pStyle w:val="Nagwek2"/>
        <w:rPr>
          <w:rFonts w:asciiTheme="minorHAnsi" w:hAnsiTheme="minorHAnsi" w:cstheme="minorHAnsi"/>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5.1</w:t>
      </w:r>
      <w:r w:rsidRPr="007C351B">
        <w:rPr>
          <w:rFonts w:asciiTheme="minorHAnsi" w:hAnsiTheme="minorHAnsi" w:cstheme="minorHAnsi"/>
        </w:rPr>
        <w:tab/>
        <w:t>Ogólne zasady wykonywania robót</w:t>
      </w:r>
    </w:p>
    <w:p w:rsidR="00CD44D1" w:rsidRPr="007C351B" w:rsidRDefault="00CD44D1">
      <w:pPr>
        <w:spacing w:before="100"/>
        <w:rPr>
          <w:rFonts w:asciiTheme="minorHAnsi" w:hAnsiTheme="minorHAnsi" w:cstheme="minorHAnsi"/>
        </w:rPr>
      </w:pPr>
    </w:p>
    <w:p w:rsidR="00CD44D1" w:rsidRPr="007C351B" w:rsidRDefault="00CD44D1">
      <w:pPr>
        <w:spacing w:before="100"/>
        <w:rPr>
          <w:rFonts w:asciiTheme="minorHAnsi" w:hAnsiTheme="minorHAnsi" w:cstheme="minorHAnsi"/>
        </w:rPr>
      </w:pPr>
      <w:r w:rsidRPr="007C351B">
        <w:rPr>
          <w:rFonts w:asciiTheme="minorHAnsi" w:hAnsiTheme="minorHAnsi" w:cstheme="minorHAnsi"/>
        </w:rPr>
        <w:t>Ogólne zasady wykonywania robót podano w</w:t>
      </w:r>
      <w:r w:rsidR="001C0745" w:rsidRPr="007C351B">
        <w:rPr>
          <w:rFonts w:asciiTheme="minorHAnsi" w:hAnsiTheme="minorHAnsi" w:cstheme="minorHAnsi"/>
        </w:rPr>
        <w:t xml:space="preserve"> </w:t>
      </w:r>
      <w:r w:rsidR="00F45F37" w:rsidRPr="007C351B">
        <w:rPr>
          <w:rFonts w:asciiTheme="minorHAnsi" w:hAnsiTheme="minorHAnsi" w:cstheme="minorHAnsi"/>
        </w:rPr>
        <w:t>ST</w:t>
      </w:r>
      <w:r w:rsidRPr="007C351B">
        <w:rPr>
          <w:rFonts w:asciiTheme="minorHAnsi" w:hAnsiTheme="minorHAnsi" w:cstheme="minorHAnsi"/>
        </w:rPr>
        <w:t xml:space="preserve"> DM-00.00.00 „Wymagania ogólne" punkt 5.</w:t>
      </w:r>
    </w:p>
    <w:p w:rsidR="00CD44D1" w:rsidRPr="007C351B" w:rsidRDefault="00CD44D1">
      <w:pPr>
        <w:pStyle w:val="Nagwek2"/>
        <w:rPr>
          <w:rFonts w:asciiTheme="minorHAnsi" w:hAnsiTheme="minorHAnsi" w:cstheme="minorHAnsi"/>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5.2.</w:t>
      </w:r>
      <w:r w:rsidRPr="007C351B">
        <w:rPr>
          <w:rFonts w:asciiTheme="minorHAnsi" w:hAnsiTheme="minorHAnsi" w:cstheme="minorHAnsi"/>
        </w:rPr>
        <w:tab/>
        <w:t>Roboty przygotowawcze</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Przed przystąpieniem do robót należy wyznaczyć:</w:t>
      </w:r>
    </w:p>
    <w:p w:rsidR="00CD44D1" w:rsidRPr="007C351B" w:rsidRDefault="00CD44D1">
      <w:pPr>
        <w:pStyle w:val="Zwykytekst"/>
        <w:numPr>
          <w:ilvl w:val="0"/>
          <w:numId w:val="6"/>
        </w:numPr>
        <w:jc w:val="both"/>
        <w:rPr>
          <w:rFonts w:asciiTheme="minorHAnsi" w:hAnsiTheme="minorHAnsi" w:cstheme="minorHAnsi"/>
          <w:sz w:val="24"/>
        </w:rPr>
      </w:pPr>
      <w:r w:rsidRPr="007C351B">
        <w:rPr>
          <w:rFonts w:asciiTheme="minorHAnsi" w:hAnsiTheme="minorHAnsi" w:cstheme="minorHAnsi"/>
          <w:sz w:val="24"/>
        </w:rPr>
        <w:t xml:space="preserve">lokalizację znaku, tj. jego </w:t>
      </w:r>
      <w:proofErr w:type="spellStart"/>
      <w:r w:rsidRPr="007C351B">
        <w:rPr>
          <w:rFonts w:asciiTheme="minorHAnsi" w:hAnsiTheme="minorHAnsi" w:cstheme="minorHAnsi"/>
          <w:sz w:val="24"/>
        </w:rPr>
        <w:t>pikietaż</w:t>
      </w:r>
      <w:proofErr w:type="spellEnd"/>
      <w:r w:rsidRPr="007C351B">
        <w:rPr>
          <w:rFonts w:asciiTheme="minorHAnsi" w:hAnsiTheme="minorHAnsi" w:cstheme="minorHAnsi"/>
          <w:sz w:val="24"/>
        </w:rPr>
        <w:t xml:space="preserve"> oraz odległość od krawędzi jezdni, krawędzi pobocza umocnionego lub pasa awaryjnego postoju,</w:t>
      </w:r>
    </w:p>
    <w:p w:rsidR="00CD44D1" w:rsidRPr="007C351B" w:rsidRDefault="00CD44D1">
      <w:pPr>
        <w:pStyle w:val="Zwykytekst"/>
        <w:numPr>
          <w:ilvl w:val="0"/>
          <w:numId w:val="6"/>
        </w:numPr>
        <w:jc w:val="both"/>
        <w:rPr>
          <w:rFonts w:asciiTheme="minorHAnsi" w:hAnsiTheme="minorHAnsi" w:cstheme="minorHAnsi"/>
          <w:sz w:val="24"/>
        </w:rPr>
      </w:pPr>
      <w:r w:rsidRPr="007C351B">
        <w:rPr>
          <w:rFonts w:asciiTheme="minorHAnsi" w:hAnsiTheme="minorHAnsi" w:cstheme="minorHAnsi"/>
          <w:sz w:val="24"/>
        </w:rPr>
        <w:t>wysokość zamocowania znaku na konstrukcji wsporczej.</w:t>
      </w: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Punkty stabilizujące miejsca ustawienia znaków należy zabezpieczyć w taki sposób, aby w czasie trwania i odbioru robót istniała możliwość sprawdzenia lokalizacji znaków. Lokalizacja i wysokość zamocowania znaku powinny być zgodne z Rysunkami oraz wymaganiami podanymi w „Instrukcji o znakach drogowych pionowych”.</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5.2.</w:t>
      </w:r>
      <w:r w:rsidRPr="007C351B">
        <w:rPr>
          <w:rFonts w:asciiTheme="minorHAnsi" w:hAnsiTheme="minorHAnsi" w:cstheme="minorHAnsi"/>
        </w:rPr>
        <w:tab/>
        <w:t>Wykonanie wykopów i fundamentów dla konstrukcji wsporczych znaków</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lastRenderedPageBreak/>
        <w:t>Sposób wykonania wykopu pod fundament znaku pionowego powinien być dostosowany do głębokości wykopu, rodzaju gruntu i posiadanego sprzętu. Wymiary wykopu powinny być zgodne z Rysunkami lub wskazaniami Inżyniera. Wykopy fundamentowe powinny być wykonane w takim okresie, aby po ich zakończeniu można było przystąpić natychmiast do wykonania w nich robót fundamentowych.</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3"/>
        <w:rPr>
          <w:rFonts w:asciiTheme="minorHAnsi" w:hAnsiTheme="minorHAnsi" w:cstheme="minorHAnsi"/>
        </w:rPr>
      </w:pPr>
      <w:r w:rsidRPr="007C351B">
        <w:rPr>
          <w:rFonts w:asciiTheme="minorHAnsi" w:hAnsiTheme="minorHAnsi" w:cstheme="minorHAnsi"/>
        </w:rPr>
        <w:t>5.3</w:t>
      </w:r>
      <w:r w:rsidRPr="007C351B">
        <w:rPr>
          <w:rFonts w:asciiTheme="minorHAnsi" w:hAnsiTheme="minorHAnsi" w:cstheme="minorHAnsi"/>
        </w:rPr>
        <w:tab/>
        <w:t>Prefabrykaty betonowe</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Dno wykopu przed ułożeniem prefabrykatu należy wyrównać i zagęścić. Wolne przestrzenie między ścianami gruntu i prefabrykatem należy wypełnić odpowiednim materiałem, np. klińcem i dokładnie zagęścić ubijakami ręcznymi. Jeżeli znak jest zlokalizowany na poboczu drogi, to górna powierzchnia prefabrykatu powinna być równa z powierzchnią pobocza lub być wyniesiona nad tę powierzchnię nie więcej niż 0,03 m.</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3"/>
        <w:rPr>
          <w:rFonts w:asciiTheme="minorHAnsi" w:hAnsiTheme="minorHAnsi" w:cstheme="minorHAnsi"/>
          <w:sz w:val="24"/>
          <w:szCs w:val="24"/>
        </w:rPr>
      </w:pPr>
      <w:r w:rsidRPr="007C351B">
        <w:rPr>
          <w:rFonts w:asciiTheme="minorHAnsi" w:hAnsiTheme="minorHAnsi" w:cstheme="minorHAnsi"/>
          <w:sz w:val="24"/>
          <w:szCs w:val="24"/>
        </w:rPr>
        <w:t>5.4.</w:t>
      </w:r>
      <w:r w:rsidRPr="007C351B">
        <w:rPr>
          <w:rFonts w:asciiTheme="minorHAnsi" w:hAnsiTheme="minorHAnsi" w:cstheme="minorHAnsi"/>
          <w:sz w:val="24"/>
          <w:szCs w:val="24"/>
        </w:rPr>
        <w:tab/>
        <w:t>Fundamenty z betonu i betonu zbrojonego</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 xml:space="preserve">Wykopy pod fundamenty konstrukcji wsporczych dla zamocowania znaków wielkowymiarowych (znak kierunku i miejscowości), wykonywane z betonu "na mokro" lub z betonu zbrojonego należy wykonać zgodnie z PN-S-02205 [24]. Sposób posadowienia fundamentów w wykopach otwartych bądź rozpartych zostanie zaproponowany przez Wykonawcę i uzgodniony z Inżynierem. Wykopy należy zabezpieczyć przed napływem wód opadowych przez wyprofilowanie terenu ze spadkiem umożliwiającym łatwy odpływ wody poza teren przylegający do wykopu. Dno wykopu powinno być wyrównane z dokładnością </w:t>
      </w:r>
      <w:r w:rsidRPr="007C351B">
        <w:rPr>
          <w:rFonts w:asciiTheme="minorHAnsi" w:hAnsiTheme="minorHAnsi" w:cstheme="minorHAnsi"/>
          <w:sz w:val="24"/>
        </w:rPr>
        <w:sym w:font="Symbol" w:char="F0B1"/>
      </w:r>
      <w:r w:rsidRPr="007C351B">
        <w:rPr>
          <w:rFonts w:asciiTheme="minorHAnsi" w:hAnsiTheme="minorHAnsi" w:cstheme="minorHAnsi"/>
          <w:sz w:val="24"/>
        </w:rPr>
        <w:t xml:space="preserve"> 2 cm. Przy naruszonej strukturze gruntu rodzimego, grunt należy usunąć i miejsce wypełnić do spodu fundamentu betonem klasy B 15. Płaszczyzny boczne fundamentów stykające się z gruntem należy zabezpieczyć izolacją, np. emulsją kationową. Po wykonaniu fundamentu wykop należy zasypać warstwami grubości 20 cm z dokładnym zagęszczeniem gruntu.</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5.5.</w:t>
      </w:r>
      <w:r w:rsidRPr="007C351B">
        <w:rPr>
          <w:rFonts w:asciiTheme="minorHAnsi" w:hAnsiTheme="minorHAnsi" w:cstheme="minorHAnsi"/>
        </w:rPr>
        <w:tab/>
        <w:t>Tolerancje ustawienia znaku pionowego</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Konstrukcje wsporcze znaków - słupki, słupy, wysięgniki, konstrukcje dla tablic wielkowymiarowych, powinny być wykonane zgodnie z Rysunkami i Specyfikacją.</w:t>
      </w: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Dopuszczalne tolerancje ustawienia znaku:</w:t>
      </w:r>
    </w:p>
    <w:p w:rsidR="00CD44D1" w:rsidRPr="007C351B" w:rsidRDefault="00CD44D1">
      <w:pPr>
        <w:pStyle w:val="Zwykytekst"/>
        <w:numPr>
          <w:ilvl w:val="0"/>
          <w:numId w:val="7"/>
        </w:numPr>
        <w:jc w:val="both"/>
        <w:rPr>
          <w:rFonts w:asciiTheme="minorHAnsi" w:hAnsiTheme="minorHAnsi" w:cstheme="minorHAnsi"/>
          <w:sz w:val="24"/>
        </w:rPr>
      </w:pPr>
      <w:r w:rsidRPr="007C351B">
        <w:rPr>
          <w:rFonts w:asciiTheme="minorHAnsi" w:hAnsiTheme="minorHAnsi" w:cstheme="minorHAnsi"/>
          <w:sz w:val="24"/>
        </w:rPr>
        <w:t xml:space="preserve">odchyłka od pionu, nie więcej niż </w:t>
      </w:r>
      <w:r w:rsidRPr="007C351B">
        <w:rPr>
          <w:rFonts w:asciiTheme="minorHAnsi" w:hAnsiTheme="minorHAnsi" w:cstheme="minorHAnsi"/>
          <w:sz w:val="24"/>
        </w:rPr>
        <w:sym w:font="Symbol" w:char="F0B1"/>
      </w:r>
      <w:r w:rsidRPr="007C351B">
        <w:rPr>
          <w:rFonts w:asciiTheme="minorHAnsi" w:hAnsiTheme="minorHAnsi" w:cstheme="minorHAnsi"/>
          <w:sz w:val="24"/>
        </w:rPr>
        <w:t xml:space="preserve"> 1 %,</w:t>
      </w:r>
    </w:p>
    <w:p w:rsidR="00CD44D1" w:rsidRPr="007C351B" w:rsidRDefault="00CD44D1">
      <w:pPr>
        <w:pStyle w:val="Zwykytekst"/>
        <w:numPr>
          <w:ilvl w:val="0"/>
          <w:numId w:val="7"/>
        </w:numPr>
        <w:jc w:val="both"/>
        <w:rPr>
          <w:rFonts w:asciiTheme="minorHAnsi" w:hAnsiTheme="minorHAnsi" w:cstheme="minorHAnsi"/>
          <w:sz w:val="24"/>
        </w:rPr>
      </w:pPr>
      <w:r w:rsidRPr="007C351B">
        <w:rPr>
          <w:rFonts w:asciiTheme="minorHAnsi" w:hAnsiTheme="minorHAnsi" w:cstheme="minorHAnsi"/>
          <w:sz w:val="24"/>
        </w:rPr>
        <w:t xml:space="preserve">odchyłka w wysokości umieszczenia znaku, nie więcej niż </w:t>
      </w:r>
      <w:r w:rsidRPr="007C351B">
        <w:rPr>
          <w:rFonts w:asciiTheme="minorHAnsi" w:hAnsiTheme="minorHAnsi" w:cstheme="minorHAnsi"/>
          <w:sz w:val="24"/>
        </w:rPr>
        <w:sym w:font="Symbol" w:char="F0B1"/>
      </w:r>
      <w:r w:rsidRPr="007C351B">
        <w:rPr>
          <w:rFonts w:asciiTheme="minorHAnsi" w:hAnsiTheme="minorHAnsi" w:cstheme="minorHAnsi"/>
          <w:sz w:val="24"/>
        </w:rPr>
        <w:t xml:space="preserve"> 2 cm,</w:t>
      </w:r>
    </w:p>
    <w:p w:rsidR="00CD44D1" w:rsidRPr="007C351B" w:rsidRDefault="00CD44D1">
      <w:pPr>
        <w:pStyle w:val="Zwykytekst"/>
        <w:numPr>
          <w:ilvl w:val="0"/>
          <w:numId w:val="7"/>
        </w:numPr>
        <w:jc w:val="both"/>
        <w:rPr>
          <w:rFonts w:asciiTheme="minorHAnsi" w:hAnsiTheme="minorHAnsi" w:cstheme="minorHAnsi"/>
          <w:sz w:val="24"/>
        </w:rPr>
      </w:pPr>
      <w:r w:rsidRPr="007C351B">
        <w:rPr>
          <w:rFonts w:asciiTheme="minorHAnsi" w:hAnsiTheme="minorHAnsi" w:cstheme="minorHAnsi"/>
          <w:sz w:val="24"/>
        </w:rPr>
        <w:t xml:space="preserve">odchyłka w odległości ustawienia znaku od krawędzi jezdni, krawędzi umocnionego pobocza lub pasa awaryjnego postoju, nie więcej niż </w:t>
      </w:r>
      <w:r w:rsidRPr="007C351B">
        <w:rPr>
          <w:rFonts w:asciiTheme="minorHAnsi" w:hAnsiTheme="minorHAnsi" w:cstheme="minorHAnsi"/>
          <w:sz w:val="24"/>
        </w:rPr>
        <w:sym w:font="Symbol" w:char="F0B1"/>
      </w:r>
      <w:r w:rsidRPr="007C351B">
        <w:rPr>
          <w:rFonts w:asciiTheme="minorHAnsi" w:hAnsiTheme="minorHAnsi" w:cstheme="minorHAnsi"/>
          <w:sz w:val="24"/>
        </w:rPr>
        <w:t xml:space="preserve"> 5 cm, przy zachowaniu minimalnej odległości umieszczenia znaku zgodnie z Instrukcją o znakach drogowych pionowych.</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5.6.</w:t>
      </w:r>
      <w:r w:rsidRPr="007C351B">
        <w:rPr>
          <w:rFonts w:asciiTheme="minorHAnsi" w:hAnsiTheme="minorHAnsi" w:cstheme="minorHAnsi"/>
        </w:rPr>
        <w:tab/>
        <w:t>Konstrukcje wsporcze</w:t>
      </w:r>
    </w:p>
    <w:p w:rsidR="00CD44D1" w:rsidRPr="007C351B" w:rsidRDefault="00CD44D1">
      <w:pPr>
        <w:pStyle w:val="Nagwek3"/>
        <w:rPr>
          <w:rFonts w:asciiTheme="minorHAnsi" w:hAnsiTheme="minorHAnsi" w:cstheme="minorHAnsi"/>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5.6.1.</w:t>
      </w:r>
      <w:r w:rsidRPr="007C351B">
        <w:rPr>
          <w:rFonts w:asciiTheme="minorHAnsi" w:hAnsiTheme="minorHAnsi" w:cstheme="minorHAnsi"/>
          <w:b/>
          <w:sz w:val="24"/>
          <w:szCs w:val="24"/>
        </w:rPr>
        <w:tab/>
        <w:t>Zabezpieczenie konstrukcji wsporczej przed najechaniem</w:t>
      </w: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 xml:space="preserve">Konstrukcje wsporcze znaków drogowych bramowych lub wysięgnikowych jedno lub dwustronnych, jak również konstrukcje wsporcze znaków tablicowych bocznych o powierzchni większej od 4,5 m2, gdy występuje możliwość bezpośredniego najechania na nie przez pojazd - muszą być zabezpieczone odpowiednio umieszczonymi barierami ochronnymi </w:t>
      </w:r>
      <w:r w:rsidRPr="007C351B">
        <w:rPr>
          <w:rFonts w:asciiTheme="minorHAnsi" w:hAnsiTheme="minorHAnsi" w:cstheme="minorHAnsi"/>
          <w:sz w:val="24"/>
        </w:rPr>
        <w:lastRenderedPageBreak/>
        <w:t xml:space="preserve">lub innego rodzaju urządzeniami ochronnymi lub </w:t>
      </w:r>
      <w:proofErr w:type="spellStart"/>
      <w:r w:rsidRPr="007C351B">
        <w:rPr>
          <w:rFonts w:asciiTheme="minorHAnsi" w:hAnsiTheme="minorHAnsi" w:cstheme="minorHAnsi"/>
          <w:sz w:val="24"/>
        </w:rPr>
        <w:t>przeciwdestrukcyjnymi</w:t>
      </w:r>
      <w:proofErr w:type="spellEnd"/>
      <w:r w:rsidRPr="007C351B">
        <w:rPr>
          <w:rFonts w:asciiTheme="minorHAnsi" w:hAnsiTheme="minorHAnsi" w:cstheme="minorHAnsi"/>
          <w:sz w:val="24"/>
        </w:rPr>
        <w:t>, zgodnie z dokumentacją projektową, SST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SST lub Inżynier.</w:t>
      </w:r>
    </w:p>
    <w:p w:rsidR="00CD44D1" w:rsidRPr="007C351B" w:rsidRDefault="00CD44D1">
      <w:pPr>
        <w:rPr>
          <w:rFonts w:asciiTheme="minorHAnsi" w:hAnsiTheme="minorHAnsi" w:cstheme="minorHAnsi"/>
        </w:rPr>
      </w:pPr>
    </w:p>
    <w:p w:rsidR="00CD44D1" w:rsidRPr="007C351B" w:rsidRDefault="00CD44D1">
      <w:pPr>
        <w:rPr>
          <w:rFonts w:asciiTheme="minorHAnsi" w:hAnsiTheme="minorHAnsi" w:cstheme="minorHAnsi"/>
        </w:rPr>
      </w:pPr>
    </w:p>
    <w:p w:rsidR="00CD44D1" w:rsidRPr="007C351B" w:rsidRDefault="00CD44D1">
      <w:pPr>
        <w:pStyle w:val="Nagwek3"/>
        <w:rPr>
          <w:rFonts w:asciiTheme="minorHAnsi" w:hAnsiTheme="minorHAnsi" w:cstheme="minorHAnsi"/>
          <w:sz w:val="24"/>
          <w:szCs w:val="24"/>
        </w:rPr>
      </w:pPr>
      <w:r w:rsidRPr="007C351B">
        <w:rPr>
          <w:rFonts w:asciiTheme="minorHAnsi" w:hAnsiTheme="minorHAnsi" w:cstheme="minorHAnsi"/>
          <w:sz w:val="24"/>
          <w:szCs w:val="24"/>
        </w:rPr>
        <w:t>5.6.2.</w:t>
      </w:r>
      <w:r w:rsidRPr="007C351B">
        <w:rPr>
          <w:rFonts w:asciiTheme="minorHAnsi" w:hAnsiTheme="minorHAnsi" w:cstheme="minorHAnsi"/>
          <w:sz w:val="24"/>
          <w:szCs w:val="24"/>
        </w:rPr>
        <w:tab/>
        <w:t xml:space="preserve">Łatwo </w:t>
      </w:r>
      <w:proofErr w:type="spellStart"/>
      <w:r w:rsidRPr="007C351B">
        <w:rPr>
          <w:rFonts w:asciiTheme="minorHAnsi" w:hAnsiTheme="minorHAnsi" w:cstheme="minorHAnsi"/>
          <w:sz w:val="24"/>
          <w:szCs w:val="24"/>
        </w:rPr>
        <w:t>zrywalne</w:t>
      </w:r>
      <w:proofErr w:type="spellEnd"/>
      <w:r w:rsidRPr="007C351B">
        <w:rPr>
          <w:rFonts w:asciiTheme="minorHAnsi" w:hAnsiTheme="minorHAnsi" w:cstheme="minorHAnsi"/>
          <w:sz w:val="24"/>
          <w:szCs w:val="24"/>
        </w:rPr>
        <w:t xml:space="preserve"> złącza konstrukcji wsporczej</w:t>
      </w: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 xml:space="preserve">W przypadku konstrukcji wsporczych, nie osłoniętych barierami ochronnymi - należy stosować łatwo </w:t>
      </w:r>
      <w:proofErr w:type="spellStart"/>
      <w:r w:rsidRPr="007C351B">
        <w:rPr>
          <w:rFonts w:asciiTheme="minorHAnsi" w:hAnsiTheme="minorHAnsi" w:cstheme="minorHAnsi"/>
          <w:sz w:val="24"/>
        </w:rPr>
        <w:t>zrywalne</w:t>
      </w:r>
      <w:proofErr w:type="spellEnd"/>
      <w:r w:rsidRPr="007C351B">
        <w:rPr>
          <w:rFonts w:asciiTheme="minorHAnsi" w:hAnsiTheme="minorHAnsi" w:cstheme="minorHAnsi"/>
          <w:sz w:val="24"/>
        </w:rPr>
        <w:t xml:space="preserve"> lub łatwo rozłączalne przekroje, złącza lub przeguby o odpowiednio bezpiecznej konstrukcji, umieszczone na wysokości od 0,15 do 0,20 m nad powierzchnią terenu. Łatwo </w:t>
      </w:r>
      <w:proofErr w:type="spellStart"/>
      <w:r w:rsidRPr="007C351B">
        <w:rPr>
          <w:rFonts w:asciiTheme="minorHAnsi" w:hAnsiTheme="minorHAnsi" w:cstheme="minorHAnsi"/>
          <w:sz w:val="24"/>
        </w:rPr>
        <w:t>zrywalne</w:t>
      </w:r>
      <w:proofErr w:type="spellEnd"/>
      <w:r w:rsidRPr="007C351B">
        <w:rPr>
          <w:rFonts w:asciiTheme="minorHAnsi" w:hAnsiTheme="minorHAnsi" w:cstheme="minorHAnsi"/>
          <w:sz w:val="24"/>
        </w:rPr>
        <w:t xml:space="preserv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0,25 m.</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3"/>
        <w:ind w:left="709" w:hanging="709"/>
        <w:rPr>
          <w:rFonts w:asciiTheme="minorHAnsi" w:hAnsiTheme="minorHAnsi" w:cstheme="minorHAnsi"/>
          <w:sz w:val="24"/>
          <w:szCs w:val="24"/>
        </w:rPr>
      </w:pPr>
      <w:r w:rsidRPr="007C351B">
        <w:rPr>
          <w:rFonts w:asciiTheme="minorHAnsi" w:hAnsiTheme="minorHAnsi" w:cstheme="minorHAnsi"/>
          <w:sz w:val="24"/>
          <w:szCs w:val="24"/>
        </w:rPr>
        <w:t>5.6.3.</w:t>
      </w:r>
      <w:r w:rsidRPr="007C351B">
        <w:rPr>
          <w:rFonts w:asciiTheme="minorHAnsi" w:hAnsiTheme="minorHAnsi" w:cstheme="minorHAnsi"/>
          <w:sz w:val="24"/>
          <w:szCs w:val="24"/>
        </w:rPr>
        <w:tab/>
        <w:t>Zapobieganie zagrożeniu użytkowników drogi i terenu przyległego - przez konstrukcję wsporczą</w:t>
      </w: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3"/>
        <w:rPr>
          <w:rFonts w:asciiTheme="minorHAnsi" w:hAnsiTheme="minorHAnsi" w:cstheme="minorHAnsi"/>
          <w:sz w:val="24"/>
          <w:szCs w:val="24"/>
        </w:rPr>
      </w:pPr>
      <w:r w:rsidRPr="007C351B">
        <w:rPr>
          <w:rFonts w:asciiTheme="minorHAnsi" w:hAnsiTheme="minorHAnsi" w:cstheme="minorHAnsi"/>
          <w:sz w:val="24"/>
          <w:szCs w:val="24"/>
        </w:rPr>
        <w:t>5.6.4.</w:t>
      </w:r>
      <w:r w:rsidRPr="007C351B">
        <w:rPr>
          <w:rFonts w:asciiTheme="minorHAnsi" w:hAnsiTheme="minorHAnsi" w:cstheme="minorHAnsi"/>
          <w:sz w:val="24"/>
          <w:szCs w:val="24"/>
        </w:rPr>
        <w:tab/>
        <w:t>Tablicowe znaki drogowe na dwóch słupach lub podporach</w:t>
      </w: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 xml:space="preserve">Przy stosowaniu tablicowych znaków drogowych (drogowskazów tablicowych, tablic </w:t>
      </w:r>
      <w:proofErr w:type="spellStart"/>
      <w:r w:rsidRPr="007C351B">
        <w:rPr>
          <w:rFonts w:asciiTheme="minorHAnsi" w:hAnsiTheme="minorHAnsi" w:cstheme="minorHAnsi"/>
          <w:sz w:val="24"/>
        </w:rPr>
        <w:t>przeddrogowskazowych</w:t>
      </w:r>
      <w:proofErr w:type="spellEnd"/>
      <w:r w:rsidRPr="007C351B">
        <w:rPr>
          <w:rFonts w:asciiTheme="minorHAnsi" w:hAnsiTheme="minorHAnsi" w:cstheme="minorHAnsi"/>
          <w:sz w:val="24"/>
        </w:rPr>
        <w:t>, tablic szlaku drogowego, tablic objazdów itp.) umieszczanych na dwóch słupach lub podporach - odległość między tymi słupami lub podporami, mierzona prostopadle do przewidywanego kierunku najechania przez pojazd, nie może być mniejsza od 1,75 m. Przy stosowaniu większej liczby słupów niż dwa - odległość między nimi może być mniejsza.</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3"/>
        <w:rPr>
          <w:rFonts w:asciiTheme="minorHAnsi" w:hAnsiTheme="minorHAnsi" w:cstheme="minorHAnsi"/>
          <w:sz w:val="24"/>
          <w:szCs w:val="24"/>
        </w:rPr>
      </w:pPr>
      <w:r w:rsidRPr="007C351B">
        <w:rPr>
          <w:rFonts w:asciiTheme="minorHAnsi" w:hAnsiTheme="minorHAnsi" w:cstheme="minorHAnsi"/>
          <w:sz w:val="24"/>
          <w:szCs w:val="24"/>
        </w:rPr>
        <w:t>5.6.5.</w:t>
      </w:r>
      <w:r w:rsidRPr="007C351B">
        <w:rPr>
          <w:rFonts w:asciiTheme="minorHAnsi" w:hAnsiTheme="minorHAnsi" w:cstheme="minorHAnsi"/>
          <w:sz w:val="24"/>
          <w:szCs w:val="24"/>
        </w:rPr>
        <w:tab/>
        <w:t>Poziom górnej powierzchni fundamentu</w:t>
      </w: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 xml:space="preserve">Przy zamocowaniu konstrukcji wsporczej znaku w fundamencie betonowym lub innym podobnym - górna część fundamentu winna być wyniesiona nad powierzchnię pobocza lub pasa dzielącego 0,05 m </w:t>
      </w:r>
      <w:r w:rsidRPr="007C351B">
        <w:rPr>
          <w:rFonts w:asciiTheme="minorHAnsi" w:hAnsiTheme="minorHAnsi" w:cstheme="minorHAnsi"/>
          <w:sz w:val="24"/>
        </w:rPr>
        <w:sym w:font="Symbol" w:char="F0B1"/>
      </w:r>
      <w:r w:rsidRPr="007C351B">
        <w:rPr>
          <w:rFonts w:asciiTheme="minorHAnsi" w:hAnsiTheme="minorHAnsi" w:cstheme="minorHAnsi"/>
          <w:sz w:val="24"/>
        </w:rPr>
        <w:t xml:space="preserve"> 0,02 m. W przypadku konstrukcji wsporczych, znajdujących się poza koroną drogi, górna część fundamentu powinna być wyniesiona nad powierzchnię terenu nie więcej niż 0,15 m.</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3"/>
        <w:rPr>
          <w:rFonts w:asciiTheme="minorHAnsi" w:hAnsiTheme="minorHAnsi" w:cstheme="minorHAnsi"/>
          <w:sz w:val="24"/>
          <w:szCs w:val="24"/>
        </w:rPr>
      </w:pPr>
      <w:r w:rsidRPr="007C351B">
        <w:rPr>
          <w:rFonts w:asciiTheme="minorHAnsi" w:hAnsiTheme="minorHAnsi" w:cstheme="minorHAnsi"/>
          <w:sz w:val="24"/>
          <w:szCs w:val="24"/>
        </w:rPr>
        <w:t>5.6.7</w:t>
      </w:r>
      <w:r w:rsidRPr="007C351B">
        <w:rPr>
          <w:rFonts w:asciiTheme="minorHAnsi" w:hAnsiTheme="minorHAnsi" w:cstheme="minorHAnsi"/>
          <w:sz w:val="24"/>
          <w:szCs w:val="24"/>
        </w:rPr>
        <w:tab/>
        <w:t>Barwa konstrukcji wsporczej</w:t>
      </w: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5.7.</w:t>
      </w:r>
      <w:r w:rsidRPr="007C351B">
        <w:rPr>
          <w:rFonts w:asciiTheme="minorHAnsi" w:hAnsiTheme="minorHAnsi" w:cstheme="minorHAnsi"/>
        </w:rPr>
        <w:tab/>
        <w:t>Połączenie tarczy znaku z konstrukcją wsporczą</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lastRenderedPageBreak/>
        <w:t>Tarcza znaku musi być zamocowana do konstrukcji wsporczej w sposób uniemożliwiający jej przesunięcie lub obrót. Materiał i sposób wykonania połączenia tarczy znaku z konstrukcją wsporczą musi umożliwiać, przy użyciu odpowiednich narzędzi, odłączenie tarczy znaku od tej konstrukcji przez cały okres użytkowania znaku. Należy stosować elementy złączne o konstrukcji znacznie utrudniającej ich rozłączenie przez osoby niepowołane. Tarcza znaku składanego musi wykazywać pełną integralność podczas najechania przez pojazd w każdych warunkach kolizji. W szczególności - żaden z segmentów lub elementów tarczy nie może się od niej odłączać w sposób powodujący narażenie kogokolwiek na niebezpieczeństwo lub szkodę. Nie dopuszcza się zamocowania znaku do konstrukcji wsporczej w sposób wymagający bezpośredniego przeprowadzenia śrub mocujących przez lico znaku.</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5.8.</w:t>
      </w:r>
      <w:r w:rsidRPr="007C351B">
        <w:rPr>
          <w:rFonts w:asciiTheme="minorHAnsi" w:hAnsiTheme="minorHAnsi" w:cstheme="minorHAnsi"/>
        </w:rPr>
        <w:tab/>
        <w:t>Trwałość wykonania znaku pionowego</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Znak drogowy pionowy musi być wykonany w sposób trwały, zapewniający pełną czytelność przedstawionego na nim symbolu lub napisu w całym okresie jego użytkowania, przy czym wpływy zewnętrzne działające na znak, nie mogą powodować zniekształcenia treści znaku.</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2"/>
        <w:ind w:left="0" w:firstLine="0"/>
        <w:rPr>
          <w:rFonts w:asciiTheme="minorHAnsi" w:hAnsiTheme="minorHAnsi" w:cstheme="minorHAnsi"/>
        </w:rPr>
      </w:pPr>
      <w:r w:rsidRPr="007C351B">
        <w:rPr>
          <w:rFonts w:asciiTheme="minorHAnsi" w:hAnsiTheme="minorHAnsi" w:cstheme="minorHAnsi"/>
        </w:rPr>
        <w:t>5.9.</w:t>
      </w:r>
      <w:r w:rsidRPr="007C351B">
        <w:rPr>
          <w:rFonts w:asciiTheme="minorHAnsi" w:hAnsiTheme="minorHAnsi" w:cstheme="minorHAnsi"/>
        </w:rPr>
        <w:tab/>
        <w:t>Tabliczka znamionowa znaku</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Każdy wykonany znak drogowy oraz każda konstrukcja wsporcza musi mieć tabliczkę znamionową z:</w:t>
      </w:r>
    </w:p>
    <w:p w:rsidR="00CD44D1" w:rsidRPr="007C351B" w:rsidRDefault="00CD44D1">
      <w:pPr>
        <w:pStyle w:val="Zwykytekst"/>
        <w:numPr>
          <w:ilvl w:val="0"/>
          <w:numId w:val="3"/>
        </w:numPr>
        <w:jc w:val="both"/>
        <w:rPr>
          <w:rFonts w:asciiTheme="minorHAnsi" w:hAnsiTheme="minorHAnsi" w:cstheme="minorHAnsi"/>
          <w:sz w:val="24"/>
        </w:rPr>
      </w:pPr>
      <w:r w:rsidRPr="007C351B">
        <w:rPr>
          <w:rFonts w:asciiTheme="minorHAnsi" w:hAnsiTheme="minorHAnsi" w:cstheme="minorHAnsi"/>
          <w:sz w:val="24"/>
        </w:rPr>
        <w:t>numer i datę normy tj. PN-EN 12899-1:2005 [16],</w:t>
      </w:r>
    </w:p>
    <w:p w:rsidR="00CD44D1" w:rsidRPr="007C351B" w:rsidRDefault="00CD44D1">
      <w:pPr>
        <w:pStyle w:val="Zwykytekst"/>
        <w:numPr>
          <w:ilvl w:val="0"/>
          <w:numId w:val="3"/>
        </w:numPr>
        <w:jc w:val="both"/>
        <w:rPr>
          <w:rFonts w:asciiTheme="minorHAnsi" w:hAnsiTheme="minorHAnsi" w:cstheme="minorHAnsi"/>
          <w:sz w:val="24"/>
        </w:rPr>
      </w:pPr>
      <w:r w:rsidRPr="007C351B">
        <w:rPr>
          <w:rFonts w:asciiTheme="minorHAnsi" w:hAnsiTheme="minorHAnsi" w:cstheme="minorHAnsi"/>
          <w:sz w:val="24"/>
        </w:rPr>
        <w:t>klasy istotnych właściwości wyrobu,</w:t>
      </w:r>
    </w:p>
    <w:p w:rsidR="00CD44D1" w:rsidRPr="007C351B" w:rsidRDefault="00CD44D1">
      <w:pPr>
        <w:pStyle w:val="Zwykytekst"/>
        <w:numPr>
          <w:ilvl w:val="0"/>
          <w:numId w:val="3"/>
        </w:numPr>
        <w:jc w:val="both"/>
        <w:rPr>
          <w:rFonts w:asciiTheme="minorHAnsi" w:hAnsiTheme="minorHAnsi" w:cstheme="minorHAnsi"/>
          <w:sz w:val="24"/>
        </w:rPr>
      </w:pPr>
      <w:r w:rsidRPr="007C351B">
        <w:rPr>
          <w:rFonts w:asciiTheme="minorHAnsi" w:hAnsiTheme="minorHAnsi" w:cstheme="minorHAnsi"/>
          <w:sz w:val="24"/>
        </w:rPr>
        <w:t>miesiąc i dwie ostatnie cyfry roku produkcji,</w:t>
      </w:r>
    </w:p>
    <w:p w:rsidR="00CD44D1" w:rsidRPr="007C351B" w:rsidRDefault="00CD44D1">
      <w:pPr>
        <w:pStyle w:val="Zwykytekst"/>
        <w:numPr>
          <w:ilvl w:val="0"/>
          <w:numId w:val="3"/>
        </w:numPr>
        <w:jc w:val="both"/>
        <w:rPr>
          <w:rFonts w:asciiTheme="minorHAnsi" w:hAnsiTheme="minorHAnsi" w:cstheme="minorHAnsi"/>
          <w:sz w:val="24"/>
        </w:rPr>
      </w:pPr>
      <w:r w:rsidRPr="007C351B">
        <w:rPr>
          <w:rFonts w:asciiTheme="minorHAnsi" w:hAnsiTheme="minorHAnsi" w:cstheme="minorHAnsi"/>
          <w:sz w:val="24"/>
        </w:rPr>
        <w:t>nazwą, znak handlowy i inne oznaczeniem umożliwiające identyfikację wytwórcy lub dostawcy,</w:t>
      </w:r>
    </w:p>
    <w:p w:rsidR="00CD44D1" w:rsidRPr="007C351B" w:rsidRDefault="00CD44D1">
      <w:pPr>
        <w:pStyle w:val="Zwykytekst"/>
        <w:numPr>
          <w:ilvl w:val="0"/>
          <w:numId w:val="3"/>
        </w:numPr>
        <w:jc w:val="both"/>
        <w:rPr>
          <w:rFonts w:asciiTheme="minorHAnsi" w:hAnsiTheme="minorHAnsi" w:cstheme="minorHAnsi"/>
          <w:sz w:val="24"/>
        </w:rPr>
      </w:pPr>
      <w:r w:rsidRPr="007C351B">
        <w:rPr>
          <w:rFonts w:asciiTheme="minorHAnsi" w:hAnsiTheme="minorHAnsi" w:cstheme="minorHAnsi"/>
          <w:sz w:val="24"/>
        </w:rPr>
        <w:t>znak budowlany „B”,</w:t>
      </w:r>
    </w:p>
    <w:p w:rsidR="00CD44D1" w:rsidRPr="007C351B" w:rsidRDefault="00CD44D1">
      <w:pPr>
        <w:pStyle w:val="Zwykytekst"/>
        <w:numPr>
          <w:ilvl w:val="0"/>
          <w:numId w:val="3"/>
        </w:numPr>
        <w:jc w:val="both"/>
        <w:rPr>
          <w:rFonts w:asciiTheme="minorHAnsi" w:hAnsiTheme="minorHAnsi" w:cstheme="minorHAnsi"/>
          <w:sz w:val="24"/>
        </w:rPr>
      </w:pPr>
      <w:r w:rsidRPr="007C351B">
        <w:rPr>
          <w:rFonts w:asciiTheme="minorHAnsi" w:hAnsiTheme="minorHAnsi" w:cstheme="minorHAnsi"/>
          <w:sz w:val="24"/>
        </w:rPr>
        <w:t xml:space="preserve">numer aprobaty technicznej </w:t>
      </w:r>
      <w:proofErr w:type="spellStart"/>
      <w:r w:rsidRPr="007C351B">
        <w:rPr>
          <w:rFonts w:asciiTheme="minorHAnsi" w:hAnsiTheme="minorHAnsi" w:cstheme="minorHAnsi"/>
          <w:sz w:val="24"/>
        </w:rPr>
        <w:t>IBDiM</w:t>
      </w:r>
      <w:proofErr w:type="spellEnd"/>
      <w:r w:rsidRPr="007C351B">
        <w:rPr>
          <w:rFonts w:asciiTheme="minorHAnsi" w:hAnsiTheme="minorHAnsi" w:cstheme="minorHAnsi"/>
          <w:sz w:val="24"/>
        </w:rPr>
        <w:t>,</w:t>
      </w:r>
    </w:p>
    <w:p w:rsidR="00CD44D1" w:rsidRPr="007C351B" w:rsidRDefault="00CD44D1">
      <w:pPr>
        <w:pStyle w:val="Zwykytekst"/>
        <w:numPr>
          <w:ilvl w:val="0"/>
          <w:numId w:val="3"/>
        </w:numPr>
        <w:jc w:val="both"/>
        <w:rPr>
          <w:rFonts w:asciiTheme="minorHAnsi" w:hAnsiTheme="minorHAnsi" w:cstheme="minorHAnsi"/>
          <w:sz w:val="24"/>
        </w:rPr>
      </w:pPr>
      <w:r w:rsidRPr="007C351B">
        <w:rPr>
          <w:rFonts w:asciiTheme="minorHAnsi" w:hAnsiTheme="minorHAnsi" w:cstheme="minorHAnsi"/>
          <w:sz w:val="24"/>
        </w:rPr>
        <w:t>numer certyfikatu zgodności i numer jednostki certyfikującej.</w:t>
      </w: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 xml:space="preserve">Oznakowania powinny być wykonane w sposób trwały i wyraźny, czytelny z normalnej odległości widzenia, a całkowita powierzchnia naklejki nie była większa niż 30 cm2 . Czytelność i trwałość cechy na tylnej stronie tarczy znaku nie powinna być niższa od wymaganej trwałości znaku. Naklejkę należy wykonać z folii </w:t>
      </w:r>
      <w:proofErr w:type="spellStart"/>
      <w:r w:rsidRPr="007C351B">
        <w:rPr>
          <w:rFonts w:asciiTheme="minorHAnsi" w:hAnsiTheme="minorHAnsi" w:cstheme="minorHAnsi"/>
          <w:sz w:val="24"/>
        </w:rPr>
        <w:t>nieodblaskowej</w:t>
      </w:r>
      <w:proofErr w:type="spellEnd"/>
      <w:r w:rsidRPr="007C351B">
        <w:rPr>
          <w:rFonts w:asciiTheme="minorHAnsi" w:hAnsiTheme="minorHAnsi" w:cstheme="minorHAnsi"/>
          <w:sz w:val="24"/>
        </w:rPr>
        <w:t>.</w:t>
      </w:r>
    </w:p>
    <w:p w:rsidR="00CD44D1" w:rsidRPr="007C351B" w:rsidRDefault="00CD44D1">
      <w:pPr>
        <w:rPr>
          <w:rFonts w:asciiTheme="minorHAnsi" w:hAnsiTheme="minorHAnsi" w:cstheme="minorHAnsi"/>
          <w:b/>
          <w:sz w:val="24"/>
          <w:szCs w:val="24"/>
        </w:rPr>
      </w:pPr>
    </w:p>
    <w:p w:rsidR="00CD44D1" w:rsidRPr="007C351B" w:rsidRDefault="00CD44D1">
      <w:pPr>
        <w:rPr>
          <w:rFonts w:asciiTheme="minorHAnsi" w:hAnsiTheme="minorHAnsi" w:cstheme="minorHAnsi"/>
          <w:b/>
          <w:sz w:val="24"/>
          <w:szCs w:val="24"/>
        </w:rPr>
      </w:pPr>
      <w:r w:rsidRPr="007C351B">
        <w:rPr>
          <w:rFonts w:asciiTheme="minorHAnsi" w:hAnsiTheme="minorHAnsi" w:cstheme="minorHAnsi"/>
          <w:b/>
          <w:sz w:val="24"/>
          <w:szCs w:val="24"/>
        </w:rPr>
        <w:t>5.10.</w:t>
      </w:r>
      <w:r w:rsidRPr="007C351B">
        <w:rPr>
          <w:rFonts w:asciiTheme="minorHAnsi" w:hAnsiTheme="minorHAnsi" w:cstheme="minorHAnsi"/>
          <w:b/>
          <w:sz w:val="24"/>
          <w:szCs w:val="24"/>
        </w:rPr>
        <w:tab/>
        <w:t>Tablicowe znaki drogowe na dwóch słupach lub podporach</w:t>
      </w:r>
    </w:p>
    <w:p w:rsidR="00CD44D1" w:rsidRPr="007C351B" w:rsidRDefault="00CD44D1">
      <w:pPr>
        <w:pStyle w:val="Zwykytekst"/>
        <w:jc w:val="both"/>
        <w:rPr>
          <w:rFonts w:asciiTheme="minorHAnsi" w:hAnsiTheme="minorHAnsi" w:cstheme="minorHAnsi"/>
          <w:sz w:val="24"/>
          <w:szCs w:val="24"/>
        </w:rPr>
      </w:pPr>
    </w:p>
    <w:p w:rsidR="00CD44D1" w:rsidRPr="007C351B" w:rsidRDefault="00CD44D1">
      <w:pPr>
        <w:pStyle w:val="Zwykytekst"/>
        <w:jc w:val="both"/>
        <w:rPr>
          <w:rFonts w:asciiTheme="minorHAnsi" w:hAnsiTheme="minorHAnsi" w:cstheme="minorHAnsi"/>
          <w:sz w:val="24"/>
          <w:szCs w:val="24"/>
        </w:rPr>
      </w:pPr>
      <w:r w:rsidRPr="007C351B">
        <w:rPr>
          <w:rFonts w:asciiTheme="minorHAnsi" w:hAnsiTheme="minorHAnsi" w:cstheme="minorHAnsi"/>
          <w:sz w:val="24"/>
          <w:szCs w:val="24"/>
        </w:rPr>
        <w:t>Przy stosowaniu tablicowych znaków drogowych umieszczanych na dwóch słupach lub podporach - odległość między tymi słupami lub podporami, mierzona prostopadle do przewidywanego kierunku najechania przez pojazd, nie może być mniejsza od 1,75 m. Przy stosowaniu większej liczby słupów niż dwa - odległość między nimi może być mniejsza.</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2"/>
        <w:ind w:left="0" w:firstLine="0"/>
        <w:rPr>
          <w:rFonts w:asciiTheme="minorHAnsi" w:hAnsiTheme="minorHAnsi" w:cstheme="minorHAnsi"/>
        </w:rPr>
      </w:pPr>
      <w:r w:rsidRPr="007C351B">
        <w:rPr>
          <w:rFonts w:asciiTheme="minorHAnsi" w:hAnsiTheme="minorHAnsi" w:cstheme="minorHAnsi"/>
        </w:rPr>
        <w:t>5.11.</w:t>
      </w:r>
      <w:r w:rsidRPr="007C351B">
        <w:rPr>
          <w:rFonts w:asciiTheme="minorHAnsi" w:hAnsiTheme="minorHAnsi" w:cstheme="minorHAnsi"/>
        </w:rPr>
        <w:tab/>
        <w:t>Tablica informacyjna GDDKiA</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Zwykytekst"/>
        <w:jc w:val="both"/>
        <w:rPr>
          <w:rFonts w:asciiTheme="minorHAnsi" w:hAnsiTheme="minorHAnsi" w:cstheme="minorHAnsi"/>
          <w:sz w:val="24"/>
          <w:szCs w:val="24"/>
        </w:rPr>
      </w:pPr>
      <w:r w:rsidRPr="007C351B">
        <w:rPr>
          <w:rFonts w:asciiTheme="minorHAnsi" w:hAnsiTheme="minorHAnsi" w:cstheme="minorHAnsi"/>
          <w:sz w:val="24"/>
        </w:rPr>
        <w:t xml:space="preserve">Na czas budowy należy </w:t>
      </w:r>
      <w:r w:rsidRPr="007C351B">
        <w:rPr>
          <w:rFonts w:asciiTheme="minorHAnsi" w:hAnsiTheme="minorHAnsi" w:cstheme="minorHAnsi"/>
          <w:sz w:val="24"/>
          <w:szCs w:val="24"/>
        </w:rPr>
        <w:t xml:space="preserve">ustawić 2 </w:t>
      </w:r>
      <w:r w:rsidR="000720E4" w:rsidRPr="007C351B">
        <w:rPr>
          <w:rFonts w:asciiTheme="minorHAnsi" w:hAnsiTheme="minorHAnsi" w:cstheme="minorHAnsi"/>
          <w:sz w:val="24"/>
          <w:szCs w:val="24"/>
        </w:rPr>
        <w:t xml:space="preserve">duże </w:t>
      </w:r>
      <w:r w:rsidRPr="007C351B">
        <w:rPr>
          <w:rFonts w:asciiTheme="minorHAnsi" w:hAnsiTheme="minorHAnsi" w:cstheme="minorHAnsi"/>
          <w:sz w:val="24"/>
          <w:szCs w:val="24"/>
        </w:rPr>
        <w:t>tablice informacyjne GDDKiA</w:t>
      </w:r>
      <w:r w:rsidR="00D42664" w:rsidRPr="007C351B">
        <w:rPr>
          <w:rFonts w:asciiTheme="minorHAnsi" w:hAnsiTheme="minorHAnsi" w:cstheme="minorHAnsi"/>
          <w:sz w:val="24"/>
          <w:szCs w:val="24"/>
        </w:rPr>
        <w:t xml:space="preserve"> o </w:t>
      </w:r>
      <w:proofErr w:type="spellStart"/>
      <w:r w:rsidR="00D42664" w:rsidRPr="007C351B">
        <w:rPr>
          <w:rFonts w:asciiTheme="minorHAnsi" w:hAnsiTheme="minorHAnsi" w:cstheme="minorHAnsi"/>
          <w:sz w:val="24"/>
          <w:szCs w:val="24"/>
        </w:rPr>
        <w:t>wym</w:t>
      </w:r>
      <w:proofErr w:type="spellEnd"/>
      <w:r w:rsidR="00D42664" w:rsidRPr="007C351B">
        <w:rPr>
          <w:rFonts w:asciiTheme="minorHAnsi" w:hAnsiTheme="minorHAnsi" w:cstheme="minorHAnsi"/>
          <w:sz w:val="24"/>
          <w:szCs w:val="24"/>
        </w:rPr>
        <w:t xml:space="preserve"> 2,0x3,0 m</w:t>
      </w:r>
      <w:r w:rsidR="00163CC0" w:rsidRPr="007C351B">
        <w:rPr>
          <w:rFonts w:asciiTheme="minorHAnsi" w:hAnsiTheme="minorHAnsi" w:cstheme="minorHAnsi"/>
          <w:sz w:val="24"/>
          <w:szCs w:val="24"/>
        </w:rPr>
        <w:t>, które należy wykonać zgodnie z systemem identyfikacji wizualnej GDDKiA  (Zarządzenie Nr 2 Generalnego Dyrektora Dróg Krajowych i Autostrad z dnia 18 stycznia 2008 r. w sprawie systemu identyfikacji wizualnej Generalnej Dyrekcji Dróg Krajowych i Autostrad.)</w:t>
      </w:r>
      <w:r w:rsidRPr="007C351B">
        <w:rPr>
          <w:rFonts w:asciiTheme="minorHAnsi" w:hAnsiTheme="minorHAnsi" w:cstheme="minorHAnsi"/>
          <w:sz w:val="24"/>
          <w:szCs w:val="24"/>
        </w:rPr>
        <w:t xml:space="preserve">. Tablice </w:t>
      </w:r>
      <w:r w:rsidRPr="007C351B">
        <w:rPr>
          <w:rFonts w:asciiTheme="minorHAnsi" w:hAnsiTheme="minorHAnsi" w:cstheme="minorHAnsi"/>
          <w:sz w:val="24"/>
          <w:szCs w:val="24"/>
        </w:rPr>
        <w:lastRenderedPageBreak/>
        <w:t xml:space="preserve">mają zostać ustawione do 21 dni od dnia rozpoczęcia robót w miejscu </w:t>
      </w:r>
      <w:r w:rsidR="00130E3D" w:rsidRPr="007C351B">
        <w:rPr>
          <w:rFonts w:asciiTheme="minorHAnsi" w:hAnsiTheme="minorHAnsi" w:cstheme="minorHAnsi"/>
          <w:sz w:val="24"/>
          <w:szCs w:val="24"/>
        </w:rPr>
        <w:t>zgodnym z projektem organizacji ruchu na czas budowy.</w:t>
      </w:r>
    </w:p>
    <w:p w:rsidR="00CD44D1" w:rsidRPr="007C351B" w:rsidRDefault="00CD44D1">
      <w:pPr>
        <w:pStyle w:val="Zwykytekst"/>
        <w:jc w:val="both"/>
        <w:rPr>
          <w:rFonts w:asciiTheme="minorHAnsi" w:hAnsiTheme="minorHAnsi" w:cstheme="minorHAnsi"/>
          <w:sz w:val="24"/>
          <w:szCs w:val="24"/>
        </w:rPr>
      </w:pPr>
    </w:p>
    <w:p w:rsidR="00CD44D1" w:rsidRPr="007C351B" w:rsidRDefault="00CD44D1">
      <w:pPr>
        <w:pStyle w:val="Zwykytekst"/>
        <w:jc w:val="both"/>
        <w:rPr>
          <w:rFonts w:asciiTheme="minorHAnsi" w:hAnsiTheme="minorHAnsi" w:cstheme="minorHAnsi"/>
          <w:sz w:val="24"/>
          <w:szCs w:val="24"/>
        </w:rPr>
      </w:pPr>
      <w:r w:rsidRPr="007C351B">
        <w:rPr>
          <w:rFonts w:asciiTheme="minorHAnsi" w:hAnsiTheme="minorHAnsi" w:cstheme="minorHAnsi"/>
          <w:sz w:val="24"/>
          <w:szCs w:val="24"/>
        </w:rPr>
        <w:t xml:space="preserve">Wzór tablicy wraz z </w:t>
      </w:r>
      <w:r w:rsidR="00163CC0" w:rsidRPr="007C351B">
        <w:rPr>
          <w:rFonts w:asciiTheme="minorHAnsi" w:hAnsiTheme="minorHAnsi" w:cstheme="minorHAnsi"/>
          <w:sz w:val="24"/>
          <w:szCs w:val="24"/>
        </w:rPr>
        <w:t xml:space="preserve">wymiarami </w:t>
      </w:r>
      <w:r w:rsidRPr="007C351B">
        <w:rPr>
          <w:rFonts w:asciiTheme="minorHAnsi" w:hAnsiTheme="minorHAnsi" w:cstheme="minorHAnsi"/>
          <w:sz w:val="24"/>
          <w:szCs w:val="24"/>
        </w:rPr>
        <w:t xml:space="preserve">musi być uzgodniony z </w:t>
      </w:r>
      <w:r w:rsidR="00163CC0" w:rsidRPr="007C351B">
        <w:rPr>
          <w:rFonts w:asciiTheme="minorHAnsi" w:hAnsiTheme="minorHAnsi" w:cstheme="minorHAnsi"/>
          <w:sz w:val="24"/>
          <w:szCs w:val="24"/>
        </w:rPr>
        <w:t>Inżynierem i Zamawiającym</w:t>
      </w:r>
      <w:r w:rsidRPr="007C351B">
        <w:rPr>
          <w:rFonts w:asciiTheme="minorHAnsi" w:hAnsiTheme="minorHAnsi" w:cstheme="minorHAnsi"/>
          <w:sz w:val="24"/>
          <w:szCs w:val="24"/>
        </w:rPr>
        <w:t>.</w:t>
      </w:r>
    </w:p>
    <w:p w:rsidR="00CD44D1" w:rsidRPr="007C351B" w:rsidRDefault="00CD44D1">
      <w:pPr>
        <w:pStyle w:val="Zwykytekst"/>
        <w:jc w:val="both"/>
        <w:rPr>
          <w:rFonts w:asciiTheme="minorHAnsi" w:hAnsiTheme="minorHAnsi" w:cstheme="minorHAnsi"/>
          <w:sz w:val="24"/>
        </w:rPr>
      </w:pPr>
    </w:p>
    <w:p w:rsidR="00CD44D1" w:rsidRPr="007C351B" w:rsidRDefault="00163CC0" w:rsidP="00163CC0">
      <w:pPr>
        <w:pStyle w:val="Zwykytekst"/>
        <w:tabs>
          <w:tab w:val="left" w:pos="5085"/>
        </w:tabs>
        <w:jc w:val="both"/>
        <w:rPr>
          <w:rFonts w:asciiTheme="minorHAnsi" w:hAnsiTheme="minorHAnsi" w:cstheme="minorHAnsi"/>
          <w:sz w:val="24"/>
        </w:rPr>
      </w:pPr>
      <w:r w:rsidRPr="007C351B">
        <w:rPr>
          <w:rFonts w:asciiTheme="minorHAnsi" w:hAnsiTheme="minorHAnsi" w:cstheme="minorHAnsi"/>
          <w:sz w:val="24"/>
        </w:rPr>
        <w:tab/>
      </w:r>
    </w:p>
    <w:p w:rsidR="00CD44D1" w:rsidRPr="007C351B" w:rsidRDefault="00CD44D1">
      <w:pPr>
        <w:pStyle w:val="Nagwek1"/>
        <w:rPr>
          <w:rFonts w:asciiTheme="minorHAnsi" w:hAnsiTheme="minorHAnsi" w:cstheme="minorHAnsi"/>
        </w:rPr>
      </w:pPr>
      <w:r w:rsidRPr="007C351B">
        <w:rPr>
          <w:rFonts w:asciiTheme="minorHAnsi" w:hAnsiTheme="minorHAnsi" w:cstheme="minorHAnsi"/>
        </w:rPr>
        <w:t>6.</w:t>
      </w:r>
      <w:r w:rsidRPr="007C351B">
        <w:rPr>
          <w:rFonts w:asciiTheme="minorHAnsi" w:hAnsiTheme="minorHAnsi" w:cstheme="minorHAnsi"/>
        </w:rPr>
        <w:tab/>
        <w:t>KONTROLA JAKOŚCI ROBÓT</w:t>
      </w:r>
    </w:p>
    <w:p w:rsidR="00CD44D1" w:rsidRPr="007C351B" w:rsidRDefault="00CD44D1">
      <w:pPr>
        <w:pStyle w:val="Nagwek2"/>
        <w:rPr>
          <w:rFonts w:asciiTheme="minorHAnsi" w:hAnsiTheme="minorHAnsi" w:cstheme="minorHAnsi"/>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6.1.</w:t>
      </w:r>
      <w:r w:rsidRPr="007C351B">
        <w:rPr>
          <w:rFonts w:asciiTheme="minorHAnsi" w:hAnsiTheme="minorHAnsi" w:cstheme="minorHAnsi"/>
        </w:rPr>
        <w:tab/>
        <w:t>Ogólne zasady kontroli jakości robót</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 xml:space="preserve">Ogólne zasady kontroli jakości robót podano w </w:t>
      </w:r>
      <w:r w:rsidR="00F45F37" w:rsidRPr="007C351B">
        <w:rPr>
          <w:rFonts w:asciiTheme="minorHAnsi" w:hAnsiTheme="minorHAnsi" w:cstheme="minorHAnsi"/>
          <w:sz w:val="24"/>
        </w:rPr>
        <w:t>ST</w:t>
      </w:r>
      <w:r w:rsidR="009115CD" w:rsidRPr="007C351B">
        <w:rPr>
          <w:rFonts w:asciiTheme="minorHAnsi" w:hAnsiTheme="minorHAnsi" w:cstheme="minorHAnsi"/>
          <w:sz w:val="24"/>
        </w:rPr>
        <w:t xml:space="preserve"> </w:t>
      </w:r>
      <w:r w:rsidRPr="007C351B">
        <w:rPr>
          <w:rFonts w:asciiTheme="minorHAnsi" w:hAnsiTheme="minorHAnsi" w:cstheme="minorHAnsi"/>
          <w:sz w:val="24"/>
        </w:rPr>
        <w:t>DM-00.00.00 "Wymagania Ogólne" punkt 5.</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2"/>
        <w:rPr>
          <w:rFonts w:asciiTheme="minorHAnsi" w:hAnsiTheme="minorHAnsi" w:cstheme="minorHAnsi"/>
        </w:rPr>
      </w:pPr>
      <w:r w:rsidRPr="007C351B">
        <w:rPr>
          <w:rFonts w:asciiTheme="minorHAnsi" w:hAnsiTheme="minorHAnsi" w:cstheme="minorHAnsi"/>
        </w:rPr>
        <w:t>6.2.</w:t>
      </w:r>
      <w:r w:rsidRPr="007C351B">
        <w:rPr>
          <w:rFonts w:asciiTheme="minorHAnsi" w:hAnsiTheme="minorHAnsi" w:cstheme="minorHAnsi"/>
        </w:rPr>
        <w:tab/>
        <w:t>Badania materiałów do wykonania fundamentów betonowych</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2"/>
        <w:numPr>
          <w:ilvl w:val="1"/>
          <w:numId w:val="8"/>
        </w:numPr>
        <w:rPr>
          <w:rFonts w:asciiTheme="minorHAnsi" w:hAnsiTheme="minorHAnsi" w:cstheme="minorHAnsi"/>
        </w:rPr>
      </w:pPr>
      <w:r w:rsidRPr="007C351B">
        <w:rPr>
          <w:rFonts w:asciiTheme="minorHAnsi" w:hAnsiTheme="minorHAnsi" w:cstheme="minorHAnsi"/>
        </w:rPr>
        <w:t>Badania w czasie wykonywania robót</w:t>
      </w:r>
    </w:p>
    <w:p w:rsidR="00CD44D1" w:rsidRPr="007C351B" w:rsidRDefault="00CD44D1">
      <w:pPr>
        <w:rPr>
          <w:rFonts w:asciiTheme="minorHAnsi" w:hAnsiTheme="minorHAnsi" w:cstheme="minorHAnsi"/>
        </w:rPr>
      </w:pPr>
    </w:p>
    <w:p w:rsidR="00CD44D1" w:rsidRPr="007C351B" w:rsidRDefault="00CD44D1">
      <w:pPr>
        <w:pStyle w:val="Nagwek3"/>
        <w:rPr>
          <w:rFonts w:asciiTheme="minorHAnsi" w:hAnsiTheme="minorHAnsi" w:cstheme="minorHAnsi"/>
        </w:rPr>
      </w:pPr>
      <w:r w:rsidRPr="007C351B">
        <w:rPr>
          <w:rFonts w:asciiTheme="minorHAnsi" w:hAnsiTheme="minorHAnsi" w:cstheme="minorHAnsi"/>
        </w:rPr>
        <w:t>6.3.1.</w:t>
      </w:r>
      <w:r w:rsidRPr="007C351B">
        <w:rPr>
          <w:rFonts w:asciiTheme="minorHAnsi" w:hAnsiTheme="minorHAnsi" w:cstheme="minorHAnsi"/>
        </w:rPr>
        <w:tab/>
        <w:t>Badania materiałów w czasie wykonywania robót</w:t>
      </w: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Wszystkie materiały dostarczone na budowę z aprobatą techniczną i z deklaracją zgodności wydaną przez producenta powinny być sprawdzone w zakresie powierzchni wyrobu i jego wymiarów. Częstotliwość badań i ocena ich wyników powinna być zgodna z ustaleniami tablicy 4.</w:t>
      </w:r>
    </w:p>
    <w:p w:rsidR="00CD44D1" w:rsidRPr="007C351B" w:rsidRDefault="00CD44D1">
      <w:pPr>
        <w:jc w:val="center"/>
        <w:rPr>
          <w:rFonts w:asciiTheme="minorHAnsi" w:hAnsiTheme="minorHAnsi" w:cstheme="minorHAnsi"/>
        </w:rPr>
      </w:pPr>
    </w:p>
    <w:p w:rsidR="00CD44D1" w:rsidRPr="007C351B" w:rsidRDefault="00CD44D1">
      <w:pPr>
        <w:jc w:val="center"/>
        <w:rPr>
          <w:rFonts w:asciiTheme="minorHAnsi" w:hAnsiTheme="minorHAnsi" w:cstheme="minorHAnsi"/>
        </w:rPr>
      </w:pPr>
      <w:r w:rsidRPr="007C351B">
        <w:rPr>
          <w:rFonts w:asciiTheme="minorHAnsi" w:hAnsiTheme="minorHAnsi" w:cstheme="minorHAnsi"/>
        </w:rPr>
        <w:t>Tablica 4. Częstotliwość badań przy sprawdzeniu powierzchni i wymiarów wyrobów dostarczonych przez producentów</w:t>
      </w:r>
    </w:p>
    <w:p w:rsidR="00CD44D1" w:rsidRPr="007C351B" w:rsidRDefault="00CD44D1">
      <w:pPr>
        <w:jc w:val="center"/>
        <w:rPr>
          <w:rFonts w:asciiTheme="minorHAnsi" w:hAnsiTheme="minorHAnsi" w:cstheme="minorHAnsi"/>
        </w:rPr>
      </w:pP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9"/>
        <w:gridCol w:w="1878"/>
        <w:gridCol w:w="3934"/>
        <w:gridCol w:w="1768"/>
      </w:tblGrid>
      <w:tr w:rsidR="00CD44D1" w:rsidRPr="007C351B">
        <w:trPr>
          <w:jc w:val="center"/>
        </w:trPr>
        <w:tc>
          <w:tcPr>
            <w:tcW w:w="1559" w:type="dxa"/>
            <w:tcBorders>
              <w:top w:val="double" w:sz="4" w:space="0" w:color="auto"/>
              <w:left w:val="double" w:sz="4" w:space="0" w:color="auto"/>
              <w:bottom w:val="double" w:sz="4" w:space="0" w:color="auto"/>
            </w:tcBorders>
            <w:shd w:val="clear" w:color="auto" w:fill="FFFFFF"/>
            <w:vAlign w:val="center"/>
          </w:tcPr>
          <w:p w:rsidR="00CD44D1" w:rsidRPr="007C351B" w:rsidRDefault="00CD44D1">
            <w:pPr>
              <w:pStyle w:val="Zwykytekst"/>
              <w:jc w:val="center"/>
              <w:rPr>
                <w:rFonts w:asciiTheme="minorHAnsi" w:hAnsiTheme="minorHAnsi" w:cstheme="minorHAnsi"/>
                <w:bCs/>
              </w:rPr>
            </w:pPr>
            <w:r w:rsidRPr="007C351B">
              <w:rPr>
                <w:rFonts w:asciiTheme="minorHAnsi" w:hAnsiTheme="minorHAnsi" w:cstheme="minorHAnsi"/>
                <w:bCs/>
              </w:rPr>
              <w:t>Rodzaj badań</w:t>
            </w:r>
          </w:p>
        </w:tc>
        <w:tc>
          <w:tcPr>
            <w:tcW w:w="1878" w:type="dxa"/>
            <w:tcBorders>
              <w:top w:val="double" w:sz="4" w:space="0" w:color="auto"/>
              <w:bottom w:val="double" w:sz="4" w:space="0" w:color="auto"/>
            </w:tcBorders>
            <w:shd w:val="clear" w:color="auto" w:fill="FFFFFF"/>
            <w:vAlign w:val="center"/>
          </w:tcPr>
          <w:p w:rsidR="00CD44D1" w:rsidRPr="007C351B" w:rsidRDefault="00CD44D1">
            <w:pPr>
              <w:pStyle w:val="Zwykytekst"/>
              <w:jc w:val="center"/>
              <w:rPr>
                <w:rFonts w:asciiTheme="minorHAnsi" w:hAnsiTheme="minorHAnsi" w:cstheme="minorHAnsi"/>
                <w:bCs/>
              </w:rPr>
            </w:pPr>
            <w:r w:rsidRPr="007C351B">
              <w:rPr>
                <w:rFonts w:asciiTheme="minorHAnsi" w:hAnsiTheme="minorHAnsi" w:cstheme="minorHAnsi"/>
                <w:bCs/>
              </w:rPr>
              <w:t>Liczba badań</w:t>
            </w:r>
          </w:p>
        </w:tc>
        <w:tc>
          <w:tcPr>
            <w:tcW w:w="3934" w:type="dxa"/>
            <w:tcBorders>
              <w:top w:val="double" w:sz="4" w:space="0" w:color="auto"/>
              <w:bottom w:val="double" w:sz="4" w:space="0" w:color="auto"/>
            </w:tcBorders>
            <w:shd w:val="clear" w:color="auto" w:fill="FFFFFF"/>
            <w:vAlign w:val="center"/>
          </w:tcPr>
          <w:p w:rsidR="00CD44D1" w:rsidRPr="007C351B" w:rsidRDefault="00CD44D1">
            <w:pPr>
              <w:pStyle w:val="Zwykytekst"/>
              <w:jc w:val="center"/>
              <w:rPr>
                <w:rFonts w:asciiTheme="minorHAnsi" w:hAnsiTheme="minorHAnsi" w:cstheme="minorHAnsi"/>
                <w:bCs/>
              </w:rPr>
            </w:pPr>
            <w:r w:rsidRPr="007C351B">
              <w:rPr>
                <w:rFonts w:asciiTheme="minorHAnsi" w:hAnsiTheme="minorHAnsi" w:cstheme="minorHAnsi"/>
                <w:bCs/>
              </w:rPr>
              <w:t>Opis badań</w:t>
            </w:r>
          </w:p>
        </w:tc>
        <w:tc>
          <w:tcPr>
            <w:tcW w:w="1768" w:type="dxa"/>
            <w:tcBorders>
              <w:top w:val="double" w:sz="4" w:space="0" w:color="auto"/>
              <w:bottom w:val="double" w:sz="4" w:space="0" w:color="auto"/>
              <w:right w:val="double" w:sz="4" w:space="0" w:color="auto"/>
            </w:tcBorders>
            <w:shd w:val="clear" w:color="auto" w:fill="FFFFFF"/>
            <w:vAlign w:val="center"/>
          </w:tcPr>
          <w:p w:rsidR="00CD44D1" w:rsidRPr="007C351B" w:rsidRDefault="00CD44D1">
            <w:pPr>
              <w:pStyle w:val="Zwykytekst"/>
              <w:jc w:val="center"/>
              <w:rPr>
                <w:rFonts w:asciiTheme="minorHAnsi" w:hAnsiTheme="minorHAnsi" w:cstheme="minorHAnsi"/>
                <w:bCs/>
              </w:rPr>
            </w:pPr>
            <w:r w:rsidRPr="007C351B">
              <w:rPr>
                <w:rFonts w:asciiTheme="minorHAnsi" w:hAnsiTheme="minorHAnsi" w:cstheme="minorHAnsi"/>
                <w:bCs/>
              </w:rPr>
              <w:t>Ocena wyników badań</w:t>
            </w:r>
          </w:p>
        </w:tc>
      </w:tr>
      <w:tr w:rsidR="00CD44D1" w:rsidRPr="007C351B">
        <w:trPr>
          <w:cantSplit/>
          <w:jc w:val="center"/>
        </w:trPr>
        <w:tc>
          <w:tcPr>
            <w:tcW w:w="1559" w:type="dxa"/>
            <w:tcBorders>
              <w:top w:val="double" w:sz="4" w:space="0" w:color="auto"/>
              <w:left w:val="double" w:sz="4" w:space="0" w:color="auto"/>
            </w:tcBorders>
          </w:tcPr>
          <w:p w:rsidR="00CD44D1" w:rsidRPr="007C351B" w:rsidRDefault="00CD44D1">
            <w:pPr>
              <w:pStyle w:val="Zwykytekst"/>
              <w:jc w:val="center"/>
              <w:rPr>
                <w:rFonts w:asciiTheme="minorHAnsi" w:hAnsiTheme="minorHAnsi" w:cstheme="minorHAnsi"/>
              </w:rPr>
            </w:pPr>
            <w:r w:rsidRPr="007C351B">
              <w:rPr>
                <w:rFonts w:asciiTheme="minorHAnsi" w:hAnsiTheme="minorHAnsi" w:cstheme="minorHAnsi"/>
              </w:rPr>
              <w:t>Sprawdzenie powierzchni</w:t>
            </w:r>
          </w:p>
        </w:tc>
        <w:tc>
          <w:tcPr>
            <w:tcW w:w="1878" w:type="dxa"/>
            <w:vMerge w:val="restart"/>
            <w:tcBorders>
              <w:top w:val="double" w:sz="4" w:space="0" w:color="auto"/>
            </w:tcBorders>
          </w:tcPr>
          <w:p w:rsidR="00CD44D1" w:rsidRPr="007C351B" w:rsidRDefault="00CD44D1">
            <w:pPr>
              <w:pStyle w:val="Zwykytekst"/>
              <w:jc w:val="center"/>
              <w:rPr>
                <w:rFonts w:asciiTheme="minorHAnsi" w:hAnsiTheme="minorHAnsi" w:cstheme="minorHAnsi"/>
              </w:rPr>
            </w:pPr>
            <w:r w:rsidRPr="007C351B">
              <w:rPr>
                <w:rFonts w:asciiTheme="minorHAnsi" w:hAnsiTheme="minorHAnsi" w:cstheme="minorHAnsi"/>
              </w:rPr>
              <w:t>Od 5 do 10 badań z wybranych losowo elementów w każdej dostarczonej partii wyrobów liczącej do 1000 elementów</w:t>
            </w:r>
          </w:p>
        </w:tc>
        <w:tc>
          <w:tcPr>
            <w:tcW w:w="3934" w:type="dxa"/>
            <w:tcBorders>
              <w:top w:val="double" w:sz="4" w:space="0" w:color="auto"/>
            </w:tcBorders>
          </w:tcPr>
          <w:p w:rsidR="00CD44D1" w:rsidRPr="007C351B" w:rsidRDefault="00CD44D1">
            <w:pPr>
              <w:pStyle w:val="Zwykytekst"/>
              <w:jc w:val="both"/>
              <w:rPr>
                <w:rFonts w:asciiTheme="minorHAnsi" w:hAnsiTheme="minorHAnsi" w:cstheme="minorHAnsi"/>
              </w:rPr>
            </w:pPr>
            <w:r w:rsidRPr="007C351B">
              <w:rPr>
                <w:rFonts w:asciiTheme="minorHAnsi" w:hAnsiTheme="minorHAnsi" w:cstheme="minorHAnsi"/>
              </w:rPr>
              <w:t>Powierzchnię zbadać nieuzbrojonym okiem. Do ew. sprawdzenia głębokości wad użyć dostępnych narzędzi (np. liniałów z czujnikiem, suwmiarek, mikrometrów itp.)</w:t>
            </w:r>
          </w:p>
        </w:tc>
        <w:tc>
          <w:tcPr>
            <w:tcW w:w="1768" w:type="dxa"/>
            <w:vMerge w:val="restart"/>
            <w:tcBorders>
              <w:top w:val="double" w:sz="4" w:space="0" w:color="auto"/>
              <w:right w:val="double" w:sz="4" w:space="0" w:color="auto"/>
            </w:tcBorders>
          </w:tcPr>
          <w:p w:rsidR="00CD44D1" w:rsidRPr="007C351B" w:rsidRDefault="00CD44D1">
            <w:pPr>
              <w:pStyle w:val="Zwykytekst"/>
              <w:jc w:val="center"/>
              <w:rPr>
                <w:rFonts w:asciiTheme="minorHAnsi" w:hAnsiTheme="minorHAnsi" w:cstheme="minorHAnsi"/>
              </w:rPr>
            </w:pPr>
            <w:r w:rsidRPr="007C351B">
              <w:rPr>
                <w:rFonts w:asciiTheme="minorHAnsi" w:hAnsiTheme="minorHAnsi" w:cstheme="minorHAnsi"/>
              </w:rPr>
              <w:t>Wyniki badań powinny być zgodne z wymaganiami punku 2</w:t>
            </w:r>
          </w:p>
        </w:tc>
      </w:tr>
      <w:tr w:rsidR="00CD44D1" w:rsidRPr="007C351B">
        <w:trPr>
          <w:cantSplit/>
          <w:jc w:val="center"/>
        </w:trPr>
        <w:tc>
          <w:tcPr>
            <w:tcW w:w="1559" w:type="dxa"/>
            <w:tcBorders>
              <w:left w:val="double" w:sz="4" w:space="0" w:color="auto"/>
              <w:bottom w:val="double" w:sz="4" w:space="0" w:color="auto"/>
            </w:tcBorders>
          </w:tcPr>
          <w:p w:rsidR="00CD44D1" w:rsidRPr="007C351B" w:rsidRDefault="00CD44D1">
            <w:pPr>
              <w:pStyle w:val="Zwykytekst"/>
              <w:jc w:val="center"/>
              <w:rPr>
                <w:rFonts w:asciiTheme="minorHAnsi" w:hAnsiTheme="minorHAnsi" w:cstheme="minorHAnsi"/>
              </w:rPr>
            </w:pPr>
            <w:r w:rsidRPr="007C351B">
              <w:rPr>
                <w:rFonts w:asciiTheme="minorHAnsi" w:hAnsiTheme="minorHAnsi" w:cstheme="minorHAnsi"/>
              </w:rPr>
              <w:t>Sprawdzenie wymiarów</w:t>
            </w:r>
          </w:p>
        </w:tc>
        <w:tc>
          <w:tcPr>
            <w:tcW w:w="1878" w:type="dxa"/>
            <w:vMerge/>
            <w:tcBorders>
              <w:bottom w:val="double" w:sz="4" w:space="0" w:color="auto"/>
            </w:tcBorders>
          </w:tcPr>
          <w:p w:rsidR="00CD44D1" w:rsidRPr="007C351B" w:rsidRDefault="00CD44D1">
            <w:pPr>
              <w:pStyle w:val="Zwykytekst"/>
              <w:jc w:val="both"/>
              <w:rPr>
                <w:rFonts w:asciiTheme="minorHAnsi" w:hAnsiTheme="minorHAnsi" w:cstheme="minorHAnsi"/>
              </w:rPr>
            </w:pPr>
          </w:p>
        </w:tc>
        <w:tc>
          <w:tcPr>
            <w:tcW w:w="3934" w:type="dxa"/>
            <w:tcBorders>
              <w:bottom w:val="double" w:sz="4" w:space="0" w:color="auto"/>
            </w:tcBorders>
          </w:tcPr>
          <w:p w:rsidR="00CD44D1" w:rsidRPr="007C351B" w:rsidRDefault="00CD44D1">
            <w:pPr>
              <w:pStyle w:val="Zwykytekst"/>
              <w:jc w:val="both"/>
              <w:rPr>
                <w:rFonts w:asciiTheme="minorHAnsi" w:hAnsiTheme="minorHAnsi" w:cstheme="minorHAnsi"/>
              </w:rPr>
            </w:pPr>
            <w:r w:rsidRPr="007C351B">
              <w:rPr>
                <w:rFonts w:asciiTheme="minorHAnsi" w:hAnsiTheme="minorHAnsi" w:cstheme="minorHAnsi"/>
              </w:rPr>
              <w:t>Przeprowadzić uniwersalnymi przyrządami pomiarowymi lub sprawdzianami (np. liniałami, przymiarami itp.)</w:t>
            </w:r>
          </w:p>
        </w:tc>
        <w:tc>
          <w:tcPr>
            <w:tcW w:w="1768" w:type="dxa"/>
            <w:vMerge/>
            <w:tcBorders>
              <w:bottom w:val="double" w:sz="4" w:space="0" w:color="auto"/>
              <w:right w:val="double" w:sz="4" w:space="0" w:color="auto"/>
            </w:tcBorders>
          </w:tcPr>
          <w:p w:rsidR="00CD44D1" w:rsidRPr="007C351B" w:rsidRDefault="00CD44D1">
            <w:pPr>
              <w:pStyle w:val="Zwykytekst"/>
              <w:jc w:val="center"/>
              <w:rPr>
                <w:rFonts w:asciiTheme="minorHAnsi" w:hAnsiTheme="minorHAnsi" w:cstheme="minorHAnsi"/>
              </w:rPr>
            </w:pPr>
          </w:p>
        </w:tc>
      </w:tr>
    </w:tbl>
    <w:p w:rsidR="00CD44D1" w:rsidRPr="007C351B" w:rsidRDefault="00CD44D1">
      <w:pPr>
        <w:pStyle w:val="Zwykytekst"/>
        <w:jc w:val="both"/>
        <w:rPr>
          <w:rFonts w:asciiTheme="minorHAnsi" w:hAnsiTheme="minorHAnsi" w:cstheme="minorHAnsi"/>
          <w:sz w:val="24"/>
        </w:rPr>
      </w:pP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W przypadkach budzących wątpliwości  można zlecić  uprawnionej jednostce zbadanie właściwości dostarczonych wyrobów i materiałów w zakresie wymagań podanych w punkcie 2.</w:t>
      </w:r>
    </w:p>
    <w:p w:rsidR="00CD44D1" w:rsidRPr="007C351B" w:rsidRDefault="00CD44D1">
      <w:pPr>
        <w:pStyle w:val="Zwykytekst"/>
        <w:jc w:val="both"/>
        <w:rPr>
          <w:rFonts w:asciiTheme="minorHAnsi" w:hAnsiTheme="minorHAnsi" w:cstheme="minorHAnsi"/>
          <w:sz w:val="24"/>
        </w:rPr>
      </w:pPr>
    </w:p>
    <w:p w:rsidR="00CD44D1" w:rsidRPr="007C351B" w:rsidRDefault="00CD44D1">
      <w:pPr>
        <w:pStyle w:val="Nagwek3"/>
        <w:rPr>
          <w:rFonts w:asciiTheme="minorHAnsi" w:hAnsiTheme="minorHAnsi" w:cstheme="minorHAnsi"/>
          <w:sz w:val="24"/>
          <w:szCs w:val="24"/>
        </w:rPr>
      </w:pPr>
      <w:r w:rsidRPr="007C351B">
        <w:rPr>
          <w:rFonts w:asciiTheme="minorHAnsi" w:hAnsiTheme="minorHAnsi" w:cstheme="minorHAnsi"/>
          <w:sz w:val="24"/>
          <w:szCs w:val="24"/>
        </w:rPr>
        <w:t>6.3.2.</w:t>
      </w:r>
      <w:r w:rsidRPr="007C351B">
        <w:rPr>
          <w:rFonts w:asciiTheme="minorHAnsi" w:hAnsiTheme="minorHAnsi" w:cstheme="minorHAnsi"/>
          <w:sz w:val="24"/>
          <w:szCs w:val="24"/>
        </w:rPr>
        <w:tab/>
        <w:t>Kontrola w czasie wykonywania robót</w:t>
      </w:r>
    </w:p>
    <w:p w:rsidR="00CD44D1" w:rsidRPr="007C351B" w:rsidRDefault="00CD44D1">
      <w:pPr>
        <w:pStyle w:val="Zwykytekst"/>
        <w:jc w:val="both"/>
        <w:rPr>
          <w:rFonts w:asciiTheme="minorHAnsi" w:hAnsiTheme="minorHAnsi" w:cstheme="minorHAnsi"/>
          <w:sz w:val="24"/>
        </w:rPr>
      </w:pPr>
      <w:r w:rsidRPr="007C351B">
        <w:rPr>
          <w:rFonts w:asciiTheme="minorHAnsi" w:hAnsiTheme="minorHAnsi" w:cstheme="minorHAnsi"/>
          <w:sz w:val="24"/>
        </w:rPr>
        <w:t>W czasie wykonywania robót należy sprawdzać:</w:t>
      </w:r>
    </w:p>
    <w:p w:rsidR="00CD44D1" w:rsidRPr="007C351B" w:rsidRDefault="00CD44D1">
      <w:pPr>
        <w:pStyle w:val="Zwykytekst"/>
        <w:numPr>
          <w:ilvl w:val="0"/>
          <w:numId w:val="9"/>
        </w:numPr>
        <w:jc w:val="both"/>
        <w:rPr>
          <w:rFonts w:asciiTheme="minorHAnsi" w:hAnsiTheme="minorHAnsi" w:cstheme="minorHAnsi"/>
          <w:sz w:val="24"/>
        </w:rPr>
      </w:pPr>
      <w:r w:rsidRPr="007C351B">
        <w:rPr>
          <w:rFonts w:asciiTheme="minorHAnsi" w:hAnsiTheme="minorHAnsi" w:cstheme="minorHAnsi"/>
          <w:sz w:val="24"/>
        </w:rPr>
        <w:t xml:space="preserve">zgodność wykonania znaków pionowych z </w:t>
      </w:r>
      <w:r w:rsidR="00CF18C7" w:rsidRPr="007C351B">
        <w:rPr>
          <w:rFonts w:asciiTheme="minorHAnsi" w:hAnsiTheme="minorHAnsi" w:cstheme="minorHAnsi"/>
          <w:sz w:val="22"/>
          <w:szCs w:val="22"/>
        </w:rPr>
        <w:t xml:space="preserve">Dokumentacją Projektową </w:t>
      </w:r>
      <w:r w:rsidRPr="007C351B">
        <w:rPr>
          <w:rFonts w:asciiTheme="minorHAnsi" w:hAnsiTheme="minorHAnsi" w:cstheme="minorHAnsi"/>
          <w:sz w:val="24"/>
        </w:rPr>
        <w:t xml:space="preserve"> (lokalizacja, wymiary, wysokość zamocowania znaków),</w:t>
      </w:r>
    </w:p>
    <w:p w:rsidR="00CD44D1" w:rsidRPr="007C351B" w:rsidRDefault="00CD44D1">
      <w:pPr>
        <w:pStyle w:val="Zwykytekst"/>
        <w:numPr>
          <w:ilvl w:val="0"/>
          <w:numId w:val="9"/>
        </w:numPr>
        <w:jc w:val="both"/>
        <w:rPr>
          <w:rFonts w:asciiTheme="minorHAnsi" w:hAnsiTheme="minorHAnsi" w:cstheme="minorHAnsi"/>
          <w:sz w:val="24"/>
        </w:rPr>
      </w:pPr>
      <w:r w:rsidRPr="007C351B">
        <w:rPr>
          <w:rFonts w:asciiTheme="minorHAnsi" w:hAnsiTheme="minorHAnsi" w:cstheme="minorHAnsi"/>
          <w:sz w:val="24"/>
        </w:rPr>
        <w:lastRenderedPageBreak/>
        <w:t>zachowanie dopuszczalnych odchyłek wymiarów, zgodnie z punktem 2 i 5,</w:t>
      </w:r>
    </w:p>
    <w:p w:rsidR="00CD44D1" w:rsidRPr="007C351B" w:rsidRDefault="00CD44D1">
      <w:pPr>
        <w:pStyle w:val="Zwykytekst"/>
        <w:numPr>
          <w:ilvl w:val="0"/>
          <w:numId w:val="9"/>
        </w:numPr>
        <w:jc w:val="both"/>
        <w:rPr>
          <w:rFonts w:asciiTheme="minorHAnsi" w:hAnsiTheme="minorHAnsi" w:cstheme="minorHAnsi"/>
          <w:sz w:val="24"/>
        </w:rPr>
      </w:pPr>
      <w:r w:rsidRPr="007C351B">
        <w:rPr>
          <w:rFonts w:asciiTheme="minorHAnsi" w:hAnsiTheme="minorHAnsi" w:cstheme="minorHAnsi"/>
          <w:sz w:val="24"/>
        </w:rPr>
        <w:t>prawidłowość wykonania wykopów pod konstrukcje wsporcze, zgodnie z punktem 5.3,</w:t>
      </w:r>
    </w:p>
    <w:p w:rsidR="00CD44D1" w:rsidRPr="007C351B" w:rsidRDefault="00CD44D1">
      <w:pPr>
        <w:pStyle w:val="Zwykytekst"/>
        <w:numPr>
          <w:ilvl w:val="0"/>
          <w:numId w:val="9"/>
        </w:numPr>
        <w:jc w:val="both"/>
        <w:rPr>
          <w:rFonts w:asciiTheme="minorHAnsi" w:hAnsiTheme="minorHAnsi" w:cstheme="minorHAnsi"/>
          <w:sz w:val="24"/>
        </w:rPr>
      </w:pPr>
      <w:r w:rsidRPr="007C351B">
        <w:rPr>
          <w:rFonts w:asciiTheme="minorHAnsi" w:hAnsiTheme="minorHAnsi" w:cstheme="minorHAnsi"/>
          <w:sz w:val="24"/>
        </w:rPr>
        <w:t>poprawność wykonania fundamentów pod słupki zgodnie z punktem 5.3,</w:t>
      </w:r>
    </w:p>
    <w:p w:rsidR="00CD44D1" w:rsidRPr="007C351B" w:rsidRDefault="00CD44D1">
      <w:pPr>
        <w:pStyle w:val="Zwykytekst"/>
        <w:numPr>
          <w:ilvl w:val="0"/>
          <w:numId w:val="9"/>
        </w:numPr>
        <w:jc w:val="both"/>
        <w:rPr>
          <w:rFonts w:asciiTheme="minorHAnsi" w:hAnsiTheme="minorHAnsi" w:cstheme="minorHAnsi"/>
          <w:sz w:val="24"/>
        </w:rPr>
      </w:pPr>
      <w:r w:rsidRPr="007C351B">
        <w:rPr>
          <w:rFonts w:asciiTheme="minorHAnsi" w:hAnsiTheme="minorHAnsi" w:cstheme="minorHAnsi"/>
          <w:sz w:val="24"/>
        </w:rPr>
        <w:t>poprawność ustawienia słupków i konstrukcji wsporczych, zgodnie z punktem 5.4.</w:t>
      </w:r>
    </w:p>
    <w:p w:rsidR="00CD44D1" w:rsidRPr="007C351B" w:rsidRDefault="00CD44D1">
      <w:pPr>
        <w:pStyle w:val="Zwykytekst"/>
        <w:numPr>
          <w:ilvl w:val="0"/>
          <w:numId w:val="9"/>
        </w:numPr>
        <w:jc w:val="both"/>
        <w:rPr>
          <w:rFonts w:asciiTheme="minorHAnsi" w:hAnsiTheme="minorHAnsi" w:cstheme="minorHAnsi"/>
          <w:sz w:val="24"/>
        </w:rPr>
      </w:pPr>
      <w:r w:rsidRPr="007C351B">
        <w:rPr>
          <w:rFonts w:asciiTheme="minorHAnsi" w:hAnsiTheme="minorHAnsi" w:cstheme="minorHAnsi"/>
          <w:sz w:val="24"/>
        </w:rPr>
        <w:t>zgodność i grubość blachy ze</w:t>
      </w:r>
      <w:r w:rsidR="001C0745" w:rsidRPr="007C351B">
        <w:rPr>
          <w:rFonts w:asciiTheme="minorHAnsi" w:hAnsiTheme="minorHAnsi" w:cstheme="minorHAnsi"/>
          <w:sz w:val="24"/>
        </w:rPr>
        <w:t xml:space="preserve"> </w:t>
      </w:r>
      <w:r w:rsidR="00F45F37" w:rsidRPr="007C351B">
        <w:rPr>
          <w:rFonts w:asciiTheme="minorHAnsi" w:hAnsiTheme="minorHAnsi" w:cstheme="minorHAnsi"/>
          <w:sz w:val="24"/>
        </w:rPr>
        <w:t>ST</w:t>
      </w:r>
      <w:r w:rsidRPr="007C351B">
        <w:rPr>
          <w:rFonts w:asciiTheme="minorHAnsi" w:hAnsiTheme="minorHAnsi" w:cstheme="minorHAnsi"/>
          <w:sz w:val="24"/>
        </w:rPr>
        <w:t>,</w:t>
      </w:r>
    </w:p>
    <w:p w:rsidR="00CD44D1" w:rsidRPr="007C351B" w:rsidRDefault="00CD44D1">
      <w:pPr>
        <w:rPr>
          <w:rFonts w:asciiTheme="minorHAnsi" w:hAnsiTheme="minorHAnsi" w:cstheme="minorHAnsi"/>
        </w:rPr>
      </w:pPr>
    </w:p>
    <w:p w:rsidR="00CD44D1" w:rsidRPr="007C351B" w:rsidRDefault="00CD44D1">
      <w:pPr>
        <w:rPr>
          <w:rFonts w:asciiTheme="minorHAnsi" w:hAnsiTheme="minorHAnsi" w:cstheme="minorHAnsi"/>
          <w:sz w:val="24"/>
        </w:rPr>
      </w:pPr>
    </w:p>
    <w:p w:rsidR="00A74D27" w:rsidRPr="007C351B" w:rsidRDefault="00A74D27" w:rsidP="00A74D27">
      <w:pPr>
        <w:keepNext/>
        <w:outlineLvl w:val="0"/>
        <w:rPr>
          <w:rFonts w:asciiTheme="minorHAnsi" w:hAnsiTheme="minorHAnsi" w:cstheme="minorHAnsi"/>
          <w:b/>
          <w:bCs/>
          <w:snapToGrid/>
          <w:color w:val="000000"/>
          <w:kern w:val="32"/>
        </w:rPr>
      </w:pPr>
      <w:r w:rsidRPr="007C351B">
        <w:rPr>
          <w:rFonts w:asciiTheme="minorHAnsi" w:hAnsiTheme="minorHAnsi" w:cstheme="minorHAnsi"/>
          <w:b/>
          <w:bCs/>
          <w:color w:val="000000"/>
          <w:kern w:val="32"/>
        </w:rPr>
        <w:t xml:space="preserve">7. </w:t>
      </w:r>
      <w:r w:rsidRPr="007C351B">
        <w:rPr>
          <w:rFonts w:asciiTheme="minorHAnsi" w:hAnsiTheme="minorHAnsi" w:cstheme="minorHAnsi"/>
          <w:b/>
          <w:bCs/>
          <w:color w:val="000000"/>
          <w:kern w:val="32"/>
        </w:rPr>
        <w:tab/>
        <w:t>OBMIAR ROBÓT</w:t>
      </w:r>
    </w:p>
    <w:p w:rsidR="00A74D27" w:rsidRPr="007C351B" w:rsidRDefault="00A74D27" w:rsidP="00A74D27">
      <w:pPr>
        <w:suppressAutoHyphens/>
        <w:rPr>
          <w:rFonts w:asciiTheme="minorHAnsi" w:hAnsiTheme="minorHAnsi" w:cstheme="minorHAnsi"/>
          <w:color w:val="000000"/>
        </w:rPr>
      </w:pPr>
      <w:r w:rsidRPr="007C351B">
        <w:rPr>
          <w:rFonts w:asciiTheme="minorHAnsi" w:hAnsiTheme="minorHAnsi" w:cstheme="minorHAnsi"/>
          <w:color w:val="000000"/>
        </w:rPr>
        <w:t xml:space="preserve">Ogólne wymagania dotyczące obmiaru robót podano w </w:t>
      </w:r>
      <w:r w:rsidR="00F45F37" w:rsidRPr="007C351B">
        <w:rPr>
          <w:rFonts w:asciiTheme="minorHAnsi" w:hAnsiTheme="minorHAnsi" w:cstheme="minorHAnsi"/>
          <w:color w:val="000000"/>
        </w:rPr>
        <w:t>ST</w:t>
      </w:r>
      <w:r w:rsidRPr="007C351B">
        <w:rPr>
          <w:rFonts w:asciiTheme="minorHAnsi" w:hAnsiTheme="minorHAnsi" w:cstheme="minorHAnsi"/>
          <w:color w:val="000000"/>
        </w:rPr>
        <w:t xml:space="preserve"> D-M-00.00.00 „Wymagania ogólne” punkt 7. </w:t>
      </w:r>
    </w:p>
    <w:p w:rsidR="00A74D27" w:rsidRPr="007C351B" w:rsidRDefault="00A74D27" w:rsidP="00A74D27">
      <w:pPr>
        <w:suppressAutoHyphens/>
        <w:rPr>
          <w:rFonts w:asciiTheme="minorHAnsi" w:hAnsiTheme="minorHAnsi" w:cstheme="minorHAnsi"/>
          <w:color w:val="000000"/>
        </w:rPr>
      </w:pPr>
    </w:p>
    <w:p w:rsidR="00A74D27" w:rsidRPr="007C351B" w:rsidRDefault="00A74D27" w:rsidP="00A74D27">
      <w:pPr>
        <w:ind w:right="-1"/>
        <w:rPr>
          <w:rFonts w:asciiTheme="minorHAnsi" w:hAnsiTheme="minorHAnsi" w:cstheme="minorHAnsi"/>
          <w:color w:val="000000"/>
        </w:rPr>
      </w:pPr>
    </w:p>
    <w:p w:rsidR="00A74D27" w:rsidRPr="007C351B" w:rsidRDefault="00A74D27" w:rsidP="00A74D27">
      <w:pPr>
        <w:keepNext/>
        <w:outlineLvl w:val="0"/>
        <w:rPr>
          <w:rFonts w:asciiTheme="minorHAnsi" w:hAnsiTheme="minorHAnsi" w:cstheme="minorHAnsi"/>
          <w:b/>
          <w:bCs/>
          <w:color w:val="000000"/>
          <w:kern w:val="32"/>
        </w:rPr>
      </w:pPr>
      <w:r w:rsidRPr="007C351B">
        <w:rPr>
          <w:rFonts w:asciiTheme="minorHAnsi" w:hAnsiTheme="minorHAnsi" w:cstheme="minorHAnsi"/>
          <w:b/>
          <w:bCs/>
          <w:color w:val="000000"/>
          <w:kern w:val="32"/>
        </w:rPr>
        <w:t xml:space="preserve">8. </w:t>
      </w:r>
      <w:r w:rsidRPr="007C351B">
        <w:rPr>
          <w:rFonts w:asciiTheme="minorHAnsi" w:hAnsiTheme="minorHAnsi" w:cstheme="minorHAnsi"/>
          <w:b/>
          <w:bCs/>
          <w:color w:val="000000"/>
          <w:kern w:val="32"/>
        </w:rPr>
        <w:tab/>
        <w:t>ODBIÓR ROBÓT</w:t>
      </w:r>
    </w:p>
    <w:p w:rsidR="00A74D27" w:rsidRPr="007C351B" w:rsidRDefault="00A74D27" w:rsidP="00A74D27">
      <w:pPr>
        <w:suppressAutoHyphens/>
        <w:rPr>
          <w:rFonts w:asciiTheme="minorHAnsi" w:hAnsiTheme="minorHAnsi" w:cstheme="minorHAnsi"/>
          <w:color w:val="000000"/>
        </w:rPr>
      </w:pPr>
      <w:r w:rsidRPr="007C351B">
        <w:rPr>
          <w:rFonts w:asciiTheme="minorHAnsi" w:hAnsiTheme="minorHAnsi" w:cstheme="minorHAnsi"/>
          <w:color w:val="000000"/>
        </w:rPr>
        <w:t xml:space="preserve">Ogólne wymagania dotyczące odbioru robót podano w </w:t>
      </w:r>
      <w:r w:rsidR="00F45F37" w:rsidRPr="007C351B">
        <w:rPr>
          <w:rFonts w:asciiTheme="minorHAnsi" w:hAnsiTheme="minorHAnsi" w:cstheme="minorHAnsi"/>
          <w:color w:val="000000"/>
        </w:rPr>
        <w:t>ST</w:t>
      </w:r>
      <w:r w:rsidRPr="007C351B">
        <w:rPr>
          <w:rFonts w:asciiTheme="minorHAnsi" w:hAnsiTheme="minorHAnsi" w:cstheme="minorHAnsi"/>
          <w:color w:val="000000"/>
        </w:rPr>
        <w:t xml:space="preserve"> D-M-00.00.00 „Wymagania ogólne” punkt 8. </w:t>
      </w:r>
    </w:p>
    <w:p w:rsidR="00A74D27" w:rsidRPr="007C351B" w:rsidRDefault="00A74D27" w:rsidP="00A74D27">
      <w:pPr>
        <w:ind w:right="-1"/>
        <w:rPr>
          <w:rFonts w:asciiTheme="minorHAnsi" w:hAnsiTheme="minorHAnsi" w:cstheme="minorHAnsi"/>
          <w:color w:val="000000"/>
        </w:rPr>
      </w:pPr>
      <w:r w:rsidRPr="007C351B">
        <w:rPr>
          <w:rFonts w:asciiTheme="minorHAnsi" w:hAnsiTheme="minorHAnsi" w:cstheme="minorHAnsi"/>
          <w:color w:val="000000"/>
        </w:rPr>
        <w:t xml:space="preserve">Roboty uznaje się za zgodne z Dokumentacją Projektową, </w:t>
      </w:r>
      <w:r w:rsidR="00F45F37" w:rsidRPr="007C351B">
        <w:rPr>
          <w:rFonts w:asciiTheme="minorHAnsi" w:hAnsiTheme="minorHAnsi" w:cstheme="minorHAnsi"/>
          <w:color w:val="000000"/>
        </w:rPr>
        <w:t>ST</w:t>
      </w:r>
      <w:r w:rsidRPr="007C351B">
        <w:rPr>
          <w:rFonts w:asciiTheme="minorHAnsi" w:hAnsiTheme="minorHAnsi" w:cstheme="minorHAnsi"/>
          <w:color w:val="000000"/>
        </w:rPr>
        <w:t xml:space="preserve"> i wymaganiami Inżyniera, jeżeli wszystkie pomiary i badania podane w punkcie 6 dały pozytywne wyniki. </w:t>
      </w:r>
    </w:p>
    <w:p w:rsidR="00A74D27" w:rsidRPr="007C351B" w:rsidRDefault="00A74D27" w:rsidP="00A74D27">
      <w:pPr>
        <w:keepNext/>
        <w:outlineLvl w:val="0"/>
        <w:rPr>
          <w:rFonts w:asciiTheme="minorHAnsi" w:hAnsiTheme="minorHAnsi" w:cstheme="minorHAnsi"/>
          <w:b/>
          <w:bCs/>
          <w:color w:val="000000"/>
          <w:kern w:val="32"/>
        </w:rPr>
      </w:pPr>
      <w:r w:rsidRPr="007C351B">
        <w:rPr>
          <w:rFonts w:asciiTheme="minorHAnsi" w:hAnsiTheme="minorHAnsi" w:cstheme="minorHAnsi"/>
          <w:b/>
          <w:bCs/>
          <w:color w:val="000000"/>
          <w:kern w:val="32"/>
        </w:rPr>
        <w:t xml:space="preserve">9. </w:t>
      </w:r>
      <w:r w:rsidRPr="007C351B">
        <w:rPr>
          <w:rFonts w:asciiTheme="minorHAnsi" w:hAnsiTheme="minorHAnsi" w:cstheme="minorHAnsi"/>
          <w:b/>
          <w:bCs/>
          <w:color w:val="000000"/>
          <w:kern w:val="32"/>
        </w:rPr>
        <w:tab/>
        <w:t>PODSTAWA PŁATNOŚCI</w:t>
      </w:r>
    </w:p>
    <w:p w:rsidR="00A74D27" w:rsidRPr="007C351B" w:rsidRDefault="00A74D27" w:rsidP="00A74D27">
      <w:pPr>
        <w:rPr>
          <w:rFonts w:asciiTheme="minorHAnsi" w:hAnsiTheme="minorHAnsi" w:cstheme="minorHAnsi"/>
          <w:color w:val="000000"/>
        </w:rPr>
      </w:pPr>
      <w:r w:rsidRPr="007C351B">
        <w:rPr>
          <w:rFonts w:asciiTheme="minorHAnsi" w:hAnsiTheme="minorHAnsi" w:cstheme="minorHAnsi"/>
          <w:color w:val="000000"/>
        </w:rPr>
        <w:t xml:space="preserve">Ogólne ustalenia dotyczące podstawy płatności podano w </w:t>
      </w:r>
      <w:r w:rsidR="00F45F37" w:rsidRPr="007C351B">
        <w:rPr>
          <w:rFonts w:asciiTheme="minorHAnsi" w:hAnsiTheme="minorHAnsi" w:cstheme="minorHAnsi"/>
          <w:color w:val="000000"/>
        </w:rPr>
        <w:t>ST</w:t>
      </w:r>
      <w:r w:rsidRPr="007C351B">
        <w:rPr>
          <w:rFonts w:asciiTheme="minorHAnsi" w:hAnsiTheme="minorHAnsi" w:cstheme="minorHAnsi"/>
          <w:color w:val="000000"/>
        </w:rPr>
        <w:t xml:space="preserve"> D-M-OO.00.00 „Wymagania ogólne”, pkt. 9.</w:t>
      </w:r>
    </w:p>
    <w:p w:rsidR="00A74D27" w:rsidRPr="007C351B" w:rsidRDefault="00A74D27" w:rsidP="00A74D27">
      <w:pPr>
        <w:rPr>
          <w:rFonts w:asciiTheme="minorHAnsi" w:hAnsiTheme="minorHAnsi" w:cstheme="minorHAnsi"/>
          <w:color w:val="000000"/>
        </w:rPr>
      </w:pPr>
    </w:p>
    <w:p w:rsidR="00CD44D1" w:rsidRPr="007C351B" w:rsidRDefault="00CD44D1">
      <w:pPr>
        <w:pStyle w:val="Nagwek1"/>
        <w:rPr>
          <w:rFonts w:asciiTheme="minorHAnsi" w:hAnsiTheme="minorHAnsi" w:cstheme="minorHAnsi"/>
        </w:rPr>
      </w:pPr>
      <w:r w:rsidRPr="007C351B">
        <w:rPr>
          <w:rFonts w:asciiTheme="minorHAnsi" w:hAnsiTheme="minorHAnsi" w:cstheme="minorHAnsi"/>
        </w:rPr>
        <w:t xml:space="preserve">10. </w:t>
      </w:r>
      <w:r w:rsidRPr="007C351B">
        <w:rPr>
          <w:rFonts w:asciiTheme="minorHAnsi" w:hAnsiTheme="minorHAnsi" w:cstheme="minorHAnsi"/>
        </w:rPr>
        <w:tab/>
        <w:t>PRZEPISY ZWIĄZANE</w:t>
      </w:r>
    </w:p>
    <w:p w:rsidR="00CD44D1" w:rsidRPr="007C351B" w:rsidRDefault="00CD44D1">
      <w:pPr>
        <w:rPr>
          <w:rFonts w:asciiTheme="minorHAnsi" w:hAnsiTheme="minorHAnsi" w:cstheme="minorHAnsi"/>
        </w:rPr>
      </w:pP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1. PN-76/C-81521</w:t>
      </w:r>
      <w:r w:rsidRPr="007C351B">
        <w:rPr>
          <w:rFonts w:asciiTheme="minorHAnsi" w:hAnsiTheme="minorHAnsi" w:cstheme="minorHAnsi"/>
          <w:sz w:val="24"/>
        </w:rPr>
        <w:tab/>
        <w:t>Wyroby lakierowane - badanie odporności powłoki lakierowanej na działanie wody oraz oznaczanie nasiąkliwości</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 xml:space="preserve">2. PN-84/H-74220 </w:t>
      </w:r>
      <w:r w:rsidRPr="007C351B">
        <w:rPr>
          <w:rFonts w:asciiTheme="minorHAnsi" w:hAnsiTheme="minorHAnsi" w:cstheme="minorHAnsi"/>
          <w:sz w:val="24"/>
        </w:rPr>
        <w:tab/>
        <w:t>Rury stalowe bez szwu ciągnione i walcowane na zimno ogólnego zastosowania</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 xml:space="preserve">3. PN-88/C-81523 </w:t>
      </w:r>
      <w:r w:rsidRPr="007C351B">
        <w:rPr>
          <w:rFonts w:asciiTheme="minorHAnsi" w:hAnsiTheme="minorHAnsi" w:cstheme="minorHAnsi"/>
          <w:sz w:val="24"/>
        </w:rPr>
        <w:tab/>
        <w:t>Wyroby lakierowane - Oznaczanie odporności powłoki na działanie mgły solnej</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 xml:space="preserve">4. PN-89/H-84023.07 </w:t>
      </w:r>
      <w:r w:rsidRPr="007C351B">
        <w:rPr>
          <w:rFonts w:asciiTheme="minorHAnsi" w:hAnsiTheme="minorHAnsi" w:cstheme="minorHAnsi"/>
          <w:sz w:val="24"/>
        </w:rPr>
        <w:tab/>
        <w:t xml:space="preserve">Stal określonego zastosowania. Stal na rury. Gatunki </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 xml:space="preserve">5. PN-B-032 15: 1998 </w:t>
      </w:r>
      <w:r w:rsidRPr="007C351B">
        <w:rPr>
          <w:rFonts w:asciiTheme="minorHAnsi" w:hAnsiTheme="minorHAnsi" w:cstheme="minorHAnsi"/>
          <w:sz w:val="24"/>
        </w:rPr>
        <w:tab/>
        <w:t xml:space="preserve">Konstrukcje stalowe - Połączenia z fundamentami </w:t>
      </w:r>
      <w:r w:rsidRPr="007C351B">
        <w:rPr>
          <w:rFonts w:asciiTheme="minorHAnsi" w:hAnsiTheme="minorHAnsi" w:cstheme="minorHAnsi"/>
          <w:sz w:val="24"/>
        </w:rPr>
        <w:softHyphen/>
        <w:t>Projektowanie i wykonanie</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 xml:space="preserve">6. PN-B-03264:2002 </w:t>
      </w:r>
      <w:r w:rsidRPr="007C351B">
        <w:rPr>
          <w:rFonts w:asciiTheme="minorHAnsi" w:hAnsiTheme="minorHAnsi" w:cstheme="minorHAnsi"/>
          <w:sz w:val="24"/>
        </w:rPr>
        <w:tab/>
        <w:t>Konstrukcje betonowe, żelbetowe. Obliczenia statyczne i projektowanie</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 xml:space="preserve">7. PN-EN 206-1 :2003 </w:t>
      </w:r>
      <w:r w:rsidRPr="007C351B">
        <w:rPr>
          <w:rFonts w:asciiTheme="minorHAnsi" w:hAnsiTheme="minorHAnsi" w:cstheme="minorHAnsi"/>
          <w:sz w:val="24"/>
        </w:rPr>
        <w:tab/>
        <w:t>Beton Część l: Wymagania, właściwości, produkcja i zgodność</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8. PN-EN 485-4:1997</w:t>
      </w:r>
      <w:r w:rsidRPr="007C351B">
        <w:rPr>
          <w:rFonts w:asciiTheme="minorHAnsi" w:hAnsiTheme="minorHAnsi" w:cstheme="minorHAnsi"/>
          <w:sz w:val="24"/>
        </w:rPr>
        <w:tab/>
        <w:t>Aluminium i stopy aluminium - Blachy, taśmy i płyty. Tolerancje kształtu i wymiarów wyrobów walcowanych na zimno</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9. PN-EN ISO 1461:2000</w:t>
      </w:r>
      <w:r w:rsidRPr="007C351B">
        <w:rPr>
          <w:rFonts w:asciiTheme="minorHAnsi" w:hAnsiTheme="minorHAnsi" w:cstheme="minorHAnsi"/>
          <w:sz w:val="24"/>
        </w:rPr>
        <w:tab/>
        <w:t>Powłoki cynkowe nanoszone na stal metodą zanurzeniową (cynkowanie jednostkowe) - Wymaganie i badanie</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10. PN-EN 10240:2001</w:t>
      </w:r>
      <w:r w:rsidRPr="007C351B">
        <w:rPr>
          <w:rFonts w:asciiTheme="minorHAnsi" w:hAnsiTheme="minorHAnsi" w:cstheme="minorHAnsi"/>
          <w:sz w:val="24"/>
        </w:rPr>
        <w:tab/>
        <w:t>Wewnętrzne i/lub zewnętrzne powłoki ochronne rur stalowych. Wymagania dotyczące powłok wykonanych przez cynkowanie ogniowe w ocynkowniach zautomatyzowanych</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11. PN-EN 10327:2005(U)</w:t>
      </w:r>
      <w:r w:rsidRPr="007C351B">
        <w:rPr>
          <w:rFonts w:asciiTheme="minorHAnsi" w:hAnsiTheme="minorHAnsi" w:cstheme="minorHAnsi"/>
          <w:sz w:val="24"/>
        </w:rPr>
        <w:tab/>
        <w:t>Taśmy i blachy ze stali niskowęglowych powlekane ogniowo w sposób ciągły do obróbki plastycznej na zimno. Warunki techniczne dostawy</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12. PN-EN 12767:2003</w:t>
      </w:r>
      <w:r w:rsidRPr="007C351B">
        <w:rPr>
          <w:rFonts w:asciiTheme="minorHAnsi" w:hAnsiTheme="minorHAnsi" w:cstheme="minorHAnsi"/>
          <w:sz w:val="24"/>
        </w:rPr>
        <w:tab/>
        <w:t>Bierne bezpieczeństwo konstrukcji wsporczych dla urządzeń drogowych. Wymagania i metody badań</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lastRenderedPageBreak/>
        <w:t>13. PN-EN 12899-1:2005</w:t>
      </w:r>
      <w:r w:rsidRPr="007C351B">
        <w:rPr>
          <w:rFonts w:asciiTheme="minorHAnsi" w:hAnsiTheme="minorHAnsi" w:cstheme="minorHAnsi"/>
          <w:sz w:val="24"/>
        </w:rPr>
        <w:tab/>
        <w:t>Stałe, pionowe znaki drogowe - Część l: Znaki stałe</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 xml:space="preserve">14. </w:t>
      </w:r>
      <w:proofErr w:type="spellStart"/>
      <w:r w:rsidRPr="007C351B">
        <w:rPr>
          <w:rFonts w:asciiTheme="minorHAnsi" w:hAnsiTheme="minorHAnsi" w:cstheme="minorHAnsi"/>
          <w:sz w:val="24"/>
        </w:rPr>
        <w:t>prEN</w:t>
      </w:r>
      <w:proofErr w:type="spellEnd"/>
      <w:r w:rsidRPr="007C351B">
        <w:rPr>
          <w:rFonts w:asciiTheme="minorHAnsi" w:hAnsiTheme="minorHAnsi" w:cstheme="minorHAnsi"/>
          <w:sz w:val="24"/>
        </w:rPr>
        <w:t xml:space="preserve"> 12899-5</w:t>
      </w:r>
      <w:r w:rsidRPr="007C351B">
        <w:rPr>
          <w:rFonts w:asciiTheme="minorHAnsi" w:hAnsiTheme="minorHAnsi" w:cstheme="minorHAnsi"/>
          <w:sz w:val="24"/>
        </w:rPr>
        <w:tab/>
        <w:t>Stałe, pionowe znaki drogowe - Część 5 Badanie wstępne typu</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15. PN-H-74200: 1998</w:t>
      </w:r>
      <w:r w:rsidRPr="007C351B">
        <w:rPr>
          <w:rFonts w:asciiTheme="minorHAnsi" w:hAnsiTheme="minorHAnsi" w:cstheme="minorHAnsi"/>
          <w:sz w:val="24"/>
        </w:rPr>
        <w:tab/>
        <w:t>Rury stalowe ze szwem, gwintowane</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16. PN-EN ISO 2808:2000</w:t>
      </w:r>
      <w:r w:rsidRPr="007C351B">
        <w:rPr>
          <w:rFonts w:asciiTheme="minorHAnsi" w:hAnsiTheme="minorHAnsi" w:cstheme="minorHAnsi"/>
          <w:sz w:val="24"/>
        </w:rPr>
        <w:tab/>
        <w:t>Farby i lakiery - oznaczanie grubości powłoki</w:t>
      </w:r>
    </w:p>
    <w:p w:rsidR="00CD44D1" w:rsidRPr="007C351B" w:rsidRDefault="00CD44D1">
      <w:pPr>
        <w:pStyle w:val="Zwykytekst"/>
        <w:ind w:left="2552" w:hanging="2552"/>
        <w:jc w:val="both"/>
        <w:rPr>
          <w:rFonts w:asciiTheme="minorHAnsi" w:hAnsiTheme="minorHAnsi" w:cstheme="minorHAnsi"/>
          <w:sz w:val="24"/>
        </w:rPr>
      </w:pPr>
      <w:r w:rsidRPr="007C351B">
        <w:rPr>
          <w:rFonts w:asciiTheme="minorHAnsi" w:hAnsiTheme="minorHAnsi" w:cstheme="minorHAnsi"/>
          <w:sz w:val="24"/>
        </w:rPr>
        <w:t>17. PN-91/H-9301O</w:t>
      </w:r>
      <w:r w:rsidRPr="007C351B">
        <w:rPr>
          <w:rFonts w:asciiTheme="minorHAnsi" w:hAnsiTheme="minorHAnsi" w:cstheme="minorHAnsi"/>
          <w:sz w:val="24"/>
        </w:rPr>
        <w:tab/>
        <w:t>Stal. Kształtowniki walcowane na gorąco</w:t>
      </w:r>
    </w:p>
    <w:p w:rsidR="00CD44D1" w:rsidRPr="007C351B" w:rsidRDefault="00CD44D1">
      <w:pPr>
        <w:pStyle w:val="Zwykytekst"/>
        <w:ind w:left="426" w:hanging="426"/>
        <w:jc w:val="both"/>
        <w:rPr>
          <w:rFonts w:asciiTheme="minorHAnsi" w:hAnsiTheme="minorHAnsi" w:cstheme="minorHAnsi"/>
          <w:sz w:val="24"/>
        </w:rPr>
      </w:pPr>
      <w:r w:rsidRPr="007C351B">
        <w:rPr>
          <w:rFonts w:asciiTheme="minorHAnsi" w:hAnsiTheme="minorHAnsi" w:cstheme="minorHAnsi"/>
          <w:sz w:val="24"/>
        </w:rPr>
        <w:t>18.</w:t>
      </w:r>
      <w:r w:rsidRPr="007C351B">
        <w:rPr>
          <w:rFonts w:asciiTheme="minorHAnsi" w:hAnsiTheme="minorHAnsi" w:cstheme="minorHAnsi"/>
          <w:sz w:val="24"/>
        </w:rPr>
        <w:tab/>
        <w:t>Załączniki nr l i 4 do rozporządzenia Ministra Infrastruktury z dnia 3 lipca 2003 w sprawie szczegółowych warunków technicznych dla znaków i sygnałów drogowych oraz urządzeń bezpieczeństwa ruchu drogowego i warunków ich umieszczania na drogach (Dz. U. nr 220, poz. 2181)</w:t>
      </w:r>
    </w:p>
    <w:p w:rsidR="00CD44D1" w:rsidRPr="007C351B" w:rsidRDefault="00CD44D1">
      <w:pPr>
        <w:pStyle w:val="Zwykytekst"/>
        <w:ind w:left="426" w:hanging="426"/>
        <w:jc w:val="both"/>
        <w:rPr>
          <w:rFonts w:asciiTheme="minorHAnsi" w:hAnsiTheme="minorHAnsi" w:cstheme="minorHAnsi"/>
          <w:sz w:val="24"/>
        </w:rPr>
      </w:pPr>
      <w:r w:rsidRPr="007C351B">
        <w:rPr>
          <w:rFonts w:asciiTheme="minorHAnsi" w:hAnsiTheme="minorHAnsi" w:cstheme="minorHAnsi"/>
          <w:sz w:val="24"/>
        </w:rPr>
        <w:t>19.</w:t>
      </w:r>
      <w:r w:rsidRPr="007C351B">
        <w:rPr>
          <w:rFonts w:asciiTheme="minorHAnsi" w:hAnsiTheme="minorHAnsi" w:cstheme="minorHAnsi"/>
          <w:sz w:val="24"/>
        </w:rPr>
        <w:tab/>
        <w:t>Rozporządzenie Ministra Infrastruktury z dn. 11 sierpnia 2004 r. w sprawie sposobów deklarowania zgodności wyrobów budowlanych oraz sposobu znakowania ich znakiem budowlanym (Dz. U. nr 198, poz. 2041)</w:t>
      </w:r>
    </w:p>
    <w:p w:rsidR="00CD44D1" w:rsidRPr="007C351B" w:rsidRDefault="00CD44D1">
      <w:pPr>
        <w:pStyle w:val="Zwykytekst"/>
        <w:ind w:left="426" w:hanging="426"/>
        <w:jc w:val="both"/>
        <w:rPr>
          <w:rFonts w:asciiTheme="minorHAnsi" w:hAnsiTheme="minorHAnsi" w:cstheme="minorHAnsi"/>
          <w:sz w:val="24"/>
        </w:rPr>
      </w:pPr>
      <w:r w:rsidRPr="007C351B">
        <w:rPr>
          <w:rFonts w:asciiTheme="minorHAnsi" w:hAnsiTheme="minorHAnsi" w:cstheme="minorHAnsi"/>
          <w:sz w:val="24"/>
        </w:rPr>
        <w:t>20.</w:t>
      </w:r>
      <w:r w:rsidRPr="007C351B">
        <w:rPr>
          <w:rFonts w:asciiTheme="minorHAnsi" w:hAnsiTheme="minorHAnsi" w:cstheme="minorHAnsi"/>
          <w:sz w:val="24"/>
        </w:rPr>
        <w:tab/>
        <w:t>Rozporządzenie Ministra Infrastruktury z dn. 08 listopada 2004 r. w sprawie aprobat technicznych oraz jednostek organizacyjnych upoważnionych do ich wydawania (Dz. U. nr 249, poz. 2497)</w:t>
      </w:r>
    </w:p>
    <w:p w:rsidR="00CD44D1" w:rsidRPr="007C351B" w:rsidRDefault="00CD44D1">
      <w:pPr>
        <w:pStyle w:val="Zwykytekst"/>
        <w:ind w:left="426" w:hanging="426"/>
        <w:jc w:val="both"/>
        <w:rPr>
          <w:rFonts w:asciiTheme="minorHAnsi" w:hAnsiTheme="minorHAnsi" w:cstheme="minorHAnsi"/>
          <w:sz w:val="24"/>
        </w:rPr>
      </w:pPr>
      <w:r w:rsidRPr="007C351B">
        <w:rPr>
          <w:rFonts w:asciiTheme="minorHAnsi" w:hAnsiTheme="minorHAnsi" w:cstheme="minorHAnsi"/>
          <w:sz w:val="24"/>
        </w:rPr>
        <w:t>21.</w:t>
      </w:r>
      <w:r w:rsidRPr="007C351B">
        <w:rPr>
          <w:rFonts w:asciiTheme="minorHAnsi" w:hAnsiTheme="minorHAnsi" w:cstheme="minorHAnsi"/>
          <w:sz w:val="24"/>
        </w:rPr>
        <w:tab/>
      </w:r>
      <w:proofErr w:type="spellStart"/>
      <w:r w:rsidRPr="007C351B">
        <w:rPr>
          <w:rFonts w:asciiTheme="minorHAnsi" w:hAnsiTheme="minorHAnsi" w:cstheme="minorHAnsi"/>
          <w:sz w:val="24"/>
        </w:rPr>
        <w:t>ClE</w:t>
      </w:r>
      <w:proofErr w:type="spellEnd"/>
      <w:r w:rsidRPr="007C351B">
        <w:rPr>
          <w:rFonts w:asciiTheme="minorHAnsi" w:hAnsiTheme="minorHAnsi" w:cstheme="minorHAnsi"/>
          <w:sz w:val="24"/>
        </w:rPr>
        <w:t xml:space="preserve"> No. 39.2 1983 </w:t>
      </w:r>
      <w:proofErr w:type="spellStart"/>
      <w:r w:rsidRPr="007C351B">
        <w:rPr>
          <w:rFonts w:asciiTheme="minorHAnsi" w:hAnsiTheme="minorHAnsi" w:cstheme="minorHAnsi"/>
          <w:sz w:val="24"/>
        </w:rPr>
        <w:t>Recommendations</w:t>
      </w:r>
      <w:proofErr w:type="spellEnd"/>
      <w:r w:rsidRPr="007C351B">
        <w:rPr>
          <w:rFonts w:asciiTheme="minorHAnsi" w:hAnsiTheme="minorHAnsi" w:cstheme="minorHAnsi"/>
          <w:sz w:val="24"/>
        </w:rPr>
        <w:t xml:space="preserve"> for </w:t>
      </w:r>
      <w:proofErr w:type="spellStart"/>
      <w:r w:rsidRPr="007C351B">
        <w:rPr>
          <w:rFonts w:asciiTheme="minorHAnsi" w:hAnsiTheme="minorHAnsi" w:cstheme="minorHAnsi"/>
          <w:sz w:val="24"/>
        </w:rPr>
        <w:t>surface</w:t>
      </w:r>
      <w:proofErr w:type="spellEnd"/>
      <w:r w:rsidRPr="007C351B">
        <w:rPr>
          <w:rFonts w:asciiTheme="minorHAnsi" w:hAnsiTheme="minorHAnsi" w:cstheme="minorHAnsi"/>
          <w:sz w:val="24"/>
        </w:rPr>
        <w:t xml:space="preserve"> </w:t>
      </w:r>
      <w:proofErr w:type="spellStart"/>
      <w:r w:rsidRPr="007C351B">
        <w:rPr>
          <w:rFonts w:asciiTheme="minorHAnsi" w:hAnsiTheme="minorHAnsi" w:cstheme="minorHAnsi"/>
          <w:sz w:val="24"/>
        </w:rPr>
        <w:t>colors</w:t>
      </w:r>
      <w:proofErr w:type="spellEnd"/>
      <w:r w:rsidRPr="007C351B">
        <w:rPr>
          <w:rFonts w:asciiTheme="minorHAnsi" w:hAnsiTheme="minorHAnsi" w:cstheme="minorHAnsi"/>
          <w:sz w:val="24"/>
        </w:rPr>
        <w:t xml:space="preserve"> for </w:t>
      </w:r>
      <w:proofErr w:type="spellStart"/>
      <w:r w:rsidRPr="007C351B">
        <w:rPr>
          <w:rFonts w:asciiTheme="minorHAnsi" w:hAnsiTheme="minorHAnsi" w:cstheme="minorHAnsi"/>
          <w:sz w:val="24"/>
        </w:rPr>
        <w:t>visual</w:t>
      </w:r>
      <w:proofErr w:type="spellEnd"/>
      <w:r w:rsidRPr="007C351B">
        <w:rPr>
          <w:rFonts w:asciiTheme="minorHAnsi" w:hAnsiTheme="minorHAnsi" w:cstheme="minorHAnsi"/>
          <w:sz w:val="24"/>
        </w:rPr>
        <w:t xml:space="preserve"> </w:t>
      </w:r>
      <w:proofErr w:type="spellStart"/>
      <w:r w:rsidRPr="007C351B">
        <w:rPr>
          <w:rFonts w:asciiTheme="minorHAnsi" w:hAnsiTheme="minorHAnsi" w:cstheme="minorHAnsi"/>
          <w:sz w:val="24"/>
        </w:rPr>
        <w:t>signaling</w:t>
      </w:r>
      <w:proofErr w:type="spellEnd"/>
      <w:r w:rsidRPr="007C351B">
        <w:rPr>
          <w:rFonts w:asciiTheme="minorHAnsi" w:hAnsiTheme="minorHAnsi" w:cstheme="minorHAnsi"/>
          <w:sz w:val="24"/>
        </w:rPr>
        <w:t xml:space="preserve"> (Zalecenia dla barw powierzchniowych sygnalizacji wizualnej)</w:t>
      </w:r>
    </w:p>
    <w:p w:rsidR="00CD44D1" w:rsidRPr="007C351B" w:rsidRDefault="00CD44D1">
      <w:pPr>
        <w:pStyle w:val="Zwykytekst"/>
        <w:ind w:left="426" w:hanging="426"/>
        <w:jc w:val="both"/>
        <w:rPr>
          <w:rFonts w:asciiTheme="minorHAnsi" w:hAnsiTheme="minorHAnsi" w:cstheme="minorHAnsi"/>
          <w:sz w:val="24"/>
        </w:rPr>
      </w:pPr>
      <w:r w:rsidRPr="007C351B">
        <w:rPr>
          <w:rFonts w:asciiTheme="minorHAnsi" w:hAnsiTheme="minorHAnsi" w:cstheme="minorHAnsi"/>
          <w:sz w:val="24"/>
        </w:rPr>
        <w:t>22.</w:t>
      </w:r>
      <w:r w:rsidRPr="007C351B">
        <w:rPr>
          <w:rFonts w:asciiTheme="minorHAnsi" w:hAnsiTheme="minorHAnsi" w:cstheme="minorHAnsi"/>
          <w:sz w:val="24"/>
        </w:rPr>
        <w:tab/>
      </w:r>
      <w:proofErr w:type="spellStart"/>
      <w:r w:rsidRPr="007C351B">
        <w:rPr>
          <w:rFonts w:asciiTheme="minorHAnsi" w:hAnsiTheme="minorHAnsi" w:cstheme="minorHAnsi"/>
          <w:sz w:val="24"/>
        </w:rPr>
        <w:t>ClE</w:t>
      </w:r>
      <w:proofErr w:type="spellEnd"/>
      <w:r w:rsidRPr="007C351B">
        <w:rPr>
          <w:rFonts w:asciiTheme="minorHAnsi" w:hAnsiTheme="minorHAnsi" w:cstheme="minorHAnsi"/>
          <w:sz w:val="24"/>
        </w:rPr>
        <w:t xml:space="preserve"> No. 54 </w:t>
      </w:r>
      <w:proofErr w:type="spellStart"/>
      <w:r w:rsidRPr="007C351B">
        <w:rPr>
          <w:rFonts w:asciiTheme="minorHAnsi" w:hAnsiTheme="minorHAnsi" w:cstheme="minorHAnsi"/>
          <w:sz w:val="24"/>
        </w:rPr>
        <w:t>Retroreflection</w:t>
      </w:r>
      <w:proofErr w:type="spellEnd"/>
      <w:r w:rsidRPr="007C351B">
        <w:rPr>
          <w:rFonts w:asciiTheme="minorHAnsi" w:hAnsiTheme="minorHAnsi" w:cstheme="minorHAnsi"/>
          <w:sz w:val="24"/>
        </w:rPr>
        <w:t xml:space="preserve"> </w:t>
      </w:r>
      <w:proofErr w:type="spellStart"/>
      <w:r w:rsidRPr="007C351B">
        <w:rPr>
          <w:rFonts w:asciiTheme="minorHAnsi" w:hAnsiTheme="minorHAnsi" w:cstheme="minorHAnsi"/>
          <w:sz w:val="24"/>
        </w:rPr>
        <w:t>definition</w:t>
      </w:r>
      <w:proofErr w:type="spellEnd"/>
      <w:r w:rsidRPr="007C351B">
        <w:rPr>
          <w:rFonts w:asciiTheme="minorHAnsi" w:hAnsiTheme="minorHAnsi" w:cstheme="minorHAnsi"/>
          <w:sz w:val="24"/>
        </w:rPr>
        <w:t xml:space="preserve"> and </w:t>
      </w:r>
      <w:proofErr w:type="spellStart"/>
      <w:r w:rsidRPr="007C351B">
        <w:rPr>
          <w:rFonts w:asciiTheme="minorHAnsi" w:hAnsiTheme="minorHAnsi" w:cstheme="minorHAnsi"/>
          <w:sz w:val="24"/>
        </w:rPr>
        <w:t>measurement</w:t>
      </w:r>
      <w:proofErr w:type="spellEnd"/>
      <w:r w:rsidRPr="007C351B">
        <w:rPr>
          <w:rFonts w:asciiTheme="minorHAnsi" w:hAnsiTheme="minorHAnsi" w:cstheme="minorHAnsi"/>
          <w:sz w:val="24"/>
        </w:rPr>
        <w:t xml:space="preserve"> (powierzchniowy współczynnik odblasku definicja i pomiary)</w:t>
      </w:r>
    </w:p>
    <w:p w:rsidR="00CD44D1" w:rsidRPr="007C351B" w:rsidRDefault="00CD44D1">
      <w:pPr>
        <w:pStyle w:val="Zwykytekst"/>
        <w:ind w:left="426" w:hanging="426"/>
        <w:jc w:val="both"/>
        <w:rPr>
          <w:rFonts w:asciiTheme="minorHAnsi" w:hAnsiTheme="minorHAnsi" w:cstheme="minorHAnsi"/>
          <w:sz w:val="24"/>
        </w:rPr>
      </w:pPr>
      <w:r w:rsidRPr="007C351B">
        <w:rPr>
          <w:rFonts w:asciiTheme="minorHAnsi" w:hAnsiTheme="minorHAnsi" w:cstheme="minorHAnsi"/>
          <w:sz w:val="24"/>
        </w:rPr>
        <w:t>23.</w:t>
      </w:r>
      <w:r w:rsidRPr="007C351B">
        <w:rPr>
          <w:rFonts w:asciiTheme="minorHAnsi" w:hAnsiTheme="minorHAnsi" w:cstheme="minorHAnsi"/>
          <w:sz w:val="24"/>
        </w:rPr>
        <w:tab/>
        <w:t>Ustawa z dnia 16 kwietnia 2004 r. o wyrobach budowlanych ( Dz. U. nr 92, poz. 881)</w:t>
      </w:r>
    </w:p>
    <w:p w:rsidR="00CD44D1" w:rsidRPr="007C351B" w:rsidRDefault="00CD44D1">
      <w:pPr>
        <w:pStyle w:val="Zwykytekst"/>
        <w:ind w:left="426" w:hanging="426"/>
        <w:jc w:val="both"/>
        <w:rPr>
          <w:rFonts w:asciiTheme="minorHAnsi" w:hAnsiTheme="minorHAnsi" w:cstheme="minorHAnsi"/>
          <w:sz w:val="24"/>
        </w:rPr>
      </w:pPr>
      <w:r w:rsidRPr="007C351B">
        <w:rPr>
          <w:rFonts w:asciiTheme="minorHAnsi" w:hAnsiTheme="minorHAnsi" w:cstheme="minorHAnsi"/>
          <w:sz w:val="24"/>
        </w:rPr>
        <w:t>24</w:t>
      </w:r>
      <w:r w:rsidRPr="007C351B">
        <w:rPr>
          <w:rFonts w:asciiTheme="minorHAnsi" w:hAnsiTheme="minorHAnsi" w:cstheme="minorHAnsi"/>
          <w:sz w:val="24"/>
        </w:rPr>
        <w:tab/>
        <w:t xml:space="preserve">Stałe odblaskowe znaki drogowe i urządzenia bezpieczeństwa ruchu drogowego. Zalecenia </w:t>
      </w:r>
      <w:proofErr w:type="spellStart"/>
      <w:r w:rsidRPr="007C351B">
        <w:rPr>
          <w:rFonts w:asciiTheme="minorHAnsi" w:hAnsiTheme="minorHAnsi" w:cstheme="minorHAnsi"/>
          <w:sz w:val="24"/>
        </w:rPr>
        <w:t>IBDiM</w:t>
      </w:r>
      <w:proofErr w:type="spellEnd"/>
      <w:r w:rsidRPr="007C351B">
        <w:rPr>
          <w:rFonts w:asciiTheme="minorHAnsi" w:hAnsiTheme="minorHAnsi" w:cstheme="minorHAnsi"/>
          <w:sz w:val="24"/>
        </w:rPr>
        <w:t xml:space="preserve"> do udzielania aprobat technicznych nr Z/2005-03-009</w:t>
      </w:r>
    </w:p>
    <w:p w:rsidR="00CD44D1" w:rsidRPr="007C351B" w:rsidRDefault="00CD44D1">
      <w:pPr>
        <w:widowControl w:val="0"/>
        <w:autoSpaceDE w:val="0"/>
        <w:autoSpaceDN w:val="0"/>
        <w:adjustRightInd w:val="0"/>
        <w:rPr>
          <w:rFonts w:asciiTheme="minorHAnsi" w:hAnsiTheme="minorHAnsi" w:cstheme="minorHAnsi"/>
        </w:rPr>
      </w:pPr>
      <w:r w:rsidRPr="007C351B">
        <w:rPr>
          <w:rFonts w:asciiTheme="minorHAnsi" w:hAnsiTheme="minorHAnsi" w:cstheme="minorHAnsi"/>
        </w:rPr>
        <w:t xml:space="preserve">9. </w:t>
      </w:r>
      <w:hyperlink r:id="rId7" w:history="1">
        <w:r w:rsidRPr="007C351B">
          <w:rPr>
            <w:rFonts w:asciiTheme="minorHAnsi" w:hAnsiTheme="minorHAnsi" w:cstheme="minorHAnsi"/>
          </w:rPr>
          <w:t>PN-EN 1317-3:20</w:t>
        </w:r>
      </w:hyperlink>
      <w:r w:rsidRPr="007C351B">
        <w:rPr>
          <w:rFonts w:asciiTheme="minorHAnsi" w:hAnsiTheme="minorHAnsi" w:cstheme="minorHAnsi"/>
        </w:rPr>
        <w:t>10</w:t>
      </w:r>
      <w:r w:rsidRPr="007C351B">
        <w:rPr>
          <w:rFonts w:asciiTheme="minorHAnsi" w:hAnsiTheme="minorHAnsi" w:cstheme="minorHAnsi"/>
        </w:rPr>
        <w:tab/>
      </w:r>
      <w:r w:rsidRPr="007C351B">
        <w:rPr>
          <w:rFonts w:asciiTheme="minorHAnsi" w:hAnsiTheme="minorHAnsi" w:cstheme="minorHAnsi"/>
        </w:rPr>
        <w:fldChar w:fldCharType="begin"/>
      </w:r>
      <w:r w:rsidRPr="007C351B">
        <w:rPr>
          <w:rFonts w:asciiTheme="minorHAnsi" w:hAnsiTheme="minorHAnsi" w:cstheme="minorHAnsi"/>
        </w:rPr>
        <w:instrText xml:space="preserve"> HYPERLINK "http://www.pkn.pl/?a=show&amp;m=katalog&amp;id=462675&amp;page=1" </w:instrText>
      </w:r>
      <w:r w:rsidRPr="007C351B">
        <w:rPr>
          <w:rFonts w:asciiTheme="minorHAnsi" w:hAnsiTheme="minorHAnsi" w:cstheme="minorHAnsi"/>
        </w:rPr>
        <w:fldChar w:fldCharType="separate"/>
      </w:r>
      <w:r w:rsidRPr="007C351B">
        <w:rPr>
          <w:rFonts w:asciiTheme="minorHAnsi" w:hAnsiTheme="minorHAnsi" w:cstheme="minorHAnsi"/>
        </w:rPr>
        <w:t>Systemy ograniczające drogę - Część 3: Klasy działania, kryteria</w:t>
      </w:r>
    </w:p>
    <w:p w:rsidR="00CD44D1" w:rsidRPr="007C351B" w:rsidRDefault="00CD44D1">
      <w:pPr>
        <w:widowControl w:val="0"/>
        <w:autoSpaceDE w:val="0"/>
        <w:autoSpaceDN w:val="0"/>
        <w:adjustRightInd w:val="0"/>
        <w:rPr>
          <w:rFonts w:asciiTheme="minorHAnsi" w:hAnsiTheme="minorHAnsi" w:cstheme="minorHAnsi"/>
        </w:rPr>
      </w:pPr>
      <w:r w:rsidRPr="007C351B">
        <w:rPr>
          <w:rFonts w:asciiTheme="minorHAnsi" w:hAnsiTheme="minorHAnsi" w:cstheme="minorHAnsi"/>
        </w:rPr>
        <w:t xml:space="preserve">       przyjęcia badań zderzeniowych i metody badań poduszek zderzeniowych</w:t>
      </w:r>
      <w:r w:rsidRPr="007C351B">
        <w:rPr>
          <w:rFonts w:asciiTheme="minorHAnsi" w:hAnsiTheme="minorHAnsi" w:cstheme="minorHAnsi"/>
        </w:rPr>
        <w:fldChar w:fldCharType="end"/>
      </w:r>
    </w:p>
    <w:sectPr w:rsidR="00CD44D1" w:rsidRPr="007C351B" w:rsidSect="00426670">
      <w:headerReference w:type="default" r:id="rId8"/>
      <w:footerReference w:type="even" r:id="rId9"/>
      <w:footerReference w:type="default" r:id="rId10"/>
      <w:type w:val="continuous"/>
      <w:pgSz w:w="11907" w:h="16840" w:code="9"/>
      <w:pgMar w:top="1418" w:right="1418" w:bottom="1418" w:left="1418" w:header="567" w:footer="1134" w:gutter="0"/>
      <w:pgNumType w:start="211"/>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5D2" w:rsidRDefault="00D825D2">
      <w:pPr>
        <w:pStyle w:val="Akapitzlist"/>
      </w:pPr>
      <w:r>
        <w:separator/>
      </w:r>
    </w:p>
  </w:endnote>
  <w:endnote w:type="continuationSeparator" w:id="0">
    <w:p w:rsidR="00D825D2" w:rsidRDefault="00D825D2">
      <w:pPr>
        <w:pStyle w:val="Akapitzlis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44D1" w:rsidRDefault="00CD44D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CD44D1" w:rsidRDefault="00CD44D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44D1" w:rsidRDefault="00CD44D1">
    <w:pPr>
      <w:pStyle w:val="Stopka"/>
      <w:pBdr>
        <w:top w:val="single" w:sz="4" w:space="1" w:color="auto"/>
      </w:pBdr>
      <w:rPr>
        <w:rStyle w:val="Numerstrony"/>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5D2" w:rsidRDefault="00D825D2">
      <w:pPr>
        <w:pStyle w:val="Akapitzlist"/>
      </w:pPr>
      <w:r>
        <w:separator/>
      </w:r>
    </w:p>
  </w:footnote>
  <w:footnote w:type="continuationSeparator" w:id="0">
    <w:p w:rsidR="00D825D2" w:rsidRDefault="00D825D2">
      <w:pPr>
        <w:pStyle w:val="Akapitzlis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44D1" w:rsidRDefault="00CD44D1">
    <w:pPr>
      <w:pStyle w:val="Stopka"/>
      <w:pBdr>
        <w:bottom w:val="single" w:sz="6" w:space="1" w:color="auto"/>
      </w:pBdr>
      <w:tabs>
        <w:tab w:val="clear" w:pos="4153"/>
        <w:tab w:val="clear" w:pos="8306"/>
        <w:tab w:val="center" w:pos="4536"/>
        <w:tab w:val="right" w:pos="9072"/>
      </w:tabs>
      <w:jc w:val="center"/>
      <w:rPr>
        <w:b/>
        <w:bCs/>
        <w:i/>
        <w:sz w:val="20"/>
      </w:rPr>
    </w:pPr>
    <w:r>
      <w:rPr>
        <w:b/>
        <w:bCs/>
        <w:i/>
        <w:sz w:val="20"/>
      </w:rPr>
      <w:t xml:space="preserve">D-07.02.01. Oznakowanie pionowe oraz urzadzenia bezpieczeństwa ruchu </w:t>
    </w:r>
  </w:p>
  <w:p w:rsidR="00CD44D1" w:rsidRDefault="00CD44D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D63AC1"/>
    <w:multiLevelType w:val="hybridMultilevel"/>
    <w:tmpl w:val="895ADF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C94366"/>
    <w:multiLevelType w:val="hybridMultilevel"/>
    <w:tmpl w:val="D30622AA"/>
    <w:lvl w:ilvl="0" w:tplc="B512F7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ED006A"/>
    <w:multiLevelType w:val="hybridMultilevel"/>
    <w:tmpl w:val="260880D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5826F8"/>
    <w:multiLevelType w:val="hybridMultilevel"/>
    <w:tmpl w:val="69D447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AC23AB"/>
    <w:multiLevelType w:val="hybridMultilevel"/>
    <w:tmpl w:val="440E4150"/>
    <w:lvl w:ilvl="0" w:tplc="B512F7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96964"/>
    <w:multiLevelType w:val="hybridMultilevel"/>
    <w:tmpl w:val="BDD8BACC"/>
    <w:lvl w:ilvl="0" w:tplc="17DA6AEC">
      <w:start w:val="1"/>
      <w:numFmt w:val="lowerLetter"/>
      <w:lvlText w:val="%1)"/>
      <w:lvlJc w:val="left"/>
      <w:pPr>
        <w:tabs>
          <w:tab w:val="num" w:pos="680"/>
        </w:tabs>
        <w:ind w:left="680" w:hanging="45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C577C1A"/>
    <w:multiLevelType w:val="hybridMultilevel"/>
    <w:tmpl w:val="90327A2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A6DA0"/>
    <w:multiLevelType w:val="multilevel"/>
    <w:tmpl w:val="523404C4"/>
    <w:lvl w:ilvl="0">
      <w:start w:val="1"/>
      <w:numFmt w:val="bullet"/>
      <w:lvlText w:val=""/>
      <w:lvlJc w:val="left"/>
      <w:pPr>
        <w:tabs>
          <w:tab w:val="num" w:pos="720"/>
        </w:tabs>
        <w:ind w:left="720" w:hanging="360"/>
      </w:pPr>
      <w:rPr>
        <w:rFonts w:ascii="Symbol" w:hAnsi="Symbol" w:hint="default"/>
      </w:rPr>
    </w:lvl>
    <w:lvl w:ilvl="1">
      <w:start w:val="2"/>
      <w:numFmt w:val="decimal"/>
      <w:lvlText w:val="%1.%2."/>
      <w:lvlJc w:val="left"/>
      <w:pPr>
        <w:tabs>
          <w:tab w:val="num" w:pos="540"/>
        </w:tabs>
        <w:ind w:left="540" w:hanging="540"/>
      </w:pPr>
      <w:rPr>
        <w:rFonts w:hint="default"/>
      </w:rPr>
    </w:lvl>
    <w:lvl w:ilvl="2">
      <w:start w:val="1"/>
      <w:numFmt w:val="bullet"/>
      <w:lvlText w:val=""/>
      <w:lvlJc w:val="left"/>
      <w:pPr>
        <w:tabs>
          <w:tab w:val="num" w:pos="794"/>
        </w:tabs>
        <w:ind w:left="794" w:hanging="397"/>
      </w:pPr>
      <w:rPr>
        <w:rFonts w:ascii="Symbol" w:hAnsi="Symbol" w:hint="default"/>
      </w:rPr>
    </w:lvl>
    <w:lvl w:ilvl="3">
      <w:start w:val="1"/>
      <w:numFmt w:val="decimalZero"/>
      <w:lvlText w:val="%1.%2.%3.%4."/>
      <w:lvlJc w:val="left"/>
      <w:pPr>
        <w:tabs>
          <w:tab w:val="num" w:pos="720"/>
        </w:tabs>
        <w:ind w:left="720" w:hanging="72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28F0241"/>
    <w:multiLevelType w:val="hybridMultilevel"/>
    <w:tmpl w:val="50B8F1BC"/>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51840"/>
    <w:multiLevelType w:val="multilevel"/>
    <w:tmpl w:val="254E9F06"/>
    <w:lvl w:ilvl="0">
      <w:start w:val="6"/>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6A07961"/>
    <w:multiLevelType w:val="hybridMultilevel"/>
    <w:tmpl w:val="9A148F18"/>
    <w:lvl w:ilvl="0" w:tplc="0415000F">
      <w:start w:val="1"/>
      <w:numFmt w:val="decimal"/>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1D1B82"/>
    <w:multiLevelType w:val="hybridMultilevel"/>
    <w:tmpl w:val="DB84DB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1CC0AD6"/>
    <w:multiLevelType w:val="hybridMultilevel"/>
    <w:tmpl w:val="A1362C2A"/>
    <w:lvl w:ilvl="0" w:tplc="4FA24822">
      <w:start w:val="1"/>
      <w:numFmt w:val="lowerLetter"/>
      <w:lvlText w:val="%1)"/>
      <w:lvlJc w:val="left"/>
      <w:pPr>
        <w:ind w:left="720" w:hanging="360"/>
      </w:pPr>
      <w:rPr>
        <w:rFonts w:hint="default"/>
      </w:rPr>
    </w:lvl>
    <w:lvl w:ilvl="1" w:tplc="A2E00D7E" w:tentative="1">
      <w:start w:val="1"/>
      <w:numFmt w:val="lowerLetter"/>
      <w:lvlText w:val="%2."/>
      <w:lvlJc w:val="left"/>
      <w:pPr>
        <w:ind w:left="1440" w:hanging="360"/>
      </w:pPr>
    </w:lvl>
    <w:lvl w:ilvl="2" w:tplc="FAF41008" w:tentative="1">
      <w:start w:val="1"/>
      <w:numFmt w:val="lowerRoman"/>
      <w:lvlText w:val="%3."/>
      <w:lvlJc w:val="right"/>
      <w:pPr>
        <w:ind w:left="2160" w:hanging="180"/>
      </w:pPr>
    </w:lvl>
    <w:lvl w:ilvl="3" w:tplc="79B818D8" w:tentative="1">
      <w:start w:val="1"/>
      <w:numFmt w:val="decimal"/>
      <w:lvlText w:val="%4."/>
      <w:lvlJc w:val="left"/>
      <w:pPr>
        <w:ind w:left="2880" w:hanging="360"/>
      </w:pPr>
    </w:lvl>
    <w:lvl w:ilvl="4" w:tplc="91841CB2" w:tentative="1">
      <w:start w:val="1"/>
      <w:numFmt w:val="lowerLetter"/>
      <w:lvlText w:val="%5."/>
      <w:lvlJc w:val="left"/>
      <w:pPr>
        <w:ind w:left="3600" w:hanging="360"/>
      </w:pPr>
    </w:lvl>
    <w:lvl w:ilvl="5" w:tplc="40763B60" w:tentative="1">
      <w:start w:val="1"/>
      <w:numFmt w:val="lowerRoman"/>
      <w:lvlText w:val="%6."/>
      <w:lvlJc w:val="right"/>
      <w:pPr>
        <w:ind w:left="4320" w:hanging="180"/>
      </w:pPr>
    </w:lvl>
    <w:lvl w:ilvl="6" w:tplc="1F30E8C2" w:tentative="1">
      <w:start w:val="1"/>
      <w:numFmt w:val="decimal"/>
      <w:lvlText w:val="%7."/>
      <w:lvlJc w:val="left"/>
      <w:pPr>
        <w:ind w:left="5040" w:hanging="360"/>
      </w:pPr>
    </w:lvl>
    <w:lvl w:ilvl="7" w:tplc="F2DA2762" w:tentative="1">
      <w:start w:val="1"/>
      <w:numFmt w:val="lowerLetter"/>
      <w:lvlText w:val="%8."/>
      <w:lvlJc w:val="left"/>
      <w:pPr>
        <w:ind w:left="5760" w:hanging="360"/>
      </w:pPr>
    </w:lvl>
    <w:lvl w:ilvl="8" w:tplc="5D26F116" w:tentative="1">
      <w:start w:val="1"/>
      <w:numFmt w:val="lowerRoman"/>
      <w:lvlText w:val="%9."/>
      <w:lvlJc w:val="right"/>
      <w:pPr>
        <w:ind w:left="6480" w:hanging="180"/>
      </w:pPr>
    </w:lvl>
  </w:abstractNum>
  <w:abstractNum w:abstractNumId="14" w15:restartNumberingAfterBreak="0">
    <w:nsid w:val="35E25FB0"/>
    <w:multiLevelType w:val="hybridMultilevel"/>
    <w:tmpl w:val="55646118"/>
    <w:lvl w:ilvl="0" w:tplc="04150005">
      <w:start w:val="1"/>
      <w:numFmt w:val="bullet"/>
      <w:lvlText w:val=""/>
      <w:lvlJc w:val="left"/>
      <w:pPr>
        <w:tabs>
          <w:tab w:val="num" w:pos="720"/>
        </w:tabs>
        <w:ind w:left="720" w:hanging="360"/>
      </w:pPr>
      <w:rPr>
        <w:rFonts w:ascii="Wingdings" w:hAnsi="Wingdings" w:hint="default"/>
      </w:rPr>
    </w:lvl>
    <w:lvl w:ilvl="1" w:tplc="04150001">
      <w:start w:val="1"/>
      <w:numFmt w:val="bullet"/>
      <w:lvlText w:val=""/>
      <w:lvlJc w:val="left"/>
      <w:pPr>
        <w:tabs>
          <w:tab w:val="num" w:pos="1440"/>
        </w:tabs>
        <w:ind w:left="1440" w:hanging="360"/>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615E72"/>
    <w:multiLevelType w:val="hybridMultilevel"/>
    <w:tmpl w:val="18805D5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D3353E"/>
    <w:multiLevelType w:val="hybridMultilevel"/>
    <w:tmpl w:val="D800F7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EE6879"/>
    <w:multiLevelType w:val="hybridMultilevel"/>
    <w:tmpl w:val="48EAB46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5759C2"/>
    <w:multiLevelType w:val="hybridMultilevel"/>
    <w:tmpl w:val="46EE98B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4EEA2CA2"/>
    <w:multiLevelType w:val="hybridMultilevel"/>
    <w:tmpl w:val="027CA3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F566D0E"/>
    <w:multiLevelType w:val="hybridMultilevel"/>
    <w:tmpl w:val="FE8272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80191D"/>
    <w:multiLevelType w:val="hybridMultilevel"/>
    <w:tmpl w:val="2F8C8CF8"/>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4C3724"/>
    <w:multiLevelType w:val="hybridMultilevel"/>
    <w:tmpl w:val="11E4DC50"/>
    <w:lvl w:ilvl="0" w:tplc="04150005">
      <w:start w:val="1"/>
      <w:numFmt w:val="bullet"/>
      <w:lvlText w:val=""/>
      <w:lvlJc w:val="left"/>
      <w:pPr>
        <w:tabs>
          <w:tab w:val="num" w:pos="720"/>
        </w:tabs>
        <w:ind w:left="720" w:hanging="360"/>
      </w:pPr>
      <w:rPr>
        <w:rFonts w:ascii="Wingdings" w:hAnsi="Wingdings"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56215"/>
    <w:multiLevelType w:val="hybridMultilevel"/>
    <w:tmpl w:val="0074B95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66B19A2"/>
    <w:multiLevelType w:val="singleLevel"/>
    <w:tmpl w:val="0415000F"/>
    <w:lvl w:ilvl="0">
      <w:start w:val="1"/>
      <w:numFmt w:val="decimal"/>
      <w:lvlText w:val="%1."/>
      <w:lvlJc w:val="left"/>
      <w:pPr>
        <w:tabs>
          <w:tab w:val="num" w:pos="360"/>
        </w:tabs>
        <w:ind w:left="360" w:hanging="360"/>
      </w:pPr>
    </w:lvl>
  </w:abstractNum>
  <w:abstractNum w:abstractNumId="25" w15:restartNumberingAfterBreak="0">
    <w:nsid w:val="5D17116B"/>
    <w:multiLevelType w:val="hybridMultilevel"/>
    <w:tmpl w:val="B2DC4A9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8119FF"/>
    <w:multiLevelType w:val="hybridMultilevel"/>
    <w:tmpl w:val="0046B5D2"/>
    <w:lvl w:ilvl="0" w:tplc="B512F7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964B93"/>
    <w:multiLevelType w:val="hybridMultilevel"/>
    <w:tmpl w:val="31141F46"/>
    <w:lvl w:ilvl="0" w:tplc="B512F7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38463A"/>
    <w:multiLevelType w:val="hybridMultilevel"/>
    <w:tmpl w:val="E300210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235502"/>
    <w:multiLevelType w:val="hybridMultilevel"/>
    <w:tmpl w:val="DE1467F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2">
    <w:abstractNumId w:val="2"/>
  </w:num>
  <w:num w:numId="3">
    <w:abstractNumId w:val="6"/>
  </w:num>
  <w:num w:numId="4">
    <w:abstractNumId w:val="24"/>
  </w:num>
  <w:num w:numId="5">
    <w:abstractNumId w:val="8"/>
  </w:num>
  <w:num w:numId="6">
    <w:abstractNumId w:val="26"/>
  </w:num>
  <w:num w:numId="7">
    <w:abstractNumId w:val="27"/>
  </w:num>
  <w:num w:numId="8">
    <w:abstractNumId w:val="10"/>
  </w:num>
  <w:num w:numId="9">
    <w:abstractNumId w:val="5"/>
  </w:num>
  <w:num w:numId="10">
    <w:abstractNumId w:val="21"/>
  </w:num>
  <w:num w:numId="11">
    <w:abstractNumId w:val="25"/>
  </w:num>
  <w:num w:numId="12">
    <w:abstractNumId w:val="28"/>
  </w:num>
  <w:num w:numId="13">
    <w:abstractNumId w:val="3"/>
  </w:num>
  <w:num w:numId="14">
    <w:abstractNumId w:val="15"/>
  </w:num>
  <w:num w:numId="15">
    <w:abstractNumId w:val="20"/>
  </w:num>
  <w:num w:numId="16">
    <w:abstractNumId w:val="7"/>
  </w:num>
  <w:num w:numId="17">
    <w:abstractNumId w:val="17"/>
  </w:num>
  <w:num w:numId="18">
    <w:abstractNumId w:val="29"/>
  </w:num>
  <w:num w:numId="19">
    <w:abstractNumId w:val="4"/>
  </w:num>
  <w:num w:numId="20">
    <w:abstractNumId w:val="23"/>
  </w:num>
  <w:num w:numId="21">
    <w:abstractNumId w:val="9"/>
  </w:num>
  <w:num w:numId="22">
    <w:abstractNumId w:val="22"/>
  </w:num>
  <w:num w:numId="23">
    <w:abstractNumId w:val="11"/>
  </w:num>
  <w:num w:numId="24">
    <w:abstractNumId w:val="14"/>
  </w:num>
  <w:num w:numId="25">
    <w:abstractNumId w:val="18"/>
  </w:num>
  <w:num w:numId="26">
    <w:abstractNumId w:val="1"/>
  </w:num>
  <w:num w:numId="27">
    <w:abstractNumId w:val="12"/>
  </w:num>
  <w:num w:numId="28">
    <w:abstractNumId w:val="19"/>
  </w:num>
  <w:num w:numId="29">
    <w:abstractNumId w:val="16"/>
  </w:num>
  <w:num w:numId="30">
    <w:abstractNumId w:val="13"/>
  </w:num>
  <w:num w:numId="31">
    <w:abstractNumId w:val="0"/>
    <w:lvlOverride w:ilvl="0">
      <w:lvl w:ilvl="0">
        <w:start w:val="1"/>
        <w:numFmt w:val="bullet"/>
        <w:lvlText w:val="?"/>
        <w:legacy w:legacy="1" w:legacySpace="0" w:legacyIndent="360"/>
        <w:lvlJc w:val="left"/>
        <w:pPr>
          <w:ind w:left="72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bordersDoNotSurroundHeader/>
  <w:bordersDoNotSurroundFooter/>
  <w:proofState w:spelling="clean"/>
  <w:doNotTrackMoves/>
  <w:doNotTrackFormatting/>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809"/>
    <w:rsid w:val="00051988"/>
    <w:rsid w:val="000720E4"/>
    <w:rsid w:val="00087638"/>
    <w:rsid w:val="000A2636"/>
    <w:rsid w:val="000B54B7"/>
    <w:rsid w:val="000F62C1"/>
    <w:rsid w:val="00130E3D"/>
    <w:rsid w:val="00163CC0"/>
    <w:rsid w:val="001A2108"/>
    <w:rsid w:val="001B4CFC"/>
    <w:rsid w:val="001C0745"/>
    <w:rsid w:val="002929BE"/>
    <w:rsid w:val="002B1809"/>
    <w:rsid w:val="003167B5"/>
    <w:rsid w:val="00426670"/>
    <w:rsid w:val="00485976"/>
    <w:rsid w:val="005A422F"/>
    <w:rsid w:val="005F2962"/>
    <w:rsid w:val="00642BAF"/>
    <w:rsid w:val="0071563A"/>
    <w:rsid w:val="007C351B"/>
    <w:rsid w:val="007E17C3"/>
    <w:rsid w:val="0082548F"/>
    <w:rsid w:val="00874665"/>
    <w:rsid w:val="00876F6E"/>
    <w:rsid w:val="00877392"/>
    <w:rsid w:val="009115CD"/>
    <w:rsid w:val="00953894"/>
    <w:rsid w:val="00974363"/>
    <w:rsid w:val="00A14C69"/>
    <w:rsid w:val="00A70F1D"/>
    <w:rsid w:val="00A74D27"/>
    <w:rsid w:val="00A91BDF"/>
    <w:rsid w:val="00A92F81"/>
    <w:rsid w:val="00AF54CB"/>
    <w:rsid w:val="00B672BE"/>
    <w:rsid w:val="00BF68B1"/>
    <w:rsid w:val="00C54763"/>
    <w:rsid w:val="00C62F77"/>
    <w:rsid w:val="00C73F3C"/>
    <w:rsid w:val="00CA024F"/>
    <w:rsid w:val="00CD44D1"/>
    <w:rsid w:val="00CF18C7"/>
    <w:rsid w:val="00D42664"/>
    <w:rsid w:val="00D825D2"/>
    <w:rsid w:val="00DF53E0"/>
    <w:rsid w:val="00E822BA"/>
    <w:rsid w:val="00EC165B"/>
    <w:rsid w:val="00EE65F2"/>
    <w:rsid w:val="00F07D3D"/>
    <w:rsid w:val="00F23178"/>
    <w:rsid w:val="00F45F37"/>
    <w:rsid w:val="00F470D2"/>
    <w:rsid w:val="00F97008"/>
    <w:rsid w:val="00FA33F4"/>
    <w:rsid w:val="00FA3C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C4DA7C-83C8-4563-8A57-E18161F2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jc w:val="both"/>
    </w:pPr>
    <w:rPr>
      <w:snapToGrid w:val="0"/>
      <w:sz w:val="22"/>
    </w:rPr>
  </w:style>
  <w:style w:type="paragraph" w:styleId="Nagwek1">
    <w:name w:val="heading 1"/>
    <w:basedOn w:val="Normalny"/>
    <w:next w:val="Normalny"/>
    <w:qFormat/>
    <w:pPr>
      <w:keepNext/>
      <w:outlineLvl w:val="0"/>
    </w:pPr>
    <w:rPr>
      <w:b/>
      <w:kern w:val="28"/>
      <w:sz w:val="28"/>
    </w:rPr>
  </w:style>
  <w:style w:type="paragraph" w:styleId="Nagwek2">
    <w:name w:val="heading 2"/>
    <w:basedOn w:val="Normalny"/>
    <w:next w:val="Normalny"/>
    <w:qFormat/>
    <w:pPr>
      <w:keepNext/>
      <w:suppressAutoHyphens/>
      <w:ind w:left="709" w:hanging="709"/>
      <w:outlineLvl w:val="1"/>
    </w:pPr>
    <w:rPr>
      <w:b/>
      <w:sz w:val="24"/>
    </w:rPr>
  </w:style>
  <w:style w:type="paragraph" w:styleId="Nagwek3">
    <w:name w:val="heading 3"/>
    <w:basedOn w:val="Normalny"/>
    <w:next w:val="Normalny"/>
    <w:qFormat/>
    <w:pPr>
      <w:keepNext/>
      <w:outlineLvl w:val="2"/>
    </w:pPr>
    <w:rPr>
      <w:b/>
    </w:rPr>
  </w:style>
  <w:style w:type="paragraph" w:styleId="Nagwek4">
    <w:name w:val="heading 4"/>
    <w:basedOn w:val="Normalny"/>
    <w:next w:val="Normalny"/>
    <w:qFormat/>
    <w:pPr>
      <w:keepNext/>
      <w:spacing w:before="240" w:after="60"/>
      <w:jc w:val="left"/>
      <w:outlineLvl w:val="3"/>
    </w:pPr>
    <w:rPr>
      <w:b/>
      <w:i/>
      <w:sz w:val="24"/>
      <w:lang w:val="pt-PT"/>
    </w:rPr>
  </w:style>
  <w:style w:type="paragraph" w:styleId="Nagwek5">
    <w:name w:val="heading 5"/>
    <w:basedOn w:val="Normalny"/>
    <w:next w:val="Normalny"/>
    <w:qFormat/>
    <w:pPr>
      <w:spacing w:before="240" w:after="60"/>
      <w:outlineLvl w:val="4"/>
    </w:pPr>
    <w:rPr>
      <w:snapToGrid/>
      <w:sz w:val="24"/>
    </w:rPr>
  </w:style>
  <w:style w:type="paragraph" w:styleId="Nagwek6">
    <w:name w:val="heading 6"/>
    <w:basedOn w:val="Normalny"/>
    <w:next w:val="Normalny"/>
    <w:qFormat/>
    <w:pPr>
      <w:keepNext/>
      <w:widowControl w:val="0"/>
      <w:autoSpaceDE w:val="0"/>
      <w:autoSpaceDN w:val="0"/>
      <w:adjustRightInd w:val="0"/>
      <w:spacing w:before="120" w:after="120"/>
      <w:jc w:val="center"/>
      <w:outlineLvl w:val="5"/>
    </w:pPr>
    <w:rPr>
      <w:b/>
      <w:bCs/>
      <w:snapToGrid/>
      <w:sz w:val="24"/>
      <w:szCs w:val="24"/>
    </w:rPr>
  </w:style>
  <w:style w:type="paragraph" w:styleId="Nagwek7">
    <w:name w:val="heading 7"/>
    <w:basedOn w:val="Normalny"/>
    <w:next w:val="Normalny"/>
    <w:qFormat/>
    <w:pPr>
      <w:spacing w:before="240" w:after="60"/>
      <w:outlineLvl w:val="6"/>
    </w:pPr>
    <w:rPr>
      <w:snapToGrid/>
      <w:sz w:val="24"/>
      <w:szCs w:val="24"/>
    </w:rPr>
  </w:style>
  <w:style w:type="paragraph" w:styleId="Nagwek8">
    <w:name w:val="heading 8"/>
    <w:basedOn w:val="Normalny"/>
    <w:next w:val="Normalny"/>
    <w:qFormat/>
    <w:pPr>
      <w:spacing w:before="240" w:after="60"/>
      <w:outlineLvl w:val="7"/>
    </w:pPr>
    <w:rPr>
      <w:i/>
      <w:iCs/>
      <w:snapToGrid/>
      <w:sz w:val="24"/>
      <w:szCs w:val="24"/>
    </w:rPr>
  </w:style>
  <w:style w:type="paragraph" w:styleId="Nagwek9">
    <w:name w:val="heading 9"/>
    <w:basedOn w:val="Normalny"/>
    <w:next w:val="Normalny"/>
    <w:qFormat/>
    <w:pPr>
      <w:spacing w:before="240" w:after="60"/>
      <w:outlineLvl w:val="8"/>
    </w:pPr>
    <w:rPr>
      <w:rFonts w:ascii="Arial" w:hAnsi="Arial" w:cs="Arial"/>
      <w:snapToGrid/>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0">
    <w:name w:val="Nagłówek 0"/>
    <w:basedOn w:val="Nagwek1"/>
    <w:pPr>
      <w:ind w:left="1418" w:hanging="1418"/>
      <w:jc w:val="left"/>
      <w:outlineLvl w:val="9"/>
    </w:pPr>
    <w:rPr>
      <w:caps/>
    </w:rPr>
  </w:style>
  <w:style w:type="character" w:styleId="Numerstrony">
    <w:name w:val="page number"/>
    <w:basedOn w:val="Domylnaczcionkaakapitu"/>
    <w:semiHidden/>
  </w:style>
  <w:style w:type="paragraph" w:styleId="Nagwek">
    <w:name w:val="header"/>
    <w:basedOn w:val="Normalny"/>
    <w:semiHidden/>
    <w:pPr>
      <w:tabs>
        <w:tab w:val="center" w:pos="4153"/>
        <w:tab w:val="right" w:pos="8306"/>
      </w:tabs>
      <w:jc w:val="left"/>
    </w:pPr>
    <w:rPr>
      <w:sz w:val="24"/>
      <w:lang w:val="pt-PT"/>
    </w:rPr>
  </w:style>
  <w:style w:type="paragraph" w:styleId="Stopka">
    <w:name w:val="footer"/>
    <w:basedOn w:val="Normalny"/>
    <w:link w:val="StopkaZnak"/>
    <w:uiPriority w:val="99"/>
    <w:pPr>
      <w:tabs>
        <w:tab w:val="center" w:pos="4153"/>
        <w:tab w:val="right" w:pos="8306"/>
      </w:tabs>
      <w:jc w:val="left"/>
    </w:pPr>
    <w:rPr>
      <w:sz w:val="24"/>
      <w:lang w:val="pt-PT" w:eastAsia="x-none"/>
    </w:rPr>
  </w:style>
  <w:style w:type="paragraph" w:customStyle="1" w:styleId="tablica">
    <w:name w:val="tablica"/>
    <w:basedOn w:val="Normalny"/>
    <w:rPr>
      <w:b/>
      <w:sz w:val="20"/>
    </w:rPr>
  </w:style>
  <w:style w:type="paragraph" w:styleId="Listapunktowana">
    <w:name w:val="List Bullet"/>
    <w:basedOn w:val="Normalny"/>
    <w:autoRedefine/>
    <w:semiHidden/>
    <w:pPr>
      <w:tabs>
        <w:tab w:val="left" w:pos="720"/>
        <w:tab w:val="left" w:pos="1843"/>
      </w:tabs>
      <w:spacing w:line="300" w:lineRule="atLeast"/>
      <w:ind w:left="720" w:right="84" w:hanging="360"/>
    </w:pPr>
    <w:rPr>
      <w:rFonts w:ascii="Arial" w:hAnsi="Arial"/>
    </w:rPr>
  </w:style>
  <w:style w:type="paragraph" w:styleId="Tekstpodstawowy">
    <w:name w:val="Body Text"/>
    <w:basedOn w:val="Normalny"/>
    <w:semiHidden/>
    <w:pPr>
      <w:ind w:right="84"/>
    </w:pPr>
    <w:rPr>
      <w:rFonts w:ascii="Arial" w:hAnsi="Arial"/>
    </w:rPr>
  </w:style>
  <w:style w:type="paragraph" w:styleId="Tekstpodstawowy2">
    <w:name w:val="Body Text 2"/>
    <w:basedOn w:val="Normalny"/>
    <w:semiHidden/>
    <w:pPr>
      <w:suppressAutoHyphens/>
    </w:pPr>
    <w:rPr>
      <w:sz w:val="24"/>
    </w:rPr>
  </w:style>
  <w:style w:type="paragraph" w:styleId="Tekstblokowy">
    <w:name w:val="Block Text"/>
    <w:basedOn w:val="Normalny"/>
    <w:semiHidden/>
    <w:pPr>
      <w:ind w:left="2268" w:right="84" w:hanging="2268"/>
      <w:jc w:val="left"/>
    </w:pPr>
    <w:rPr>
      <w:sz w:val="24"/>
    </w:rPr>
  </w:style>
  <w:style w:type="paragraph" w:styleId="Tekstpodstawowy3">
    <w:name w:val="Body Text 3"/>
    <w:basedOn w:val="Normalny"/>
    <w:semiHidden/>
    <w:pPr>
      <w:ind w:right="278"/>
    </w:pPr>
    <w:rPr>
      <w:sz w:val="24"/>
    </w:rPr>
  </w:style>
  <w:style w:type="paragraph" w:styleId="Zwykytekst">
    <w:name w:val="Plain Text"/>
    <w:basedOn w:val="Normalny"/>
    <w:semiHidden/>
    <w:pPr>
      <w:jc w:val="left"/>
    </w:pPr>
    <w:rPr>
      <w:rFonts w:ascii="Courier New" w:hAnsi="Courier New" w:cs="Courier New"/>
      <w:snapToGrid/>
      <w:sz w:val="20"/>
    </w:rPr>
  </w:style>
  <w:style w:type="paragraph" w:styleId="Tekstdymka">
    <w:name w:val="Balloon Text"/>
    <w:basedOn w:val="Normalny"/>
    <w:semiHidden/>
    <w:rPr>
      <w:rFonts w:ascii="Tahoma" w:hAnsi="Tahoma" w:cs="Tahoma"/>
      <w:sz w:val="16"/>
      <w:szCs w:val="16"/>
    </w:rPr>
  </w:style>
  <w:style w:type="paragraph" w:customStyle="1" w:styleId="Normalny1">
    <w:name w:val="Normalny1"/>
    <w:basedOn w:val="Normalny"/>
    <w:rsid w:val="00DF53E0"/>
    <w:pPr>
      <w:spacing w:before="240" w:line="276" w:lineRule="auto"/>
      <w:jc w:val="left"/>
    </w:pPr>
    <w:rPr>
      <w:rFonts w:ascii="Calibri" w:hAnsi="Calibri"/>
      <w:snapToGrid/>
      <w:szCs w:val="22"/>
      <w:lang w:val="en-US" w:eastAsia="en-US" w:bidi="en-US"/>
    </w:rPr>
  </w:style>
  <w:style w:type="paragraph" w:styleId="Akapitzlist">
    <w:name w:val="List Paragraph"/>
    <w:basedOn w:val="Normalny"/>
    <w:qFormat/>
    <w:pPr>
      <w:ind w:left="720"/>
      <w:contextualSpacing/>
    </w:pPr>
  </w:style>
  <w:style w:type="character" w:customStyle="1" w:styleId="StopkaZnak">
    <w:name w:val="Stopka Znak"/>
    <w:link w:val="Stopka"/>
    <w:uiPriority w:val="99"/>
    <w:rsid w:val="00E822BA"/>
    <w:rPr>
      <w:snapToGrid w:val="0"/>
      <w:sz w:val="24"/>
      <w:lang w:val="pt-PT"/>
    </w:rPr>
  </w:style>
  <w:style w:type="paragraph" w:customStyle="1" w:styleId="Normalny2">
    <w:name w:val="Normalny2"/>
    <w:basedOn w:val="Normalny"/>
    <w:rsid w:val="00FA3C39"/>
    <w:pPr>
      <w:spacing w:before="240" w:line="276" w:lineRule="auto"/>
      <w:jc w:val="left"/>
    </w:pPr>
    <w:rPr>
      <w:rFonts w:ascii="Calibri" w:hAnsi="Calibri"/>
      <w:snapToGrid/>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927840">
      <w:bodyDiv w:val="1"/>
      <w:marLeft w:val="0"/>
      <w:marRight w:val="0"/>
      <w:marTop w:val="0"/>
      <w:marBottom w:val="0"/>
      <w:divBdr>
        <w:top w:val="none" w:sz="0" w:space="0" w:color="auto"/>
        <w:left w:val="none" w:sz="0" w:space="0" w:color="auto"/>
        <w:bottom w:val="none" w:sz="0" w:space="0" w:color="auto"/>
        <w:right w:val="none" w:sz="0" w:space="0" w:color="auto"/>
      </w:divBdr>
    </w:div>
    <w:div w:id="193732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kn.pl/?m=katalog&amp;a=find&amp;pfsymbol=PN-EN+1317-2%3A201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Pages>
  <Words>6259</Words>
  <Characters>37560</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D-M-00.00.00._WYMAGANIA OGÓLNE</vt:lpstr>
    </vt:vector>
  </TitlesOfParts>
  <Company>GDAŃSK</Company>
  <LinksUpToDate>false</LinksUpToDate>
  <CharactersWithSpaces>43732</CharactersWithSpaces>
  <SharedDoc>false</SharedDoc>
  <HLinks>
    <vt:vector size="12" baseType="variant">
      <vt:variant>
        <vt:i4>196694</vt:i4>
      </vt:variant>
      <vt:variant>
        <vt:i4>3</vt:i4>
      </vt:variant>
      <vt:variant>
        <vt:i4>0</vt:i4>
      </vt:variant>
      <vt:variant>
        <vt:i4>5</vt:i4>
      </vt:variant>
      <vt:variant>
        <vt:lpwstr>http://www.pkn.pl/?a=show&amp;m=katalog&amp;id=462675&amp;page=1</vt:lpwstr>
      </vt:variant>
      <vt:variant>
        <vt:lpwstr/>
      </vt:variant>
      <vt:variant>
        <vt:i4>1507352</vt:i4>
      </vt:variant>
      <vt:variant>
        <vt:i4>0</vt:i4>
      </vt:variant>
      <vt:variant>
        <vt:i4>0</vt:i4>
      </vt:variant>
      <vt:variant>
        <vt:i4>5</vt:i4>
      </vt:variant>
      <vt:variant>
        <vt:lpwstr>http://www.pkn.pl/?m=katalog&amp;a=find&amp;pfsymbol=PN-EN+1317-2%3A2010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D-M-00.00.00._WYMAGANIA OGÓLNE</dc:title>
  <dc:subject/>
  <dc:creator>GPRD SA</dc:creator>
  <cp:keywords/>
  <cp:lastModifiedBy>Renata</cp:lastModifiedBy>
  <cp:revision>8</cp:revision>
  <cp:lastPrinted>2022-10-09T10:11:00Z</cp:lastPrinted>
  <dcterms:created xsi:type="dcterms:W3CDTF">2022-05-23T17:46:00Z</dcterms:created>
  <dcterms:modified xsi:type="dcterms:W3CDTF">2022-10-09T10:11:00Z</dcterms:modified>
</cp:coreProperties>
</file>