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5FCBFC09" w:rsidR="000F5A67" w:rsidRPr="00347266" w:rsidRDefault="002C6BD1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b/>
          <w:noProof/>
        </w:rPr>
        <w:drawing>
          <wp:inline distT="0" distB="0" distL="0" distR="0" wp14:anchorId="2F90D7D6" wp14:editId="62B4FC2A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AC19" w14:textId="4C04E245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77777777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KS.271.2.7.2023</w:t>
      </w:r>
    </w:p>
    <w:p w14:paraId="18139626" w14:textId="77777777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54C43311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2C6BD1" w:rsidRPr="002C6BD1">
        <w:rPr>
          <w:rFonts w:ascii="Arial" w:hAnsi="Arial" w:cs="Arial"/>
          <w:b/>
          <w:sz w:val="21"/>
          <w:szCs w:val="21"/>
        </w:rPr>
        <w:t>Budowa ulicy Reymonta w Raciążu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75</cp:revision>
  <cp:lastPrinted>2017-08-18T08:38:00Z</cp:lastPrinted>
  <dcterms:created xsi:type="dcterms:W3CDTF">2019-12-13T13:12:00Z</dcterms:created>
  <dcterms:modified xsi:type="dcterms:W3CDTF">2023-11-14T12:05:00Z</dcterms:modified>
</cp:coreProperties>
</file>