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792A" w:rsidRDefault="00E9792A" w:rsidP="00E9792A"/>
    <w:p w:rsidR="00E9792A" w:rsidRPr="00E9792A" w:rsidRDefault="00E9792A" w:rsidP="00E9792A">
      <w:pPr>
        <w:pStyle w:val="Nagwek2"/>
        <w:jc w:val="center"/>
        <w:rPr>
          <w:rFonts w:ascii="Arial" w:hAnsi="Arial" w:cs="Arial"/>
          <w:b/>
          <w:bCs/>
          <w:color w:val="000000" w:themeColor="text1"/>
        </w:rPr>
      </w:pPr>
      <w:r w:rsidRPr="00E9792A">
        <w:rPr>
          <w:rFonts w:ascii="Arial" w:hAnsi="Arial" w:cs="Arial"/>
          <w:b/>
          <w:bCs/>
          <w:color w:val="000000" w:themeColor="text1"/>
        </w:rPr>
        <w:t>ISTOTNE POSTANOWIENIA UMOWY</w:t>
      </w:r>
    </w:p>
    <w:p w:rsidR="00E9792A" w:rsidRDefault="00E9792A" w:rsidP="00E9792A">
      <w:pPr>
        <w:jc w:val="center"/>
        <w:rPr>
          <w:rFonts w:ascii="Arial" w:hAnsi="Arial" w:cs="Arial"/>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ROZDZIAŁ 1</w:t>
      </w:r>
    </w:p>
    <w:p w:rsidR="00E9792A" w:rsidRPr="00144A08" w:rsidRDefault="00E9792A" w:rsidP="00E9792A">
      <w:pPr>
        <w:jc w:val="center"/>
        <w:rPr>
          <w:rFonts w:ascii="Arial" w:hAnsi="Arial" w:cs="Arial"/>
          <w:b/>
          <w:bCs/>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POSTANOWIENIA OGÓLNE</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1</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Niniejsza umowa zostaje zawarta po przeprowadzeniu postępowania o udzielenie zamówienia publicznego, prowadzonego w trybie przetargu nieograniczonego na podstawie Ustawy z dnia 11 września 2019 r. - Prawo zamówień publicznych Zakres świadczenia Wykonawcy wynikający z niniejszej umowy jest tożsamy z jego zobowiązaniem zawartym w</w:t>
      </w:r>
      <w:r w:rsidR="00FB667C">
        <w:rPr>
          <w:rFonts w:ascii="Arial" w:hAnsi="Arial" w:cs="Arial"/>
          <w:sz w:val="22"/>
          <w:szCs w:val="22"/>
        </w:rPr>
        <w:t> </w:t>
      </w:r>
      <w:r w:rsidRPr="00E9792A">
        <w:rPr>
          <w:rFonts w:ascii="Arial" w:hAnsi="Arial" w:cs="Arial"/>
          <w:sz w:val="22"/>
          <w:szCs w:val="22"/>
        </w:rPr>
        <w:t>ofercie.</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 xml:space="preserve">Przedmiotem umowy jest świadczenie przez Sprzedawcę na rzecz Odbiorcy usługi kompleksowej, polegającej na sprzedaży energii elektrycznej oraz zapewnieniu świadczenia usługi jej dystrybucji. </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Sprzedawca oświadcza, że posiada zawartą umowę o świadczenie usług dystrybucji z</w:t>
      </w:r>
      <w:r w:rsidR="00FB667C">
        <w:rPr>
          <w:rFonts w:ascii="Arial" w:hAnsi="Arial" w:cs="Arial"/>
          <w:sz w:val="22"/>
          <w:szCs w:val="22"/>
        </w:rPr>
        <w:t> </w:t>
      </w:r>
      <w:r w:rsidRPr="00E9792A">
        <w:rPr>
          <w:rFonts w:ascii="Arial" w:hAnsi="Arial" w:cs="Arial"/>
          <w:sz w:val="22"/>
          <w:szCs w:val="22"/>
        </w:rPr>
        <w:t>Operatorem Systemu Dystrybucyjnego (OSD), którego funkcję pełni PGE Dystrybucja S.A., z której wynika, że Sprzedawca jest uprawniony do zawarcia niniejszej Umowy. Stosownie do postanowień przywołanej umowy zawartej pomiędzy OSD a Sprzedawcą, OSD zobowiązał się do świadczenia usług dystrybucji energii elektrycznej, poprzez transport energii elektrycznej sieciami dystrybucyjnymi, w celu jej dostarczania odbiorcom przyłączonym do sieci OSD.</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Usługa kompleksowa będzie świadczona do wszystkich PPE wskazanych w załączniku.</w:t>
      </w:r>
    </w:p>
    <w:p w:rsidR="00E9792A" w:rsidRP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 xml:space="preserve">Umowa niniejsza zostaje zawarta na okres 36 miesięcy: od 01.01.2025 r. do 31.12.2027 r. </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2</w:t>
      </w:r>
    </w:p>
    <w:p w:rsidR="00E9792A" w:rsidRDefault="00E9792A" w:rsidP="00E9792A">
      <w:pPr>
        <w:pStyle w:val="Akapitzlist"/>
        <w:numPr>
          <w:ilvl w:val="0"/>
          <w:numId w:val="2"/>
        </w:numPr>
        <w:ind w:left="426" w:hanging="426"/>
        <w:jc w:val="both"/>
        <w:rPr>
          <w:rFonts w:ascii="Arial" w:hAnsi="Arial" w:cs="Arial"/>
          <w:sz w:val="22"/>
          <w:szCs w:val="22"/>
        </w:rPr>
      </w:pPr>
      <w:r w:rsidRPr="00E9792A">
        <w:rPr>
          <w:rFonts w:ascii="Arial" w:hAnsi="Arial" w:cs="Arial"/>
          <w:sz w:val="22"/>
          <w:szCs w:val="22"/>
        </w:rPr>
        <w:t>Odbiorca oświadcza, że: nie posiada koncesji/posiada koncesję na*: wytwarzanie/ obrót / przesyłanie / dystrybucję energii elektrycznej*) Zakupiona energia elektryczna zostanie/ nie zostanie* przeznaczona do dalszej odsprzedaży.</w:t>
      </w:r>
    </w:p>
    <w:p w:rsidR="00E9792A" w:rsidRPr="00E9792A" w:rsidRDefault="00E9792A" w:rsidP="00E9792A">
      <w:pPr>
        <w:pStyle w:val="Akapitzlist"/>
        <w:numPr>
          <w:ilvl w:val="0"/>
          <w:numId w:val="2"/>
        </w:numPr>
        <w:ind w:left="426" w:hanging="426"/>
        <w:jc w:val="both"/>
        <w:rPr>
          <w:rFonts w:ascii="Arial" w:hAnsi="Arial" w:cs="Arial"/>
          <w:sz w:val="22"/>
          <w:szCs w:val="22"/>
        </w:rPr>
      </w:pPr>
      <w:r w:rsidRPr="00E9792A">
        <w:rPr>
          <w:rFonts w:ascii="Arial" w:hAnsi="Arial" w:cs="Arial"/>
          <w:sz w:val="22"/>
          <w:szCs w:val="22"/>
        </w:rPr>
        <w:t xml:space="preserve">W przypadku uszkodzenia układu pomiarowo - rozliczeniowego Sprzedawca zastrzega sobie prawo do rozliczenia pobranej energii elektrycznej na podstawie współczynników korekcji.                                                                                                                                                                                                                                                                                                                                                                                                                 </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3</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OSD jest uprawniony do określania dopuszczalnego poboru mocy przez Odbiorcę w</w:t>
      </w:r>
      <w:r w:rsidR="00FB667C">
        <w:rPr>
          <w:rFonts w:ascii="Arial" w:hAnsi="Arial" w:cs="Arial"/>
          <w:sz w:val="22"/>
          <w:szCs w:val="22"/>
        </w:rPr>
        <w:t> </w:t>
      </w:r>
      <w:r w:rsidRPr="00E9792A">
        <w:rPr>
          <w:rFonts w:ascii="Arial" w:hAnsi="Arial" w:cs="Arial"/>
          <w:sz w:val="22"/>
          <w:szCs w:val="22"/>
        </w:rPr>
        <w:t>poszczególnych stopniach zasilania i zobowiązuje się informować o tym Odbiorcę na piśmie zgodnie z aktami wykonawczymi do ustawy Prawo Energetyczne.</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Odbiorca zobowiązuje się dostosować do ograniczeń wprowadzonych zgodnie z aktami wykonawczymi do ustawy Prawo Energetyczne.</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Odbiorca zobowiązuje się do należytej staranności w prowadzeniu eksploatacji swoich urządzeń i instalacji zgodnie z zasadami określonymi w Instrukcji Współpracy Ruchowej oraz Instrukcji Ruchu i Eksploatacji Sieci Dystrybucyjnej oraz własnymi instrukcjami, w tym zapewnienia właściwego i poprawnego działania układów pomiarowo – rozliczeniowych oraz urządzeń służących do zdalnej transmisji danych pomiarowych do OSD. Wprowadzenie innych standardów eksploatacji urządzeń i instalacji wymaga wcześniejszego pisemnego uzgodnienia z OSD.</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Umowa uwzględnia postanowienia:</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ustawy z dnia 23 kwietnia 1964 r. Kodeks Cywilny</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ustawy z dnia 10 kwietnia 1997r. Prawo zwanej dalej Ustawą, wraz z aktami wykonawczymi do tej ustawy;</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koncesji Sprzedawcy na obrót energią elektryczną;</w:t>
      </w:r>
    </w:p>
    <w:p w:rsidR="00E9792A" w:rsidRP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 xml:space="preserve">koncesji OSD na dystrybucję energii elektrycznej. </w:t>
      </w:r>
    </w:p>
    <w:p w:rsidR="00144A08" w:rsidRPr="00E9792A" w:rsidRDefault="00144A08"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4</w:t>
      </w:r>
    </w:p>
    <w:p w:rsidR="00E9792A" w:rsidRPr="00E9792A" w:rsidRDefault="00E9792A" w:rsidP="00E9792A">
      <w:pPr>
        <w:pStyle w:val="Akapitzlist"/>
        <w:numPr>
          <w:ilvl w:val="0"/>
          <w:numId w:val="6"/>
        </w:numPr>
        <w:ind w:left="426" w:hanging="426"/>
        <w:jc w:val="both"/>
        <w:rPr>
          <w:rFonts w:ascii="Arial" w:hAnsi="Arial" w:cs="Arial"/>
          <w:sz w:val="22"/>
          <w:szCs w:val="22"/>
        </w:rPr>
      </w:pPr>
      <w:r w:rsidRPr="00E9792A">
        <w:rPr>
          <w:rFonts w:ascii="Arial" w:hAnsi="Arial" w:cs="Arial"/>
          <w:sz w:val="22"/>
          <w:szCs w:val="22"/>
        </w:rPr>
        <w:t>Odbiorca oświadcza, że poprzez zawarcie Umowy sprzedaży energii elektrycznej i świadczenia usługi dystrybucji wskazuje Sprzedawcę jako podmiot odpowiedzialny za bilansowanie handlowe na rynku bilansującym. Sprzedawca może zlecić wykonanie obowiązków w zakresie bilansowania handlowego Odbiorcy innemu podmiotowi.</w:t>
      </w:r>
    </w:p>
    <w:p w:rsidR="00E9792A" w:rsidRDefault="00E9792A" w:rsidP="00E9792A">
      <w:pPr>
        <w:jc w:val="both"/>
        <w:rPr>
          <w:rFonts w:ascii="Arial" w:hAnsi="Arial" w:cs="Arial"/>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ROZDZIAŁ 2</w:t>
      </w:r>
    </w:p>
    <w:p w:rsidR="00E9792A" w:rsidRPr="00144A08" w:rsidRDefault="00E9792A" w:rsidP="00E9792A">
      <w:pPr>
        <w:jc w:val="center"/>
        <w:rPr>
          <w:rFonts w:ascii="Arial" w:hAnsi="Arial" w:cs="Arial"/>
          <w:b/>
          <w:bCs/>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PRAWA I OBOWIĄZKI STRON</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5</w:t>
      </w:r>
    </w:p>
    <w:p w:rsidR="00E9792A" w:rsidRDefault="00E9792A" w:rsidP="00E9792A">
      <w:pPr>
        <w:pStyle w:val="Akapitzlist"/>
        <w:numPr>
          <w:ilvl w:val="0"/>
          <w:numId w:val="7"/>
        </w:numPr>
        <w:ind w:left="426" w:hanging="426"/>
        <w:jc w:val="both"/>
        <w:rPr>
          <w:rFonts w:ascii="Arial" w:hAnsi="Arial" w:cs="Arial"/>
          <w:sz w:val="22"/>
          <w:szCs w:val="22"/>
        </w:rPr>
      </w:pPr>
      <w:r w:rsidRPr="00E9792A">
        <w:rPr>
          <w:rFonts w:ascii="Arial" w:hAnsi="Arial" w:cs="Arial"/>
          <w:sz w:val="22"/>
          <w:szCs w:val="22"/>
        </w:rPr>
        <w:t>Oświadczenie Sprzedawcy o posiadaniu oświadczenie Operatora Systemu Dystrybucyjnego, w którym OSD zobowiązuje się do:</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Przestrzegania aktualnie obowiązujących przepisów dotyczących warunków dystrybucji energii elektrycznej, budowy i eksploatacji urządzeń elektroenergetycznych, ochrony przeciwporażeniowej, przeciwpożarowej i</w:t>
      </w:r>
      <w:r w:rsidR="00FB667C">
        <w:rPr>
          <w:rFonts w:ascii="Arial" w:hAnsi="Arial" w:cs="Arial"/>
          <w:sz w:val="22"/>
          <w:szCs w:val="22"/>
        </w:rPr>
        <w:t> </w:t>
      </w:r>
      <w:r w:rsidRPr="00E9792A">
        <w:rPr>
          <w:rFonts w:ascii="Arial" w:hAnsi="Arial" w:cs="Arial"/>
          <w:sz w:val="22"/>
          <w:szCs w:val="22"/>
        </w:rPr>
        <w:t>środowiska naturalnego w zakresie eksploatowanych przez siebie urządzeń.</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Zachowania w miejscach dostarczania energii elektrycznej standardów jakościowych energii elektrycznej, zgodne z obowiązującym Rozporządzeniem Ministra Gospodarki z dnia 22 marca 2023 r. w sprawie szczegółowych warunków funkcjonowania systemu elektroenergetycznego</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Bezzwłocznego przystąpienia do usuwania zakłóceń w dostarczaniu energii elektrycznej spowodowanych nieprawidłową pracą sieci dystrybucyjnej.</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Ograniczenia przerw w dostarczaniu energii elektrycznej w wypadku awarii do</w:t>
      </w:r>
      <w:r w:rsidR="00FB667C">
        <w:rPr>
          <w:rFonts w:ascii="Arial" w:hAnsi="Arial" w:cs="Arial"/>
          <w:sz w:val="22"/>
          <w:szCs w:val="22"/>
        </w:rPr>
        <w:t> </w:t>
      </w:r>
      <w:r w:rsidRPr="00E9792A">
        <w:rPr>
          <w:rFonts w:ascii="Arial" w:hAnsi="Arial" w:cs="Arial"/>
          <w:sz w:val="22"/>
          <w:szCs w:val="22"/>
        </w:rPr>
        <w:t>niezbędnego minimum.</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Instalowania i konserwacji układów pomiarowych i sterowników czasowych w</w:t>
      </w:r>
      <w:r w:rsidR="00FB667C">
        <w:rPr>
          <w:rFonts w:ascii="Arial" w:hAnsi="Arial" w:cs="Arial"/>
          <w:sz w:val="22"/>
          <w:szCs w:val="22"/>
        </w:rPr>
        <w:t> </w:t>
      </w:r>
      <w:r w:rsidRPr="00E9792A">
        <w:rPr>
          <w:rFonts w:ascii="Arial" w:hAnsi="Arial" w:cs="Arial"/>
          <w:sz w:val="22"/>
          <w:szCs w:val="22"/>
        </w:rPr>
        <w:t xml:space="preserve">przypadku Odbiorców z grupy IV, V i VI zasilanych z sieci o napięciu znamionowym do 1 </w:t>
      </w:r>
      <w:proofErr w:type="spellStart"/>
      <w:r w:rsidRPr="00E9792A">
        <w:rPr>
          <w:rFonts w:ascii="Arial" w:hAnsi="Arial" w:cs="Arial"/>
          <w:sz w:val="22"/>
          <w:szCs w:val="22"/>
        </w:rPr>
        <w:t>kV</w:t>
      </w:r>
      <w:proofErr w:type="spellEnd"/>
      <w:r w:rsidRPr="00E9792A">
        <w:rPr>
          <w:rFonts w:ascii="Arial" w:hAnsi="Arial" w:cs="Arial"/>
          <w:sz w:val="22"/>
          <w:szCs w:val="22"/>
        </w:rPr>
        <w:t>, oraz układów transmisji danych pomiarowych w przypadku Odbiorców z zainstalowanymi układami transmisji.</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Wymiany liczników nie będących własnością Odbiorcy, w przypadku:</w:t>
      </w:r>
    </w:p>
    <w:p w:rsidR="00E9792A" w:rsidRDefault="00E9792A" w:rsidP="00E9792A">
      <w:pPr>
        <w:pStyle w:val="Akapitzlist"/>
        <w:numPr>
          <w:ilvl w:val="0"/>
          <w:numId w:val="9"/>
        </w:numPr>
        <w:jc w:val="both"/>
        <w:rPr>
          <w:rFonts w:ascii="Arial" w:hAnsi="Arial" w:cs="Arial"/>
          <w:sz w:val="22"/>
          <w:szCs w:val="22"/>
        </w:rPr>
      </w:pPr>
      <w:r w:rsidRPr="00E9792A">
        <w:rPr>
          <w:rFonts w:ascii="Arial" w:hAnsi="Arial" w:cs="Arial"/>
          <w:sz w:val="22"/>
          <w:szCs w:val="22"/>
        </w:rPr>
        <w:t>żądania przez Odbiorcę laboratoryjnego sprawdzenia działania licznika,</w:t>
      </w:r>
    </w:p>
    <w:p w:rsidR="00E9792A" w:rsidRDefault="00E9792A" w:rsidP="00E9792A">
      <w:pPr>
        <w:pStyle w:val="Akapitzlist"/>
        <w:numPr>
          <w:ilvl w:val="0"/>
          <w:numId w:val="9"/>
        </w:numPr>
        <w:jc w:val="both"/>
        <w:rPr>
          <w:rFonts w:ascii="Arial" w:hAnsi="Arial" w:cs="Arial"/>
          <w:sz w:val="22"/>
          <w:szCs w:val="22"/>
        </w:rPr>
      </w:pPr>
      <w:r w:rsidRPr="00E9792A">
        <w:rPr>
          <w:rFonts w:ascii="Arial" w:hAnsi="Arial" w:cs="Arial"/>
          <w:sz w:val="22"/>
          <w:szCs w:val="22"/>
        </w:rPr>
        <w:t>okoliczności wynikających z ustawy – Prawo o miarach.</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Odpłatnego podjęcia stosownych czynności w sieci dystrybucyjnej w celu umożliwienia bezpiecznego wykonania przez Odbiorcę prac w obszarze oddziaływania tej sieci.</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Przyjmowania przez całą dobę zgłoszeń i reklamacji od Odbiorców dotyczących standardów jakościowych.</w:t>
      </w:r>
    </w:p>
    <w:p w:rsidR="00E9792A" w:rsidRP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Udzielania Odbiorcom, na ich życzenie, informacji o przewidywanym terminie wznowienia dostaw energii elektrycznej przerwanych z powodu awarii sieci.</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6</w:t>
      </w:r>
    </w:p>
    <w:p w:rsidR="00E9792A" w:rsidRPr="00144A08" w:rsidRDefault="00E9792A" w:rsidP="00144A08">
      <w:pPr>
        <w:jc w:val="center"/>
        <w:rPr>
          <w:rFonts w:ascii="Arial" w:hAnsi="Arial" w:cs="Arial"/>
          <w:b/>
          <w:bCs/>
          <w:sz w:val="22"/>
          <w:szCs w:val="22"/>
        </w:rPr>
      </w:pPr>
      <w:r w:rsidRPr="00144A08">
        <w:rPr>
          <w:rFonts w:ascii="Arial" w:hAnsi="Arial" w:cs="Arial"/>
          <w:b/>
          <w:bCs/>
          <w:sz w:val="22"/>
          <w:szCs w:val="22"/>
        </w:rPr>
        <w:t>SPRZEDAWCA ZOBOWIĄZUJE SIĘ DO:</w:t>
      </w:r>
    </w:p>
    <w:p w:rsidR="00E9792A" w:rsidRPr="00E9792A" w:rsidRDefault="00E9792A" w:rsidP="00E9792A">
      <w:pPr>
        <w:jc w:val="both"/>
        <w:rPr>
          <w:rFonts w:ascii="Arial" w:hAnsi="Arial" w:cs="Arial"/>
          <w:sz w:val="22"/>
          <w:szCs w:val="22"/>
        </w:rPr>
      </w:pP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Sprzedaży energii elektrycznej Odbiorcy według rzeczywistego zapotrzebowania w okresach rozliczeniowych.</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Przyjmowania, w godzinach urzędowania, we wszystkich jednostkach organizacyjnych Sprzedawcy wniosków, zgłoszeń i reklamacji od Odbiorców dotyczących dostarczania energii elektrycznej.</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 xml:space="preserve">Udzielania, na pisemny wniosek Odbiorcy, po rozpatrzeniu i uznaniu przez OSD jego zasadności, bonifikat za niedotrzymanie przez OSD parametrów jakościowych energii elektrycznej. </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Udzielania, na pisemny wniosek Odbiorcy, po rozpatrzeniu i uznaniu jego zasadności, bonifikat za niedotrzymanie przez Sprzedawcę standardów jakościowych obsługi Odbiorców w wysokościach określonych w Regulaminie, Taryfie Sprzedawcy lub w Cenniku - w terminie 30 dni od dnia złożenia wniosku.</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Wznowienia dostaw energii elektrycznej, jeżeli ustaną przyczyny uzasadniające wstrzymanie jej dostarczania. Odbiorca pokrywa koszt wznowienia dostaw energii elektrycznej, zgodnie z taryfą OSD.</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Dokonywania rozliczeń za sprzedaż energii elektrycznej oraz świadczone usługi dystrybucji, zgodnie z zawartą Umową.</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Udzielania nieodpłatnych informacji w sprawie zasad rozliczeń oraz aktualnych Taryf lub</w:t>
      </w:r>
      <w:r w:rsidR="00FB667C">
        <w:rPr>
          <w:rFonts w:ascii="Arial" w:hAnsi="Arial" w:cs="Arial"/>
          <w:sz w:val="22"/>
          <w:szCs w:val="22"/>
        </w:rPr>
        <w:t> </w:t>
      </w:r>
      <w:r w:rsidRPr="00E9792A">
        <w:rPr>
          <w:rFonts w:ascii="Arial" w:hAnsi="Arial" w:cs="Arial"/>
          <w:sz w:val="22"/>
          <w:szCs w:val="22"/>
        </w:rPr>
        <w:t>Cennika.</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Rozpatrzenia wniosku lub reklamacji odbiorcy w sprawie rozliczeń i udzielania odpowiedzi nie później niż w terminie 14 dni od daty złożenia wniosku lub zgłoszenia reklamacji.</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lastRenderedPageBreak/>
        <w:t>Zmiany na pisemny wniosek Odbiorcy grupy taryfowej nie częściej niż co 12 miesięcy, przy</w:t>
      </w:r>
      <w:r w:rsidR="00FB667C">
        <w:rPr>
          <w:rFonts w:ascii="Arial" w:hAnsi="Arial" w:cs="Arial"/>
          <w:sz w:val="22"/>
          <w:szCs w:val="22"/>
        </w:rPr>
        <w:t> </w:t>
      </w:r>
      <w:r w:rsidRPr="00E9792A">
        <w:rPr>
          <w:rFonts w:ascii="Arial" w:hAnsi="Arial" w:cs="Arial"/>
          <w:sz w:val="22"/>
          <w:szCs w:val="22"/>
        </w:rPr>
        <w:t>czym o planowanej zmianie Odbiorca zobowiązany jest powiadomić Sprzedawcę nie później niż na 30 dni przed wskazanym terminem zmiany. Odbiorca dostosuje instalację i układ pomiarowo-rozliczeniowy własnym kosztem i staraniem do rozliczania według innej grupy taryfowej.</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Zlecenia sprawdzenia układu pomiarowo-rozliczeniowego przez upoważnionego przedstawiciela OSD:</w:t>
      </w:r>
    </w:p>
    <w:p w:rsidR="00E9792A" w:rsidRDefault="00E9792A" w:rsidP="00E9792A">
      <w:pPr>
        <w:pStyle w:val="Akapitzlist"/>
        <w:numPr>
          <w:ilvl w:val="0"/>
          <w:numId w:val="12"/>
        </w:numPr>
        <w:jc w:val="both"/>
        <w:rPr>
          <w:rFonts w:ascii="Arial" w:hAnsi="Arial" w:cs="Arial"/>
          <w:sz w:val="22"/>
          <w:szCs w:val="22"/>
        </w:rPr>
      </w:pPr>
      <w:r w:rsidRPr="00E9792A">
        <w:rPr>
          <w:rFonts w:ascii="Arial" w:hAnsi="Arial" w:cs="Arial"/>
          <w:sz w:val="22"/>
          <w:szCs w:val="22"/>
        </w:rPr>
        <w:t>po zgłoszonej reklamacji,</w:t>
      </w:r>
    </w:p>
    <w:p w:rsidR="00E9792A" w:rsidRPr="00E9792A" w:rsidRDefault="00E9792A" w:rsidP="00E9792A">
      <w:pPr>
        <w:pStyle w:val="Akapitzlist"/>
        <w:numPr>
          <w:ilvl w:val="0"/>
          <w:numId w:val="12"/>
        </w:numPr>
        <w:jc w:val="both"/>
        <w:rPr>
          <w:rFonts w:ascii="Arial" w:hAnsi="Arial" w:cs="Arial"/>
          <w:sz w:val="22"/>
          <w:szCs w:val="22"/>
        </w:rPr>
      </w:pPr>
      <w:r w:rsidRPr="00E9792A">
        <w:rPr>
          <w:rFonts w:ascii="Arial" w:hAnsi="Arial" w:cs="Arial"/>
          <w:sz w:val="22"/>
          <w:szCs w:val="22"/>
        </w:rPr>
        <w:t>w celu kontroli parametrów metrologicznych układów.</w:t>
      </w:r>
    </w:p>
    <w:p w:rsidR="00E9792A" w:rsidRPr="00E9792A" w:rsidRDefault="00E9792A" w:rsidP="00E9792A">
      <w:pPr>
        <w:jc w:val="both"/>
        <w:rPr>
          <w:rFonts w:ascii="Arial" w:hAnsi="Arial" w:cs="Arial"/>
          <w:sz w:val="22"/>
          <w:szCs w:val="22"/>
        </w:rPr>
      </w:pPr>
    </w:p>
    <w:p w:rsidR="00E9792A" w:rsidRDefault="00E9792A" w:rsidP="00E9792A">
      <w:pPr>
        <w:jc w:val="center"/>
        <w:rPr>
          <w:rFonts w:ascii="Arial" w:hAnsi="Arial" w:cs="Arial"/>
          <w:b/>
          <w:bCs/>
          <w:sz w:val="22"/>
          <w:szCs w:val="22"/>
        </w:rPr>
      </w:pPr>
      <w:r w:rsidRPr="00E9792A">
        <w:rPr>
          <w:rFonts w:ascii="Arial" w:hAnsi="Arial" w:cs="Arial"/>
          <w:b/>
          <w:bCs/>
          <w:sz w:val="22"/>
          <w:szCs w:val="22"/>
        </w:rPr>
        <w:t>§ 7</w:t>
      </w:r>
    </w:p>
    <w:p w:rsidR="00E9792A" w:rsidRPr="00E9792A" w:rsidRDefault="00E9792A" w:rsidP="00E9792A">
      <w:pPr>
        <w:jc w:val="center"/>
        <w:rPr>
          <w:rFonts w:ascii="Arial" w:hAnsi="Arial" w:cs="Arial"/>
          <w:b/>
          <w:bCs/>
          <w:sz w:val="22"/>
          <w:szCs w:val="22"/>
        </w:rPr>
      </w:pPr>
    </w:p>
    <w:p w:rsidR="00E9792A" w:rsidRPr="00144A08" w:rsidRDefault="00E9792A" w:rsidP="00E9792A">
      <w:pPr>
        <w:jc w:val="both"/>
        <w:rPr>
          <w:rFonts w:ascii="Arial" w:hAnsi="Arial" w:cs="Arial"/>
          <w:b/>
          <w:bCs/>
          <w:sz w:val="22"/>
          <w:szCs w:val="22"/>
        </w:rPr>
      </w:pPr>
      <w:r w:rsidRPr="00144A08">
        <w:rPr>
          <w:rFonts w:ascii="Arial" w:hAnsi="Arial" w:cs="Arial"/>
          <w:b/>
          <w:bCs/>
          <w:sz w:val="22"/>
          <w:szCs w:val="22"/>
        </w:rPr>
        <w:t>W CELU REALIZACJI UMOWY PRZEDSTAWICIELE OSD MAJĄ PRAWO DO:</w:t>
      </w:r>
    </w:p>
    <w:p w:rsidR="00E9792A" w:rsidRPr="00144A08" w:rsidRDefault="00E9792A" w:rsidP="00E9792A">
      <w:pPr>
        <w:jc w:val="both"/>
        <w:rPr>
          <w:rFonts w:ascii="Arial" w:hAnsi="Arial" w:cs="Arial"/>
          <w:b/>
          <w:bCs/>
          <w:sz w:val="22"/>
          <w:szCs w:val="22"/>
        </w:rPr>
      </w:pPr>
    </w:p>
    <w:p w:rsidR="00E9792A" w:rsidRDefault="00E9792A" w:rsidP="00E9792A">
      <w:pPr>
        <w:pStyle w:val="Akapitzlist"/>
        <w:numPr>
          <w:ilvl w:val="0"/>
          <w:numId w:val="13"/>
        </w:numPr>
        <w:ind w:left="284" w:hanging="284"/>
        <w:jc w:val="both"/>
        <w:rPr>
          <w:rFonts w:ascii="Arial" w:hAnsi="Arial" w:cs="Arial"/>
          <w:sz w:val="22"/>
          <w:szCs w:val="22"/>
        </w:rPr>
      </w:pPr>
      <w:r w:rsidRPr="00E9792A">
        <w:rPr>
          <w:rFonts w:ascii="Arial" w:hAnsi="Arial" w:cs="Arial"/>
          <w:sz w:val="22"/>
          <w:szCs w:val="22"/>
        </w:rPr>
        <w:t>Wstępu na teren nieruchomości lub do pomieszczeń z układami pomiarowo-rozliczeniowymi, w celu przeprowadzenia odczytów układów pomiarowo-rozliczeniowych lub ich wymiany;</w:t>
      </w:r>
    </w:p>
    <w:p w:rsidR="00E9792A" w:rsidRDefault="00E9792A" w:rsidP="00E9792A">
      <w:pPr>
        <w:pStyle w:val="Akapitzlist"/>
        <w:numPr>
          <w:ilvl w:val="0"/>
          <w:numId w:val="13"/>
        </w:numPr>
        <w:ind w:left="284" w:hanging="284"/>
        <w:jc w:val="both"/>
        <w:rPr>
          <w:rFonts w:ascii="Arial" w:hAnsi="Arial" w:cs="Arial"/>
          <w:sz w:val="22"/>
          <w:szCs w:val="22"/>
        </w:rPr>
      </w:pPr>
      <w:r w:rsidRPr="00E9792A">
        <w:rPr>
          <w:rFonts w:ascii="Arial" w:hAnsi="Arial" w:cs="Arial"/>
          <w:sz w:val="22"/>
          <w:szCs w:val="22"/>
        </w:rPr>
        <w:t>Wstępu na teren nieruchomości lub do pomieszczeń z układami pomiarowo- rozliczeniowymi, po okazaniu legitymacji oraz pisemnego upoważnienia do przeprowadzenia kontroli w celu:</w:t>
      </w:r>
    </w:p>
    <w:p w:rsidR="00E9792A" w:rsidRDefault="00E9792A" w:rsidP="00E9792A">
      <w:pPr>
        <w:pStyle w:val="Akapitzlist"/>
        <w:numPr>
          <w:ilvl w:val="0"/>
          <w:numId w:val="14"/>
        </w:numPr>
        <w:jc w:val="both"/>
        <w:rPr>
          <w:rFonts w:ascii="Arial" w:hAnsi="Arial" w:cs="Arial"/>
          <w:sz w:val="22"/>
          <w:szCs w:val="22"/>
        </w:rPr>
      </w:pPr>
      <w:r w:rsidRPr="00E9792A">
        <w:rPr>
          <w:rFonts w:ascii="Arial" w:hAnsi="Arial" w:cs="Arial"/>
          <w:sz w:val="22"/>
          <w:szCs w:val="22"/>
        </w:rPr>
        <w:t>przeglądów urządzeń będących własnością OSD, a także prac związanych z ich eksploatacją lub naprawą oraz dokonywania badań i pomiarów.</w:t>
      </w:r>
    </w:p>
    <w:p w:rsidR="00E9792A" w:rsidRPr="00E9792A" w:rsidRDefault="00E9792A" w:rsidP="00E9792A">
      <w:pPr>
        <w:pStyle w:val="Akapitzlist"/>
        <w:numPr>
          <w:ilvl w:val="0"/>
          <w:numId w:val="14"/>
        </w:numPr>
        <w:jc w:val="both"/>
        <w:rPr>
          <w:rFonts w:ascii="Arial" w:hAnsi="Arial" w:cs="Arial"/>
          <w:sz w:val="22"/>
          <w:szCs w:val="22"/>
        </w:rPr>
      </w:pPr>
      <w:r w:rsidRPr="00E9792A">
        <w:rPr>
          <w:rFonts w:ascii="Arial" w:hAnsi="Arial" w:cs="Arial"/>
          <w:sz w:val="22"/>
          <w:szCs w:val="22"/>
        </w:rPr>
        <w:t>kontroli układów pomiarowo-rozliczeniowych, dotrzymywania zawartych umów i</w:t>
      </w:r>
      <w:r w:rsidR="00FB667C">
        <w:rPr>
          <w:rFonts w:ascii="Arial" w:hAnsi="Arial" w:cs="Arial"/>
          <w:sz w:val="22"/>
          <w:szCs w:val="22"/>
        </w:rPr>
        <w:t> </w:t>
      </w:r>
      <w:r w:rsidRPr="00E9792A">
        <w:rPr>
          <w:rFonts w:ascii="Arial" w:hAnsi="Arial" w:cs="Arial"/>
          <w:sz w:val="22"/>
          <w:szCs w:val="22"/>
        </w:rPr>
        <w:t>prawidłowości rozliczeń, w tym: zbierania i zabezpieczania dowodów naruszenia warunków używania układów pomiarowo-rozliczeniowych oraz warunków zawartej Umowy.</w:t>
      </w: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8</w:t>
      </w:r>
    </w:p>
    <w:p w:rsidR="00E9792A" w:rsidRPr="00144A08" w:rsidRDefault="00E9792A" w:rsidP="00E9792A">
      <w:pPr>
        <w:jc w:val="both"/>
        <w:rPr>
          <w:rFonts w:ascii="Arial" w:hAnsi="Arial" w:cs="Arial"/>
          <w:b/>
          <w:bCs/>
          <w:sz w:val="22"/>
          <w:szCs w:val="22"/>
        </w:rPr>
      </w:pPr>
      <w:r w:rsidRPr="00144A08">
        <w:rPr>
          <w:rFonts w:ascii="Arial" w:hAnsi="Arial" w:cs="Arial"/>
          <w:b/>
          <w:bCs/>
          <w:sz w:val="22"/>
          <w:szCs w:val="22"/>
        </w:rPr>
        <w:t>ODBIORCA ZOBOWIĄZANY JEST DO:</w:t>
      </w:r>
    </w:p>
    <w:p w:rsidR="00E9792A" w:rsidRPr="00E9792A" w:rsidRDefault="00E9792A" w:rsidP="00E9792A">
      <w:pPr>
        <w:jc w:val="both"/>
        <w:rPr>
          <w:rFonts w:ascii="Arial" w:hAnsi="Arial" w:cs="Arial"/>
          <w:sz w:val="22"/>
          <w:szCs w:val="22"/>
        </w:rPr>
      </w:pP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Terminowej zapłaty na rzecz Sprzedawcy opłat za zakupioną energię elektryczną i</w:t>
      </w:r>
      <w:r w:rsidR="00FB667C">
        <w:rPr>
          <w:rFonts w:ascii="Arial" w:hAnsi="Arial" w:cs="Arial"/>
          <w:sz w:val="22"/>
          <w:szCs w:val="22"/>
        </w:rPr>
        <w:t> </w:t>
      </w:r>
      <w:r w:rsidRPr="00E9792A">
        <w:rPr>
          <w:rFonts w:ascii="Arial" w:hAnsi="Arial" w:cs="Arial"/>
          <w:sz w:val="22"/>
          <w:szCs w:val="22"/>
        </w:rPr>
        <w:t xml:space="preserve">świadczenie usługi dystrybucji.  </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Wnoszenia opłat za dodatkowe usługi oraz czynności świadczone przez Sprzedawcę bądź OSD na zlecenie Odbiorcy lub wynikających z Taryfy lub Taryfy OSD.</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Pobierania mocy i energii elektrycznej zgodnie z warunkami Umowy, bez naruszania praw osób trzecich.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Utrzymywania należącej do niego wewnętrznej instalacji zasilającej i odbiorczej w stanie technicznym zgodnym z wymaganiami określonymi w odrębnych przepisach.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Utrzymywania użytkowanego obiektu w sposób nie utrudniający prawidłowego funkcjonowania sieci, a w szczególności do zachowania wymaganych odległości istniejących urządzeń, w szczególności od drzew, krzewów i obiektów budowlanych.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Umożliwienia przedstawicielom OSD odczytania wskazań układów pomiarowo – rozliczeniowych.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Umożliwiania przedstawicielom OSD dostępu (wraz z niezbędnym sprzętem) do swoich urządzeń energetycznych znajdujących się na terenie lub w obiekcie Odbiorcy w celu: usunięcia awarii w sieci, sprawdzenia stanu licznika, wykonania prac związanych z</w:t>
      </w:r>
      <w:r w:rsidR="00FB667C">
        <w:rPr>
          <w:rFonts w:ascii="Arial" w:hAnsi="Arial" w:cs="Arial"/>
          <w:sz w:val="22"/>
          <w:szCs w:val="22"/>
        </w:rPr>
        <w:t> </w:t>
      </w:r>
      <w:r w:rsidRPr="00E9792A">
        <w:rPr>
          <w:rFonts w:ascii="Arial" w:hAnsi="Arial" w:cs="Arial"/>
          <w:sz w:val="22"/>
          <w:szCs w:val="22"/>
        </w:rPr>
        <w:t xml:space="preserve">eksploatacją lub naprawą oraz demontażem licznika. </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Usunięcia przyczyny zakłóceń w Sieci dystrybucyjnej lub awarii wraz z poniesieniem kosztów, gdy awarię lub zakłócenia w sieci spowoduje instalacja Odbiorcy.</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 xml:space="preserve">Wymiany układu pomiarowo-rozliczeniowego, będącego własnością Odbiorcy, zgodnie z obowiązującymi przepisami. W przypadku odbiorców zaliczonych do grup przyłączeniowych II i III, a także VI (dla napięcia zasilania wyższego niż 1 </w:t>
      </w:r>
      <w:proofErr w:type="spellStart"/>
      <w:r w:rsidRPr="00E9792A">
        <w:rPr>
          <w:rFonts w:ascii="Arial" w:hAnsi="Arial" w:cs="Arial"/>
          <w:sz w:val="22"/>
          <w:szCs w:val="22"/>
        </w:rPr>
        <w:t>kV</w:t>
      </w:r>
      <w:proofErr w:type="spellEnd"/>
      <w:r w:rsidRPr="00E9792A">
        <w:rPr>
          <w:rFonts w:ascii="Arial" w:hAnsi="Arial" w:cs="Arial"/>
          <w:sz w:val="22"/>
          <w:szCs w:val="22"/>
        </w:rPr>
        <w:t>) oraz Wytwórców (niezależnie od wysokości napięcia zasilania) podstawowe i rezerwowe układy pomiarowo – rozliczeniowe określone przez OSD nabywa, instaluje, wymienia, konserwuje i zgłasza do legalizacji, badania laboratoryjnego lub ekspertyzy własnym kosztem i staraniem Odbiorca. Odbiorca dostarcza zastępczy układ pomiarowo-rozliczeniowy na czas trwania legalizacji, laboratoryjnego sprawdzenia lub ekspertyzy.</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Umożliwienia wymiany układu pomiarowo-rozliczeniowego będącego własnością OSD.</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Prawidłowej eksploatacji własnych instalacji (urządzeń) i niewprowadzania do zasilającej</w:t>
      </w:r>
      <w:r>
        <w:rPr>
          <w:rFonts w:ascii="Arial" w:hAnsi="Arial" w:cs="Arial"/>
          <w:sz w:val="22"/>
          <w:szCs w:val="22"/>
        </w:rPr>
        <w:t xml:space="preserve"> </w:t>
      </w:r>
      <w:r w:rsidRPr="00E9792A">
        <w:rPr>
          <w:rFonts w:ascii="Arial" w:hAnsi="Arial" w:cs="Arial"/>
          <w:sz w:val="22"/>
          <w:szCs w:val="22"/>
        </w:rPr>
        <w:t>sieci dystrybucyjnej zakłóceń definiowanych jako: przepięcia, migotania, zapady napięcia oraz wyższe harmoniczne, powodujące odkształcenia napięcia w punktach odbioru energii elektrycznej.</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lastRenderedPageBreak/>
        <w:t>Poniesienia kosztów sprawdzenia prawidłowości działania układu pomiarowo-rozliczeniowego reklamowanego przez Odbiorcę w przypadku, gdy w wyniku sprawdzenia prawidłowości działania tego układu oraz badania laboratoryjnego stwierdzono, że wskazania nie przekraczają dopuszczalnych, określonych przez przepisy metrologiczne, granicznych wielkości tolerancji pomiaru.</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Niezwłocznego poinformowania Sprzedawcy lub OSD o zauważonych wadach lub usterkach w układzie pomiarowo-rozliczeniowym i o innych okolicznościach, mających wpływ na możliwość niewłaściwego rozliczania za sprzedaną energię elektryczną i</w:t>
      </w:r>
      <w:r w:rsidR="00FB667C">
        <w:rPr>
          <w:rFonts w:ascii="Arial" w:hAnsi="Arial" w:cs="Arial"/>
          <w:sz w:val="22"/>
          <w:szCs w:val="22"/>
        </w:rPr>
        <w:t> </w:t>
      </w:r>
      <w:r w:rsidRPr="00E9792A">
        <w:rPr>
          <w:rFonts w:ascii="Arial" w:hAnsi="Arial" w:cs="Arial"/>
          <w:sz w:val="22"/>
          <w:szCs w:val="22"/>
        </w:rPr>
        <w:t>świadczone usługi dystrybucji.</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Powierzania budowy lub dokonywania zmian w instalacji elektrycznej osobom posiadającym odpowiednie uprawnienia i kwalifikacje.</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Zabezpieczenia przed uszkodzeniem lub kradzieżą układu pomiarowo-rozliczeniowego w tym nałożonych plomb oraz w przypadku, gdy układ ten stanowi własność OSD, zwrotu kosztów poniesionych przez OSD, związanych z zakupem i zainstalowaniem układu pomiarowo-rozliczeniowego w przypadku jego utraty, zniszczenia lub uszkodzenia. W przypadku utraty, zniszczenia lub uszkodzenia układu pomiarowo-rozliczeniowego lub systemu pomiarowo-rozliczeniowego, Odbiorca ponosi koszty zakupu i zainstalowania tego układu wg kalkulacji kosztów OSD. Wg kalkulacji kosztów OSD, Odbiorca ponosi również koszty zerwania lub uszkodzenia plomb.</w:t>
      </w:r>
    </w:p>
    <w:p w:rsidR="00E9792A" w:rsidRP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Pisemnego zgłoszenia zmiany adresu korespondencyjnego. Brak zgłoszenia upoważnia Sprzedawcę do uznania korespondencji za doręczoną pod ostatnio skutecznie zgłoszony adres korespondencyjny Odbiorcy.</w:t>
      </w:r>
    </w:p>
    <w:p w:rsidR="00E9792A" w:rsidRPr="00E9792A" w:rsidRDefault="00E9792A" w:rsidP="00E9792A">
      <w:pPr>
        <w:jc w:val="both"/>
        <w:rPr>
          <w:rFonts w:ascii="Arial" w:hAnsi="Arial" w:cs="Arial"/>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ROZDZIAŁ 3</w:t>
      </w:r>
    </w:p>
    <w:p w:rsidR="00E9792A" w:rsidRPr="00144A08" w:rsidRDefault="00E9792A" w:rsidP="00E9792A">
      <w:pPr>
        <w:jc w:val="center"/>
        <w:rPr>
          <w:rFonts w:ascii="Arial" w:hAnsi="Arial" w:cs="Arial"/>
          <w:b/>
          <w:bCs/>
          <w:sz w:val="22"/>
          <w:szCs w:val="22"/>
        </w:rPr>
      </w:pPr>
    </w:p>
    <w:p w:rsidR="00E9792A" w:rsidRPr="00144A08" w:rsidRDefault="00E9792A" w:rsidP="00E9792A">
      <w:pPr>
        <w:jc w:val="center"/>
        <w:rPr>
          <w:rFonts w:ascii="Arial" w:hAnsi="Arial" w:cs="Arial"/>
          <w:b/>
          <w:bCs/>
          <w:sz w:val="22"/>
          <w:szCs w:val="22"/>
        </w:rPr>
      </w:pPr>
      <w:r w:rsidRPr="00144A08">
        <w:rPr>
          <w:rFonts w:ascii="Arial" w:hAnsi="Arial" w:cs="Arial"/>
          <w:b/>
          <w:bCs/>
          <w:sz w:val="22"/>
          <w:szCs w:val="22"/>
        </w:rPr>
        <w:t>ROZLICZENIA STRON</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9</w:t>
      </w:r>
    </w:p>
    <w:p w:rsidR="00E9792A" w:rsidRDefault="00E9792A" w:rsidP="00E9792A">
      <w:pPr>
        <w:pStyle w:val="Akapitzlist"/>
        <w:numPr>
          <w:ilvl w:val="0"/>
          <w:numId w:val="16"/>
        </w:numPr>
        <w:ind w:left="426" w:hanging="578"/>
        <w:jc w:val="both"/>
        <w:rPr>
          <w:rFonts w:ascii="Arial" w:hAnsi="Arial" w:cs="Arial"/>
          <w:sz w:val="22"/>
          <w:szCs w:val="22"/>
        </w:rPr>
      </w:pPr>
      <w:r w:rsidRPr="00E9792A">
        <w:rPr>
          <w:rFonts w:ascii="Arial" w:hAnsi="Arial" w:cs="Arial"/>
          <w:sz w:val="22"/>
          <w:szCs w:val="22"/>
        </w:rPr>
        <w:t>Rozliczenia za sprzedaną energię elektryczną i świadczone usługi dystrybucji, z</w:t>
      </w:r>
      <w:r w:rsidR="00FB667C">
        <w:rPr>
          <w:rFonts w:ascii="Arial" w:hAnsi="Arial" w:cs="Arial"/>
          <w:sz w:val="22"/>
          <w:szCs w:val="22"/>
        </w:rPr>
        <w:t> </w:t>
      </w:r>
      <w:r w:rsidRPr="00E9792A">
        <w:rPr>
          <w:rFonts w:ascii="Arial" w:hAnsi="Arial" w:cs="Arial"/>
          <w:sz w:val="22"/>
          <w:szCs w:val="22"/>
        </w:rPr>
        <w:t>wyłączeniem ryczałtowej grupy taryfowej, dokonywane są na podstawie wskazań układów pomiarowo-rozliczeniowych dla poszczególnych PPE określonych w Umowie.</w:t>
      </w:r>
    </w:p>
    <w:p w:rsidR="00E9792A" w:rsidRDefault="00E9792A" w:rsidP="00E9792A">
      <w:pPr>
        <w:pStyle w:val="Akapitzlist"/>
        <w:numPr>
          <w:ilvl w:val="0"/>
          <w:numId w:val="16"/>
        </w:numPr>
        <w:ind w:left="426" w:hanging="578"/>
        <w:jc w:val="both"/>
        <w:rPr>
          <w:rFonts w:ascii="Arial" w:hAnsi="Arial" w:cs="Arial"/>
          <w:sz w:val="22"/>
          <w:szCs w:val="22"/>
        </w:rPr>
      </w:pPr>
      <w:r w:rsidRPr="00E9792A">
        <w:rPr>
          <w:rFonts w:ascii="Arial" w:hAnsi="Arial" w:cs="Arial"/>
          <w:sz w:val="22"/>
          <w:szCs w:val="22"/>
        </w:rPr>
        <w:t>Za realizację przedmiotu umowy, Wykonawcy przysługuje wynagrodzenie według cen jednostkowych, ustalonych na podstawie oferty Wykonawcy, które za dostawę energii elektrycznej oraz zapewnienie świadczenia usług dystrybucji energii elektrycznej w okresie 36 miesięcy wynosi:</w:t>
      </w:r>
    </w:p>
    <w:p w:rsidR="00E9792A" w:rsidRDefault="00E9792A" w:rsidP="00E9792A">
      <w:pPr>
        <w:pStyle w:val="Akapitzlist"/>
        <w:ind w:left="426"/>
        <w:jc w:val="both"/>
        <w:rPr>
          <w:rFonts w:ascii="Arial" w:hAnsi="Arial" w:cs="Arial"/>
          <w:sz w:val="22"/>
          <w:szCs w:val="22"/>
        </w:rPr>
      </w:pP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cena netto ………………… zł (słownie złotych: ……………………………)</w:t>
      </w: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stawka podatku VAT: ……% / wartość podatku VAT ……………………zł</w:t>
      </w: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cena brutto: …………………zł (słownie złotych:………………)</w:t>
      </w:r>
    </w:p>
    <w:p w:rsidR="00FB667C" w:rsidRPr="00144A08" w:rsidRDefault="00FB667C" w:rsidP="00144A08">
      <w:pPr>
        <w:jc w:val="both"/>
        <w:rPr>
          <w:rFonts w:ascii="Arial" w:hAnsi="Arial" w:cs="Arial"/>
          <w:sz w:val="22"/>
          <w:szCs w:val="22"/>
        </w:rPr>
      </w:pP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Rozliczenia za sprzedaną energie elektryczną i świadczenie usług dystrybucji przeprowadza się zgodnie z zawartą Umową oraz Taryfa OSD. Cena energii elektrycznej oraz stawka opłaty handlowej określona przez Wykonawcę, nie ulegnie zmianie przez cały okres obowiązywania umowy. W przypadku ustawowej zmiany opodatkowania energii elektrycznej podatkiem VAT, akcyzowym lub ogólnie obowiązujących przepisów prawa, a w szczególności zmiany ustawy prawo energetyczne lub aktów wykonawczych do tej ustawy wprowadzających dodatkowe obowiązki związane z zakupem praw majątkowych lub certyfikatów dotyczących efektywności energetycznej, ceny energii elektrycznej zostaną powiększone o kwotę wynikającą z obowiązków nałożonych właściwymi przepisami, od dnia wejścia w życie. W przypadku zmiany Taryfy OSD stawki opłat automatycznie ulegają zmianie od dnia ich wejścia w życie bez konieczności sporządzania aneksu.</w:t>
      </w:r>
    </w:p>
    <w:p w:rsidR="00A27539" w:rsidRDefault="00A27539" w:rsidP="00E9792A">
      <w:pPr>
        <w:pStyle w:val="Akapitzlist"/>
        <w:numPr>
          <w:ilvl w:val="0"/>
          <w:numId w:val="16"/>
        </w:numPr>
        <w:ind w:left="426" w:hanging="568"/>
        <w:jc w:val="both"/>
        <w:rPr>
          <w:rFonts w:ascii="Arial" w:hAnsi="Arial" w:cs="Arial"/>
          <w:sz w:val="22"/>
          <w:szCs w:val="22"/>
        </w:rPr>
      </w:pPr>
      <w:r w:rsidRPr="00A27539">
        <w:rPr>
          <w:rFonts w:ascii="Arial" w:hAnsi="Arial" w:cs="Arial"/>
          <w:sz w:val="22"/>
          <w:szCs w:val="22"/>
        </w:rPr>
        <w:t>Zwiększenie punktów poboru lub zmiana grupy taryfowej możliwe jest jedynie w obrębie grup taryfowych, które zostały ujęte w SWZ oraz wycenione w Formularzu Ofertowym Wykonawcy.</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przypadku braku dostępu do układu pomiarowo-rozliczeniowego, bądź niemożności dokonania odczytu przez OSD, ilość energii w danym okresie rozliczeniowym może być wyznaczana szacunkowo, na podstawie średniego dobowego zużycia energii elektrycznej z analogicznego okresu rozliczeniowego roku poprzedniego lub z ostatniego okresu rozliczeniowego.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lastRenderedPageBreak/>
        <w:t>Należności wynikające z faktur VAT bądź faktur VAT korekta będą płatne w terminie 21 dni od daty wystawienia.</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Za dzień zapłaty uznaje się datę uznania rachunku bankowego Wykonawcy.</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Reklamacje Odbiorcy nie zwalniają od obowiązku płatności należności.</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Zasady zamawiania oraz określania opłat za moc umowną określa Taryfa OSD.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Odbiorca jest obowiązany zgłosić Sprzedawcy na piśmie, oddzielnie dla każdego miejsca dostarczania, wielkość mocy umownej na kolejny rok kalendarzowy najpóźniej do dnia 31 października roku poprzedzającego zmianę. Warunki zmiany mocy umownej określa OSD.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Wielkość mocy umownej nie może być większa od mocy przyłączeniowej określonej dla danego miejsca dostarczania / przyłącza jak również nie może być mniejsza od mocy wymaganej ze względu na własności metrologiczne zainstalowanych w układzie pomiarowo rozliczeniowym przekładników prądowych i liczników energii elektrycznej, z</w:t>
      </w:r>
      <w:r w:rsidR="00FB667C">
        <w:rPr>
          <w:rFonts w:ascii="Arial" w:hAnsi="Arial" w:cs="Arial"/>
          <w:sz w:val="22"/>
          <w:szCs w:val="22"/>
        </w:rPr>
        <w:t> </w:t>
      </w:r>
      <w:r w:rsidRPr="00E9792A">
        <w:rPr>
          <w:rFonts w:ascii="Arial" w:hAnsi="Arial" w:cs="Arial"/>
          <w:sz w:val="22"/>
          <w:szCs w:val="22"/>
        </w:rPr>
        <w:t>uwzględnieniem charakterystyki poboru mocy przez Odbiorcę.</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Moc umowna zamawiana jest przez Odbiorcę w jednakowej wysokości na wszystkie miesiące roku lub w sposób wynikający z Taryfy OSD. W przypadku braku zamówienia mocy umownej przyjmuje się wielkość mocy umownej z ostatniego miesiąca roku poprzedniego.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Wybrana przez Odbiorcę grupa taryfowa w zakresie liczby rozliczeniowych stref czasowych obowiązuje co najmniej dwanaście miesięcy. Zmiana liczby stref czasowych wymaga pisemnego wystąpienia Odbiorcy z jednomiesięcznym wyprzedzeniem i może być przyjęta do rozliczeń od dnia dostosowania układu pomiarowo-rozliczeniowego.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Zmiana mocy umownej i/lub grupy taryfowej, może być związana z koniecznością dostosowania kosztem Odbiorcy, na warunkach określonych przez OSD, urządzeń elektroenergetycznych (w tym układu pomiarowo-rozliczeniowego dla grup przyłączeniowych II i III) do nowych warunków dostarczania energii elektrycznej lub realizacji nowych warunków przyłączenia, oraz może się wiązać z koniecznością zawarcia nowej umowy kompleksowej.</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Wszelkie prace przy urządzeniach pomiarowych, związane ze zdjęciem plomb nałożonych przez OSD na układ pomiarowo-rozliczeniowy, mogą być wykonywane wyłącznie na</w:t>
      </w:r>
      <w:r w:rsidR="00FB667C">
        <w:rPr>
          <w:rFonts w:ascii="Arial" w:hAnsi="Arial" w:cs="Arial"/>
          <w:sz w:val="22"/>
          <w:szCs w:val="22"/>
        </w:rPr>
        <w:t> </w:t>
      </w:r>
      <w:r w:rsidRPr="00E9792A">
        <w:rPr>
          <w:rFonts w:ascii="Arial" w:hAnsi="Arial" w:cs="Arial"/>
          <w:sz w:val="22"/>
          <w:szCs w:val="22"/>
        </w:rPr>
        <w:t>warunkach uzgodnionych z OSD bądź w obecności upoważnionych przedstawicieli OSD.</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rozliczeniach z odbiorcami zasilanymi poprzez własne transformatory z układem pomiarowo-rozliczeniowym zainstalowanym po stronie wtórnej transformatora, wielkość pobranej mocy i energii elektrycznej powiększa się o wielkości strat mocy i energii w transformatorach. Straty mocy czynnej przyjmuje się w wysokości 3% mocy wykazanej przez urządzenia pomiarowe. Straty energii czynnej przyjmuje się w wysokości 3% ilości kilowatogodzin, a straty energii biernej w wysokości 10% ilości kilowatogodzin wykazanych przez układ pomiarowo-rozliczeniowy, o ile układ ten nie jest wyposażony w urządzenia do</w:t>
      </w:r>
      <w:r w:rsidR="00FB667C">
        <w:rPr>
          <w:rFonts w:ascii="Arial" w:hAnsi="Arial" w:cs="Arial"/>
          <w:sz w:val="22"/>
          <w:szCs w:val="22"/>
        </w:rPr>
        <w:t> </w:t>
      </w:r>
      <w:r w:rsidRPr="00E9792A">
        <w:rPr>
          <w:rFonts w:ascii="Arial" w:hAnsi="Arial" w:cs="Arial"/>
          <w:sz w:val="22"/>
          <w:szCs w:val="22"/>
        </w:rPr>
        <w:t xml:space="preserve">pomiaru wielkości strat, sprawdzone i zaplombowane przez OSD. </w:t>
      </w:r>
    </w:p>
    <w:p w:rsidR="006B1616" w:rsidRPr="00A27539" w:rsidRDefault="00E9792A" w:rsidP="006B1616">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rozliczeniach z odbiorcami zasilanymi poprzez transformatory będące własnością OSD, pomiarów poboru mocy i zużycia energii dokonuje się po stronie wtórnej transformatora. Jeżeli strony Umowy uzgodnią zainstalowanie układu pomiarowo-rozliczeniowego po stronie pierwotnej transformatora straty w transformacji, wyszczególnione w ust. 14, należy odpowiednio odejmować.</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rozliczeniach z odbiorcami zasilanymi liniami kablowymi lub napowietrznymi niebędącymi własnością OSD, w przypadku, gdy układ pomiarowo-rozliczeniowy nie rejestruje strat energii występujących w tych liniach, odczyty wskazań układu pomiarowo-rozliczeniowego powiększa się o straty energii elektrycznej w liniach. Straty energii elektrycznej oblicza się ze wskazań urządzeń do ich pomiaru, sprawdzonych i</w:t>
      </w:r>
      <w:r w:rsidR="00FB667C">
        <w:rPr>
          <w:rFonts w:ascii="Arial" w:hAnsi="Arial" w:cs="Arial"/>
          <w:sz w:val="22"/>
          <w:szCs w:val="22"/>
        </w:rPr>
        <w:t> </w:t>
      </w:r>
      <w:r w:rsidRPr="00E9792A">
        <w:rPr>
          <w:rFonts w:ascii="Arial" w:hAnsi="Arial" w:cs="Arial"/>
          <w:sz w:val="22"/>
          <w:szCs w:val="22"/>
        </w:rPr>
        <w:t>zaplombowanych przez OSD. W przypadku braku urządzeń do pomiaru strat, ilość pobranej przez Odbiorcę energii czynnej na pokrycie strat określa się w Umowie w zależności od rodzaju, długości, przekroju i obciążenia linii.</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przypadku gdy układ pomiarowo-rozliczeniowy, zainstalowany w innym miejscu niż miejsce dostarczania energii, rejestruje straty energii występujące w liniach będących własnością OSD, to odczyty wskazań układu pomiarowo-rozliczeniowego pomniejsza się</w:t>
      </w:r>
      <w:r w:rsidR="00FB667C">
        <w:rPr>
          <w:rFonts w:ascii="Arial" w:hAnsi="Arial" w:cs="Arial"/>
          <w:sz w:val="22"/>
          <w:szCs w:val="22"/>
        </w:rPr>
        <w:t> </w:t>
      </w:r>
      <w:r w:rsidRPr="00E9792A">
        <w:rPr>
          <w:rFonts w:ascii="Arial" w:hAnsi="Arial" w:cs="Arial"/>
          <w:sz w:val="22"/>
          <w:szCs w:val="22"/>
        </w:rPr>
        <w:t xml:space="preserve">na zasadach określonych w ust. 16 powyżej.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W przypadku stwierdzenia nieprawidłowości działania układu pomiarowo-rozliczeniowego lub błędów w odczycie jego wskazań, skutkującymi zaniżeniem bądź zawyżeniem jego wskazań, Sprzedawca skoryguje należności za sprzedaną energię elektryczną oraz świadczenie usługi dystrybucji. Skorygowania dokonuje się według następujących zasad: </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lastRenderedPageBreak/>
        <w:t>korekta, o której mowa w ust. j. w., obejmuje cały okres rozliczeniowy lub okres, w</w:t>
      </w:r>
      <w:r w:rsidR="00FB667C">
        <w:rPr>
          <w:rFonts w:ascii="Arial" w:hAnsi="Arial" w:cs="Arial"/>
          <w:sz w:val="22"/>
          <w:szCs w:val="22"/>
        </w:rPr>
        <w:t> </w:t>
      </w:r>
      <w:r w:rsidRPr="00E9792A">
        <w:rPr>
          <w:rFonts w:ascii="Arial" w:hAnsi="Arial" w:cs="Arial"/>
          <w:sz w:val="22"/>
          <w:szCs w:val="22"/>
        </w:rPr>
        <w:t xml:space="preserve">którym występowały stwierdzone nieprawidłowości lub błędy. </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 xml:space="preserve">podstawą do wyliczenia wielkości korekty faktur VAT, o których mowa w ust. </w:t>
      </w:r>
      <w:r w:rsidR="00FB667C" w:rsidRPr="00E9792A">
        <w:rPr>
          <w:rFonts w:ascii="Arial" w:hAnsi="Arial" w:cs="Arial"/>
          <w:sz w:val="22"/>
          <w:szCs w:val="22"/>
        </w:rPr>
        <w:t>jw.</w:t>
      </w:r>
      <w:r w:rsidRPr="00E9792A">
        <w:rPr>
          <w:rFonts w:ascii="Arial" w:hAnsi="Arial" w:cs="Arial"/>
          <w:sz w:val="22"/>
          <w:szCs w:val="22"/>
        </w:rPr>
        <w:t>, jest wielkość błędu wskazań układu pomiarowo-rozliczeniowego.</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jeżeli określenie błędu, o którym mowa w ust. j. w., nie jest możliwe, podstawę do wyliczenia wielkości korekty stanowi średnia liczba jednostek energii elektrycznej za okres doby, obliczana na podstawie sumy jednostek energii elektrycznej prawidłowo wykazanych przez układ pomiarowo-rozliczeniowy w poprzednim okresie rozliczeniowym, pomnożona przez liczbę dni okresu, którego dotyczy korekta faktury VAT. W wyliczaniu wielkości korekty należy uwzględnić sezonowość poboru energii elektrycznej oraz inne udokumentowane okoliczności mające wpływ na wielkość poboru tej energii.</w:t>
      </w:r>
    </w:p>
    <w:p w:rsidR="00E9792A" w:rsidRP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jeżeli nie można ustalić średniego dobowego zużycia energii elektrycznej na podstawie poprzedniego okresu rozliczeniowego, podstawą wyliczenia wielkości korekty jest wskazanie układu pomiarowo-rozliczeniowego z następnego okresu rozliczeniowego.</w:t>
      </w:r>
    </w:p>
    <w:p w:rsidR="006B1616" w:rsidRDefault="00E9792A" w:rsidP="006B1616">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zmiany cen i stawek opłat Sprzedawca przyjmuje do rozliczeń wskazania układu pomiarowo-rozliczeniowego na dzień wprowadzenia nowych cen i stawek opłat:</w:t>
      </w:r>
    </w:p>
    <w:p w:rsidR="006B1616" w:rsidRDefault="00E9792A" w:rsidP="00E9792A">
      <w:pPr>
        <w:pStyle w:val="Akapitzlist"/>
        <w:numPr>
          <w:ilvl w:val="0"/>
          <w:numId w:val="19"/>
        </w:numPr>
        <w:jc w:val="both"/>
        <w:rPr>
          <w:rFonts w:ascii="Arial" w:hAnsi="Arial" w:cs="Arial"/>
          <w:sz w:val="22"/>
          <w:szCs w:val="22"/>
        </w:rPr>
      </w:pPr>
      <w:r w:rsidRPr="006B1616">
        <w:rPr>
          <w:rFonts w:ascii="Arial" w:hAnsi="Arial" w:cs="Arial"/>
          <w:sz w:val="22"/>
          <w:szCs w:val="22"/>
        </w:rPr>
        <w:t>szacunkowe – na podstawie średniego dobowego zużycia energii elektrycznej w</w:t>
      </w:r>
      <w:r w:rsidR="00FB667C">
        <w:rPr>
          <w:rFonts w:ascii="Arial" w:hAnsi="Arial" w:cs="Arial"/>
          <w:sz w:val="22"/>
          <w:szCs w:val="22"/>
        </w:rPr>
        <w:t> </w:t>
      </w:r>
      <w:r w:rsidRPr="006B1616">
        <w:rPr>
          <w:rFonts w:ascii="Arial" w:hAnsi="Arial" w:cs="Arial"/>
          <w:sz w:val="22"/>
          <w:szCs w:val="22"/>
        </w:rPr>
        <w:t>okresie rozliczeniowym zawierającym datę zmiany cen i stawek opłat,</w:t>
      </w:r>
    </w:p>
    <w:p w:rsidR="00E9792A" w:rsidRPr="006B1616" w:rsidRDefault="00E9792A" w:rsidP="00E9792A">
      <w:pPr>
        <w:pStyle w:val="Akapitzlist"/>
        <w:numPr>
          <w:ilvl w:val="0"/>
          <w:numId w:val="19"/>
        </w:numPr>
        <w:jc w:val="both"/>
        <w:rPr>
          <w:rFonts w:ascii="Arial" w:hAnsi="Arial" w:cs="Arial"/>
          <w:sz w:val="22"/>
          <w:szCs w:val="22"/>
        </w:rPr>
      </w:pPr>
      <w:r w:rsidRPr="006B1616">
        <w:rPr>
          <w:rFonts w:ascii="Arial" w:hAnsi="Arial" w:cs="Arial"/>
          <w:sz w:val="22"/>
          <w:szCs w:val="22"/>
        </w:rPr>
        <w:t xml:space="preserve">rzeczywiste – odczytane przez OSD. </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gdy Okres rozliczeniowy jest dłuższy niż jeden miesiąc, w okresie tym mogą być pobierane opłaty za energię elektryczną w wysokości określonej na podstawie prognozowanego zużycia energii w tym okresie, z uwzględnieniem sezonowości poboru energii i trendu poboru energii elektrycznej</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Jeżeli w wyniku wnoszenia opłat na podstawie prognozowanego zużycia energii elektrycznej wystąpi:</w:t>
      </w:r>
    </w:p>
    <w:p w:rsidR="006B1616" w:rsidRDefault="00E9792A" w:rsidP="00E9792A">
      <w:pPr>
        <w:pStyle w:val="Akapitzlist"/>
        <w:numPr>
          <w:ilvl w:val="0"/>
          <w:numId w:val="20"/>
        </w:numPr>
        <w:jc w:val="both"/>
        <w:rPr>
          <w:rFonts w:ascii="Arial" w:hAnsi="Arial" w:cs="Arial"/>
          <w:sz w:val="22"/>
          <w:szCs w:val="22"/>
        </w:rPr>
      </w:pPr>
      <w:r w:rsidRPr="006B1616">
        <w:rPr>
          <w:rFonts w:ascii="Arial" w:hAnsi="Arial" w:cs="Arial"/>
          <w:sz w:val="22"/>
          <w:szCs w:val="22"/>
        </w:rPr>
        <w:t>nadpłata, to podlega ona zaliczeniu na poczet płatności ustalonych na najbliższy okres rozliczeniowy, o ile Odbiorca nie zażąda jej zwrotu;</w:t>
      </w:r>
    </w:p>
    <w:p w:rsidR="006B1616" w:rsidRDefault="00E9792A" w:rsidP="00E9792A">
      <w:pPr>
        <w:pStyle w:val="Akapitzlist"/>
        <w:numPr>
          <w:ilvl w:val="0"/>
          <w:numId w:val="20"/>
        </w:numPr>
        <w:jc w:val="both"/>
        <w:rPr>
          <w:rFonts w:ascii="Arial" w:hAnsi="Arial" w:cs="Arial"/>
          <w:sz w:val="22"/>
          <w:szCs w:val="22"/>
        </w:rPr>
      </w:pPr>
      <w:r w:rsidRPr="006B1616">
        <w:rPr>
          <w:rFonts w:ascii="Arial" w:hAnsi="Arial" w:cs="Arial"/>
          <w:sz w:val="22"/>
          <w:szCs w:val="22"/>
        </w:rPr>
        <w:t>niedopłata, to podlega ona doliczeniu do pierwszej wystawianej faktury VAT.</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razie powstania nadpłat w dwóch powtarzających się po sobie okresach rozliczeniowych, Sprzedawca zmniejszy prognozę proporcjonalnie do wielkości nadpłaty.</w:t>
      </w:r>
    </w:p>
    <w:p w:rsidR="00E9792A" w:rsidRP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gdy zmiana parametrów dystrybucyjnych wiązać się będzie z koniecznością ponoszenia dodatkowych opłat zgodnie z taryfą OSD Zamawiający zobowiązany będzie do ich uiszczenia</w:t>
      </w:r>
    </w:p>
    <w:p w:rsidR="006B1616" w:rsidRPr="00E9792A" w:rsidRDefault="006B1616" w:rsidP="00E9792A">
      <w:pPr>
        <w:jc w:val="both"/>
        <w:rPr>
          <w:rFonts w:ascii="Arial" w:hAnsi="Arial" w:cs="Arial"/>
          <w:sz w:val="22"/>
          <w:szCs w:val="22"/>
        </w:rPr>
      </w:pPr>
    </w:p>
    <w:p w:rsidR="00E9792A" w:rsidRPr="00144A08" w:rsidRDefault="00E9792A" w:rsidP="006B1616">
      <w:pPr>
        <w:jc w:val="center"/>
        <w:rPr>
          <w:rFonts w:ascii="Arial" w:hAnsi="Arial" w:cs="Arial"/>
          <w:b/>
          <w:bCs/>
          <w:sz w:val="22"/>
          <w:szCs w:val="22"/>
        </w:rPr>
      </w:pPr>
      <w:r w:rsidRPr="00144A08">
        <w:rPr>
          <w:rFonts w:ascii="Arial" w:hAnsi="Arial" w:cs="Arial"/>
          <w:b/>
          <w:bCs/>
          <w:sz w:val="22"/>
          <w:szCs w:val="22"/>
        </w:rPr>
        <w:t>ROZDZIAŁ 4</w:t>
      </w:r>
    </w:p>
    <w:p w:rsidR="006B1616" w:rsidRPr="00144A08" w:rsidRDefault="006B1616" w:rsidP="006B1616">
      <w:pPr>
        <w:jc w:val="center"/>
        <w:rPr>
          <w:rFonts w:ascii="Arial" w:hAnsi="Arial" w:cs="Arial"/>
          <w:b/>
          <w:bCs/>
          <w:sz w:val="22"/>
          <w:szCs w:val="22"/>
        </w:rPr>
      </w:pPr>
    </w:p>
    <w:p w:rsidR="00E9792A" w:rsidRPr="00144A08" w:rsidRDefault="00E9792A" w:rsidP="006B1616">
      <w:pPr>
        <w:jc w:val="center"/>
        <w:rPr>
          <w:rFonts w:ascii="Arial" w:hAnsi="Arial" w:cs="Arial"/>
          <w:b/>
          <w:bCs/>
          <w:sz w:val="22"/>
          <w:szCs w:val="22"/>
        </w:rPr>
      </w:pPr>
      <w:r w:rsidRPr="00144A08">
        <w:rPr>
          <w:rFonts w:ascii="Arial" w:hAnsi="Arial" w:cs="Arial"/>
          <w:b/>
          <w:bCs/>
          <w:sz w:val="22"/>
          <w:szCs w:val="22"/>
        </w:rPr>
        <w:t>WARUNKI ROZWIĄZANIA I ZMIANY UMOWY</w:t>
      </w:r>
    </w:p>
    <w:p w:rsidR="006B1616" w:rsidRPr="00E9792A" w:rsidRDefault="006B1616" w:rsidP="006B1616">
      <w:pPr>
        <w:jc w:val="center"/>
        <w:rPr>
          <w:rFonts w:ascii="Arial" w:hAnsi="Arial" w:cs="Arial"/>
          <w:sz w:val="22"/>
          <w:szCs w:val="22"/>
        </w:rPr>
      </w:pPr>
    </w:p>
    <w:p w:rsidR="00E9792A" w:rsidRPr="006B1616" w:rsidRDefault="00E9792A" w:rsidP="006B1616">
      <w:pPr>
        <w:jc w:val="center"/>
        <w:rPr>
          <w:rFonts w:ascii="Arial" w:hAnsi="Arial" w:cs="Arial"/>
          <w:b/>
          <w:bCs/>
          <w:sz w:val="22"/>
          <w:szCs w:val="22"/>
        </w:rPr>
      </w:pPr>
      <w:r w:rsidRPr="006B1616">
        <w:rPr>
          <w:rFonts w:ascii="Arial" w:hAnsi="Arial" w:cs="Arial"/>
          <w:b/>
          <w:bCs/>
          <w:sz w:val="22"/>
          <w:szCs w:val="22"/>
        </w:rPr>
        <w:t>§ 10</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 xml:space="preserve">Sprzedawca może zmienić warunki Umowy poprzez wprowadzenie nowych lub zmianę dotychczasowych odpowiednio Taryfy OSD, Regulaminu. </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Taryfy, podlegające zatwierdzeniu przez Prezesa URE, nie wymagają aneksu i wchodzą w</w:t>
      </w:r>
      <w:r w:rsidR="00FB667C">
        <w:rPr>
          <w:rFonts w:ascii="Arial" w:hAnsi="Arial" w:cs="Arial"/>
          <w:sz w:val="22"/>
          <w:szCs w:val="22"/>
        </w:rPr>
        <w:t> </w:t>
      </w:r>
      <w:r w:rsidRPr="006B1616">
        <w:rPr>
          <w:rFonts w:ascii="Arial" w:hAnsi="Arial" w:cs="Arial"/>
          <w:sz w:val="22"/>
          <w:szCs w:val="22"/>
        </w:rPr>
        <w:t>życie nie wcześniej niż 14 dni od daty ich opublikowania w Biuletynie Urzędu Regulacji Energetyki.</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 xml:space="preserve">Zmiany odpowiednio Umowy, Regulaminu wprowadza Sprzedawca. Zmiany wchodzą w życie z dniem wskazanym przez Sprzedawcę. </w:t>
      </w:r>
    </w:p>
    <w:p w:rsidR="00E9792A" w:rsidRP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W przypadku zmiany przepisów skutkujących zmianą stawki podatku VAT lub akcyzy ceny energii elektrycznej zostają powiększone o kwotę wynikającą z obowiązków nałożonych właściwymi przepisami, od dnia ich wejścia w życie.</w:t>
      </w:r>
    </w:p>
    <w:p w:rsidR="00E9792A" w:rsidRPr="00E9792A" w:rsidRDefault="00E9792A" w:rsidP="00E9792A">
      <w:pPr>
        <w:jc w:val="both"/>
        <w:rPr>
          <w:rFonts w:ascii="Arial" w:hAnsi="Arial" w:cs="Arial"/>
          <w:sz w:val="22"/>
          <w:szCs w:val="22"/>
        </w:rPr>
      </w:pPr>
    </w:p>
    <w:p w:rsidR="00E9792A" w:rsidRPr="00144A08" w:rsidRDefault="00E9792A" w:rsidP="006B1616">
      <w:pPr>
        <w:jc w:val="center"/>
        <w:rPr>
          <w:rFonts w:ascii="Arial" w:hAnsi="Arial" w:cs="Arial"/>
          <w:b/>
          <w:bCs/>
          <w:sz w:val="22"/>
          <w:szCs w:val="22"/>
        </w:rPr>
      </w:pPr>
      <w:r w:rsidRPr="00144A08">
        <w:rPr>
          <w:rFonts w:ascii="Arial" w:hAnsi="Arial" w:cs="Arial"/>
          <w:b/>
          <w:bCs/>
          <w:sz w:val="22"/>
          <w:szCs w:val="22"/>
        </w:rPr>
        <w:t>ROZDZIAŁ 5</w:t>
      </w:r>
    </w:p>
    <w:p w:rsidR="006B1616" w:rsidRPr="00144A08" w:rsidRDefault="006B1616" w:rsidP="006B1616">
      <w:pPr>
        <w:jc w:val="center"/>
        <w:rPr>
          <w:rFonts w:ascii="Arial" w:hAnsi="Arial" w:cs="Arial"/>
          <w:b/>
          <w:bCs/>
          <w:sz w:val="22"/>
          <w:szCs w:val="22"/>
        </w:rPr>
      </w:pPr>
    </w:p>
    <w:p w:rsidR="00E9792A" w:rsidRPr="00144A08" w:rsidRDefault="00E9792A" w:rsidP="006B1616">
      <w:pPr>
        <w:jc w:val="center"/>
        <w:rPr>
          <w:rFonts w:ascii="Arial" w:hAnsi="Arial" w:cs="Arial"/>
          <w:b/>
          <w:bCs/>
          <w:sz w:val="22"/>
          <w:szCs w:val="22"/>
        </w:rPr>
      </w:pPr>
      <w:r w:rsidRPr="00144A08">
        <w:rPr>
          <w:rFonts w:ascii="Arial" w:hAnsi="Arial" w:cs="Arial"/>
          <w:b/>
          <w:bCs/>
          <w:sz w:val="22"/>
          <w:szCs w:val="22"/>
        </w:rPr>
        <w:t>WALORYZACJA</w:t>
      </w:r>
    </w:p>
    <w:p w:rsidR="006B1616" w:rsidRPr="00E9792A" w:rsidRDefault="006B1616" w:rsidP="006B1616">
      <w:pPr>
        <w:jc w:val="center"/>
        <w:rPr>
          <w:rFonts w:ascii="Arial" w:hAnsi="Arial" w:cs="Arial"/>
          <w:sz w:val="22"/>
          <w:szCs w:val="22"/>
        </w:rPr>
      </w:pPr>
    </w:p>
    <w:p w:rsidR="00E9792A" w:rsidRPr="006B1616" w:rsidRDefault="00E9792A" w:rsidP="006B1616">
      <w:pPr>
        <w:jc w:val="center"/>
        <w:rPr>
          <w:rFonts w:ascii="Arial" w:hAnsi="Arial" w:cs="Arial"/>
          <w:b/>
          <w:bCs/>
          <w:sz w:val="22"/>
          <w:szCs w:val="22"/>
        </w:rPr>
      </w:pPr>
      <w:r w:rsidRPr="006B1616">
        <w:rPr>
          <w:rFonts w:ascii="Arial" w:hAnsi="Arial" w:cs="Arial"/>
          <w:b/>
          <w:bCs/>
          <w:sz w:val="22"/>
          <w:szCs w:val="22"/>
        </w:rPr>
        <w:t>§ 11</w:t>
      </w:r>
    </w:p>
    <w:p w:rsidR="006B1616" w:rsidRDefault="00E9792A" w:rsidP="00E9792A">
      <w:pPr>
        <w:pStyle w:val="Akapitzlist"/>
        <w:numPr>
          <w:ilvl w:val="0"/>
          <w:numId w:val="22"/>
        </w:numPr>
        <w:ind w:left="284" w:hanging="284"/>
        <w:jc w:val="both"/>
        <w:rPr>
          <w:rFonts w:ascii="Arial" w:hAnsi="Arial" w:cs="Arial"/>
          <w:sz w:val="22"/>
          <w:szCs w:val="22"/>
        </w:rPr>
      </w:pPr>
      <w:r w:rsidRPr="006B1616">
        <w:rPr>
          <w:rFonts w:ascii="Arial" w:hAnsi="Arial" w:cs="Arial"/>
          <w:sz w:val="22"/>
          <w:szCs w:val="22"/>
        </w:rPr>
        <w:t>Stosownie do treści art. 436 pkt 4) ppkt b) ustawy Pzp Zamawiający przewiduje możliwość zmiany wysokości wynagrodzenia, określonego w § 9 ust. 2 Umowy, w następujących przypadkach:</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lastRenderedPageBreak/>
        <w:t>w przypadku zmiany stawki podatku od towarów i usług i/lub podatku akcyzowego,</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zmiany wysokości minimalnego wynagrodzenia za pracę ustalonego na podstawie art. 2 ust. 3 – 5 ustawy z dnia 10 października 2002 r. o minimalnym wynagrodzeniu za pracę,</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zmian zasad podlegania ubezpieczeniom społecznym lub</w:t>
      </w:r>
      <w:r w:rsidR="00FB667C">
        <w:rPr>
          <w:rFonts w:ascii="Arial" w:hAnsi="Arial" w:cs="Arial"/>
          <w:sz w:val="22"/>
          <w:szCs w:val="22"/>
        </w:rPr>
        <w:t> </w:t>
      </w:r>
      <w:r w:rsidRPr="006B1616">
        <w:rPr>
          <w:rFonts w:ascii="Arial" w:hAnsi="Arial" w:cs="Arial"/>
          <w:sz w:val="22"/>
          <w:szCs w:val="22"/>
        </w:rPr>
        <w:t>ubezpieczeniu zdrowotnemu lub zmiany wysokości stawki składki na ubezpieczenia społeczne lub zdrowotne,</w:t>
      </w:r>
    </w:p>
    <w:p w:rsidR="00E9792A" w:rsidRP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zasad gromadzenia i wysokości wpłat do pracowniczych planów kapitałowych, o których mowa w ustawie z dnia 4 października 2018 r. o pracowniczych planach kapitałowych (Dz. U. 2020, poz. 1342 tj.) - jeżeli zmiany określone w pkt. 1), 2), 3) i 4) będą miały wpływ na koszty wykonania Umowy przez Wykonawcę.</w:t>
      </w:r>
    </w:p>
    <w:p w:rsidR="006B1616" w:rsidRDefault="00E9792A" w:rsidP="00E9792A">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1) niniejszego paragrafu wejście w życie zmiany nie wymaga aneksu do umowy.</w:t>
      </w:r>
    </w:p>
    <w:p w:rsidR="006B1616" w:rsidRPr="00FB667C" w:rsidRDefault="00E9792A" w:rsidP="006B1616">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 xml:space="preserve">Obowiązek wykazania wpływu zmian (z wyjątkiem zmiany stawki podatku od towarów i usług i/lub podatku akcyzowego) o których mowa w ust. 1 niniejszego paragrafu na zmianę </w:t>
      </w:r>
      <w:r w:rsidRPr="006B1616">
        <w:rPr>
          <w:rFonts w:ascii="Arial" w:hAnsi="Arial" w:cs="Arial"/>
          <w:sz w:val="22"/>
          <w:szCs w:val="22"/>
        </w:rPr>
        <w:lastRenderedPageBreak/>
        <w:t>wynagrodzenia, o którym mowa w § 6 ust. 1 Umowy należy do Wykonawcy pod rygorem odmowy dokonania zmiany Umowy przez Zamawiającego.</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Strony zgodnie oświadczają, że waloryzacja wynagrodzenia, o której mowa w art. 439 Pzp, nie będzie miała zastosowania, w przypadku, gdy Wykonawca dokonał zakupu energii elektrycznej z góry, dla całego okresu zamówienia. Wobec powyższego, zmiana cen energii elektrycznej nie będzie miała wpływu na wartość przedmiotowego zamówienia.</w:t>
      </w:r>
    </w:p>
    <w:p w:rsidR="00E9792A" w:rsidRPr="006B1616" w:rsidRDefault="00E9792A" w:rsidP="00E9792A">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Wykonawca oświadcza, że do dnia zawarcia przedmiotowej umowy dokonał zakupu energii elektrycznej w wysokości 100 % wolumenu wskazanego w dokumentacji przetargowej na okres od … do zakończenia umowy.</w:t>
      </w:r>
    </w:p>
    <w:p w:rsidR="00E9792A" w:rsidRPr="00E9792A" w:rsidRDefault="00E9792A" w:rsidP="00E9792A">
      <w:pPr>
        <w:jc w:val="both"/>
        <w:rPr>
          <w:rFonts w:ascii="Arial" w:hAnsi="Arial" w:cs="Arial"/>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t>ROZDZIAŁ 6</w:t>
      </w:r>
    </w:p>
    <w:p w:rsidR="00FC133D" w:rsidRPr="00144A08" w:rsidRDefault="00FC133D" w:rsidP="00FC133D">
      <w:pPr>
        <w:jc w:val="center"/>
        <w:rPr>
          <w:rFonts w:ascii="Arial" w:hAnsi="Arial" w:cs="Arial"/>
          <w:b/>
          <w:bCs/>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t>WSTRZYMANIE DOSTAWY ENERGII ELEKTRYCZNEJ</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12</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 xml:space="preserve">Wstrzymanie dostawy energii elektrycznej może nastąpić w przypadku, gdy Odbiorca zwleka z zapłatą za pobraną energię elektryczną i świadczenie usługi dystrybucji co najmniej miesiąc po upływie terminu </w:t>
      </w:r>
      <w:r w:rsidR="00A27539" w:rsidRPr="00FC133D">
        <w:rPr>
          <w:rFonts w:ascii="Arial" w:hAnsi="Arial" w:cs="Arial"/>
          <w:sz w:val="22"/>
          <w:szCs w:val="22"/>
        </w:rPr>
        <w:t>płatności,</w:t>
      </w:r>
      <w:r w:rsidRPr="00FC133D">
        <w:rPr>
          <w:rFonts w:ascii="Arial" w:hAnsi="Arial" w:cs="Arial"/>
          <w:sz w:val="22"/>
          <w:szCs w:val="22"/>
        </w:rPr>
        <w:t xml:space="preserve"> przy czym Sprzedawca nie ponosi odpowiedzialności za straty wynikłe z tego tytułu.</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Sprzedawca informuje, że OSD przysługuje prawo wstrzymania dostaw energii elektrycznej oraz obciążenia Odbiorcy opłatami przewidzianymi w Taryfie OSD, w przypadku stwierdzenia nielegalnego poboru energii elektrycznej oraz w przypadku, gdy instalacja elektryczna znajdująca się u Odbiorcy stwarza bezpośrednie zagrożenie dla życia, zdrowia lub środowiska</w:t>
      </w:r>
      <w:r w:rsidR="00FC133D">
        <w:rPr>
          <w:rFonts w:ascii="Arial" w:hAnsi="Arial" w:cs="Arial"/>
          <w:sz w:val="22"/>
          <w:szCs w:val="22"/>
        </w:rPr>
        <w:t>.</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 xml:space="preserve">W przypadku stwierdzenia nielegalnego poboru energii elektrycznej Odbiorca uiszcza opłatę z tytułu nielegalnego poboru bezpośrednio na rzecz OSD. </w:t>
      </w:r>
    </w:p>
    <w:p w:rsidR="00FB667C" w:rsidRPr="00FB667C" w:rsidRDefault="00FB667C" w:rsidP="00FB667C">
      <w:pPr>
        <w:jc w:val="both"/>
        <w:rPr>
          <w:rFonts w:ascii="Arial" w:hAnsi="Arial" w:cs="Arial"/>
          <w:sz w:val="22"/>
          <w:szCs w:val="22"/>
        </w:rPr>
      </w:pP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 xml:space="preserve">Wstrzymanie dostarczania energii lub rozwiązanie Umowy może nastąpić w przypadku braku zgody Odbiorcy na zainstalowanie przedpłatowego układu pomiarowo-rozliczeniowego, służącego do rozliczeń za dostarczoną energię elektryczną, instalowanego przez OSD zgodnie z zasadami Art. 6a. Ustawy. </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Wstrzymanie dostarczania energii z przyczyn, o których mowa powyżej nie oznacza rozwiązania Umowy. Odbiorca jest zobowiązany do regulowania opłat stałych wynikających z Taryfy lub Cennika Sprzedawcy i Taryfy OSD, w okresie wstrzymania dostawy, o ile nie nastąpi rozwiązanie Umowy.</w:t>
      </w:r>
    </w:p>
    <w:p w:rsidR="00E9792A" w:rsidRP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Sprzedawca za pośrednictwem OSD ma prawo do uzależnienia wznowienia dostawy energii elektrycznej wstrzymanej z powodu jej nielegalnego poboru od wykonania zaleceń technicznych eliminujących przyczyny nielegalnego poboru energii elektrycznej.</w:t>
      </w:r>
    </w:p>
    <w:p w:rsidR="00E9792A" w:rsidRPr="00E9792A" w:rsidRDefault="00E9792A" w:rsidP="00E9792A">
      <w:pPr>
        <w:jc w:val="both"/>
        <w:rPr>
          <w:rFonts w:ascii="Arial" w:hAnsi="Arial" w:cs="Arial"/>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t>ROZDZIAŁ 7</w:t>
      </w:r>
    </w:p>
    <w:p w:rsidR="00FC133D" w:rsidRPr="00144A08" w:rsidRDefault="00FC133D" w:rsidP="00FC133D">
      <w:pPr>
        <w:jc w:val="center"/>
        <w:rPr>
          <w:rFonts w:ascii="Arial" w:hAnsi="Arial" w:cs="Arial"/>
          <w:b/>
          <w:bCs/>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t>BONIFIKATY I UPUSTY Z TYTUŁU NIEDOTRZYMANIA STANDARDÓW JAKOŚCIOWYCH OBSŁUGI ODBIORCY</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13</w:t>
      </w:r>
    </w:p>
    <w:p w:rsid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 xml:space="preserve">W przypadku niedotrzymania przez Sprzedawcę standardów jakościowych obsługi Odbiorcy, Odbiorcy przysługuje bonifikata. Umowa może odmiennie uregulować wysokość udzielanej bonifikaty. </w:t>
      </w:r>
    </w:p>
    <w:p w:rsid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Wysokość bonifikaty, o której mowa w ust. 1, określana będzie w oparciu o przeciętne wynagrodzenie w gospodarce narodowej w roku kalendarzowym poprzedzającym rok zatwierdzenia taryfy, określonego w komunikacie Prezesa Głównego Urzędu Statystycznego ogłaszanym w Dzienniku Urzędowym Rzeczypospolitej Polskiej „Monitor Polski”.</w:t>
      </w:r>
    </w:p>
    <w:p w:rsidR="00E9792A" w:rsidRP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Zmiana wysokości bonifikat i upustów z tytułu niedotrzymania standardów jakościowych obsługi Odbiorcy regulują przepisy wydane na podstawie Ustawy.</w:t>
      </w:r>
    </w:p>
    <w:p w:rsidR="00E9792A" w:rsidRPr="00E9792A" w:rsidRDefault="00E9792A" w:rsidP="00E9792A">
      <w:pPr>
        <w:jc w:val="both"/>
        <w:rPr>
          <w:rFonts w:ascii="Arial" w:hAnsi="Arial" w:cs="Arial"/>
          <w:sz w:val="22"/>
          <w:szCs w:val="22"/>
        </w:rPr>
      </w:pPr>
    </w:p>
    <w:p w:rsidR="00144A08" w:rsidRDefault="00144A08" w:rsidP="00FC133D">
      <w:pPr>
        <w:jc w:val="center"/>
        <w:rPr>
          <w:rFonts w:ascii="Arial" w:hAnsi="Arial" w:cs="Arial"/>
          <w:sz w:val="22"/>
          <w:szCs w:val="22"/>
        </w:rPr>
      </w:pPr>
    </w:p>
    <w:p w:rsidR="00144A08" w:rsidRDefault="00144A08" w:rsidP="00FC133D">
      <w:pPr>
        <w:jc w:val="center"/>
        <w:rPr>
          <w:rFonts w:ascii="Arial" w:hAnsi="Arial" w:cs="Arial"/>
          <w:sz w:val="22"/>
          <w:szCs w:val="22"/>
        </w:rPr>
      </w:pPr>
    </w:p>
    <w:p w:rsidR="00144A08" w:rsidRDefault="00144A08" w:rsidP="00FC133D">
      <w:pPr>
        <w:jc w:val="center"/>
        <w:rPr>
          <w:rFonts w:ascii="Arial" w:hAnsi="Arial" w:cs="Arial"/>
          <w:sz w:val="22"/>
          <w:szCs w:val="22"/>
        </w:rPr>
      </w:pPr>
    </w:p>
    <w:p w:rsidR="00144A08" w:rsidRDefault="00144A08" w:rsidP="00FC133D">
      <w:pPr>
        <w:jc w:val="center"/>
        <w:rPr>
          <w:rFonts w:ascii="Arial" w:hAnsi="Arial" w:cs="Arial"/>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lastRenderedPageBreak/>
        <w:t>ROZDZIAŁ 8</w:t>
      </w:r>
    </w:p>
    <w:p w:rsidR="00FC133D" w:rsidRPr="00144A08" w:rsidRDefault="00FC133D" w:rsidP="00FC133D">
      <w:pPr>
        <w:jc w:val="center"/>
        <w:rPr>
          <w:rFonts w:ascii="Arial" w:hAnsi="Arial" w:cs="Arial"/>
          <w:b/>
          <w:bCs/>
          <w:sz w:val="22"/>
          <w:szCs w:val="22"/>
        </w:rPr>
      </w:pPr>
    </w:p>
    <w:p w:rsidR="00E9792A" w:rsidRPr="00144A08" w:rsidRDefault="00E9792A" w:rsidP="00FC133D">
      <w:pPr>
        <w:jc w:val="center"/>
        <w:rPr>
          <w:rFonts w:ascii="Arial" w:hAnsi="Arial" w:cs="Arial"/>
          <w:b/>
          <w:bCs/>
          <w:sz w:val="22"/>
          <w:szCs w:val="22"/>
        </w:rPr>
      </w:pPr>
      <w:r w:rsidRPr="00144A08">
        <w:rPr>
          <w:rFonts w:ascii="Arial" w:hAnsi="Arial" w:cs="Arial"/>
          <w:b/>
          <w:bCs/>
          <w:sz w:val="22"/>
          <w:szCs w:val="22"/>
        </w:rPr>
        <w:t>POSTANOWIENIA KOŃCOWE</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14</w:t>
      </w:r>
    </w:p>
    <w:p w:rsidR="00FC133D" w:rsidRDefault="00E9792A" w:rsidP="00E9792A">
      <w:pPr>
        <w:pStyle w:val="Akapitzlist"/>
        <w:numPr>
          <w:ilvl w:val="0"/>
          <w:numId w:val="26"/>
        </w:numPr>
        <w:ind w:left="426" w:hanging="426"/>
        <w:jc w:val="both"/>
        <w:rPr>
          <w:rFonts w:ascii="Arial" w:hAnsi="Arial" w:cs="Arial"/>
          <w:sz w:val="22"/>
          <w:szCs w:val="22"/>
        </w:rPr>
      </w:pPr>
      <w:r w:rsidRPr="00FC133D">
        <w:rPr>
          <w:rFonts w:ascii="Arial" w:hAnsi="Arial" w:cs="Arial"/>
          <w:sz w:val="22"/>
          <w:szCs w:val="22"/>
        </w:rPr>
        <w:t>Sprzedawca nie odpowiada za niewykonanie lub niewłaściwe wykonanie Umowy oraz za szkody powstałe w skutek:</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siły wyższej,</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z przyczyn leżących po stronie Odbiorcy,</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działania osoby trzeciej, za którą nie ponosi odpowiedzialności,</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planowych i nieplanowych przerw w dostarczaniu energii elektrycznej</w:t>
      </w:r>
    </w:p>
    <w:p w:rsidR="00E9792A" w:rsidRP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ograniczeń, wprowadzanych na podstawie przepisów powszechnie obowiązujących na wypadek niedoboru mocy w Krajowym Systemie Energetycznym.</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Wstrzymanie dostarczania energii elektrycznej wynikające z przerw planowych, nie stanowi niewykonania lub nienależytego wykonania Umowy przez Sprzedawcę.</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Sprzedawca nie ponosi odpowiedzialności za brak zastosowania w instalacji Odbiorcy ochrony przed przepięciami łączeniowymi lub atmosferycznymi, występującymi w sieci dystrybucyjnej.</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Sprzedawcy przysługuje prawo przekazywania informacji dotyczących Odbiorcy niedokonującego terminowo zapłaty należności z niniejszej Umowy do właściwego biura informacji gospodarczej zgodnie z przepisami prawa obowiązującymi w tym zakresie.</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 xml:space="preserve">Wszelkie prace przy urządzeniach pomiarowo – rozliczeniowych mogą być wykonywane wyłącznie przez przedstawicieli OSD lub za jego zgodą. </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Sprzedawca może przenieść prawa i obowiązki wynikające z niniejszej Umowy na inny podmiot powiązany kapitałowo ze Sprzedawcą, lub inny podmiot będący następcą prawnym Sprzedawcy.</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Przy załatwianiu wszelkich spraw związanych z Umową należy powoływać się na numer ewidencyjny Odbiorcy (podany na fakturze VAT) lub na numer faktury VAT.</w:t>
      </w:r>
    </w:p>
    <w:p w:rsidR="00F928C9" w:rsidRP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O ile Umowa nie stanowi inaczej, korespondencja pomiędzy stronami odbywa się listem zwykłym.</w:t>
      </w:r>
    </w:p>
    <w:sectPr w:rsidR="00F928C9" w:rsidRPr="00FC133D" w:rsidSect="00144A08">
      <w:footerReference w:type="even" r:id="rId7"/>
      <w:footerReference w:type="default" r:id="rId8"/>
      <w:pgSz w:w="11906" w:h="16838"/>
      <w:pgMar w:top="635" w:right="1275" w:bottom="968" w:left="1417" w:header="454"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4456" w:rsidRDefault="00CB4456" w:rsidP="00FC133D">
      <w:r>
        <w:separator/>
      </w:r>
    </w:p>
  </w:endnote>
  <w:endnote w:type="continuationSeparator" w:id="0">
    <w:p w:rsidR="00CB4456" w:rsidRDefault="00CB4456" w:rsidP="00FC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860203231"/>
      <w:docPartObj>
        <w:docPartGallery w:val="Page Numbers (Bottom of Page)"/>
        <w:docPartUnique/>
      </w:docPartObj>
    </w:sdtPr>
    <w:sdtContent>
      <w:p w:rsidR="00FC133D" w:rsidRDefault="00FC133D" w:rsidP="00F2296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FC133D" w:rsidRDefault="00FC13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365524808"/>
      <w:docPartObj>
        <w:docPartGallery w:val="Page Numbers (Bottom of Page)"/>
        <w:docPartUnique/>
      </w:docPartObj>
    </w:sdtPr>
    <w:sdtContent>
      <w:p w:rsidR="00FC133D" w:rsidRDefault="00FC133D" w:rsidP="00F2296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FC133D" w:rsidRDefault="00FC13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4456" w:rsidRDefault="00CB4456" w:rsidP="00FC133D">
      <w:r>
        <w:separator/>
      </w:r>
    </w:p>
  </w:footnote>
  <w:footnote w:type="continuationSeparator" w:id="0">
    <w:p w:rsidR="00CB4456" w:rsidRDefault="00CB4456" w:rsidP="00FC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E06"/>
    <w:multiLevelType w:val="hybridMultilevel"/>
    <w:tmpl w:val="43BA9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561ED0"/>
    <w:multiLevelType w:val="hybridMultilevel"/>
    <w:tmpl w:val="910874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185E04A9"/>
    <w:multiLevelType w:val="hybridMultilevel"/>
    <w:tmpl w:val="E470351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B9A21EF"/>
    <w:multiLevelType w:val="hybridMultilevel"/>
    <w:tmpl w:val="7704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24453D"/>
    <w:multiLevelType w:val="hybridMultilevel"/>
    <w:tmpl w:val="0D0862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C6F1028"/>
    <w:multiLevelType w:val="hybridMultilevel"/>
    <w:tmpl w:val="F2F66D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BE609F"/>
    <w:multiLevelType w:val="hybridMultilevel"/>
    <w:tmpl w:val="5E64B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D818B6"/>
    <w:multiLevelType w:val="hybridMultilevel"/>
    <w:tmpl w:val="4B8498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E45363E"/>
    <w:multiLevelType w:val="hybridMultilevel"/>
    <w:tmpl w:val="67E2B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D14C89"/>
    <w:multiLevelType w:val="hybridMultilevel"/>
    <w:tmpl w:val="9E1AC7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866C87"/>
    <w:multiLevelType w:val="hybridMultilevel"/>
    <w:tmpl w:val="A52AE346"/>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B2421"/>
    <w:multiLevelType w:val="hybridMultilevel"/>
    <w:tmpl w:val="68E6DEE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441B0E93"/>
    <w:multiLevelType w:val="hybridMultilevel"/>
    <w:tmpl w:val="8F64537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46FE379A"/>
    <w:multiLevelType w:val="hybridMultilevel"/>
    <w:tmpl w:val="A926A3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4A8A6223"/>
    <w:multiLevelType w:val="hybridMultilevel"/>
    <w:tmpl w:val="4EB63150"/>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EE458B"/>
    <w:multiLevelType w:val="hybridMultilevel"/>
    <w:tmpl w:val="65864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0B0C0A"/>
    <w:multiLevelType w:val="hybridMultilevel"/>
    <w:tmpl w:val="327C4F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47E3A"/>
    <w:multiLevelType w:val="hybridMultilevel"/>
    <w:tmpl w:val="A8484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220CEB"/>
    <w:multiLevelType w:val="hybridMultilevel"/>
    <w:tmpl w:val="A63835CA"/>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C4423D"/>
    <w:multiLevelType w:val="hybridMultilevel"/>
    <w:tmpl w:val="C39845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0F71E07"/>
    <w:multiLevelType w:val="hybridMultilevel"/>
    <w:tmpl w:val="4CDE50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58D2EA4"/>
    <w:multiLevelType w:val="hybridMultilevel"/>
    <w:tmpl w:val="5ED4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BD25A1"/>
    <w:multiLevelType w:val="hybridMultilevel"/>
    <w:tmpl w:val="15142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B27434"/>
    <w:multiLevelType w:val="hybridMultilevel"/>
    <w:tmpl w:val="546067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8FA60B3"/>
    <w:multiLevelType w:val="hybridMultilevel"/>
    <w:tmpl w:val="8550E2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D648D0"/>
    <w:multiLevelType w:val="hybridMultilevel"/>
    <w:tmpl w:val="4CB29C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7FE67E7A"/>
    <w:multiLevelType w:val="hybridMultilevel"/>
    <w:tmpl w:val="BF8CF6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77745099">
    <w:abstractNumId w:val="10"/>
  </w:num>
  <w:num w:numId="2" w16cid:durableId="1909538141">
    <w:abstractNumId w:val="18"/>
  </w:num>
  <w:num w:numId="3" w16cid:durableId="697779025">
    <w:abstractNumId w:val="14"/>
  </w:num>
  <w:num w:numId="4" w16cid:durableId="98842452">
    <w:abstractNumId w:val="17"/>
  </w:num>
  <w:num w:numId="5" w16cid:durableId="135342574">
    <w:abstractNumId w:val="19"/>
  </w:num>
  <w:num w:numId="6" w16cid:durableId="1802456209">
    <w:abstractNumId w:val="3"/>
  </w:num>
  <w:num w:numId="7" w16cid:durableId="234435850">
    <w:abstractNumId w:val="6"/>
  </w:num>
  <w:num w:numId="8" w16cid:durableId="734813796">
    <w:abstractNumId w:val="26"/>
  </w:num>
  <w:num w:numId="9" w16cid:durableId="1997801350">
    <w:abstractNumId w:val="12"/>
  </w:num>
  <w:num w:numId="10" w16cid:durableId="340743304">
    <w:abstractNumId w:val="5"/>
  </w:num>
  <w:num w:numId="11" w16cid:durableId="1804228320">
    <w:abstractNumId w:val="24"/>
  </w:num>
  <w:num w:numId="12" w16cid:durableId="1842113103">
    <w:abstractNumId w:val="11"/>
  </w:num>
  <w:num w:numId="13" w16cid:durableId="189733407">
    <w:abstractNumId w:val="16"/>
  </w:num>
  <w:num w:numId="14" w16cid:durableId="1751855376">
    <w:abstractNumId w:val="25"/>
  </w:num>
  <w:num w:numId="15" w16cid:durableId="841701352">
    <w:abstractNumId w:val="23"/>
  </w:num>
  <w:num w:numId="16" w16cid:durableId="1689720858">
    <w:abstractNumId w:val="9"/>
  </w:num>
  <w:num w:numId="17" w16cid:durableId="909459300">
    <w:abstractNumId w:val="2"/>
  </w:num>
  <w:num w:numId="18" w16cid:durableId="1592737878">
    <w:abstractNumId w:val="20"/>
  </w:num>
  <w:num w:numId="19" w16cid:durableId="232200937">
    <w:abstractNumId w:val="1"/>
  </w:num>
  <w:num w:numId="20" w16cid:durableId="2085950910">
    <w:abstractNumId w:val="13"/>
  </w:num>
  <w:num w:numId="21" w16cid:durableId="1142818105">
    <w:abstractNumId w:val="22"/>
  </w:num>
  <w:num w:numId="22" w16cid:durableId="750977440">
    <w:abstractNumId w:val="15"/>
  </w:num>
  <w:num w:numId="23" w16cid:durableId="322054844">
    <w:abstractNumId w:val="7"/>
  </w:num>
  <w:num w:numId="24" w16cid:durableId="699431815">
    <w:abstractNumId w:val="8"/>
  </w:num>
  <w:num w:numId="25" w16cid:durableId="734087526">
    <w:abstractNumId w:val="0"/>
  </w:num>
  <w:num w:numId="26" w16cid:durableId="1566986934">
    <w:abstractNumId w:val="21"/>
  </w:num>
  <w:num w:numId="27" w16cid:durableId="7541299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2A"/>
    <w:rsid w:val="00144A08"/>
    <w:rsid w:val="001543BE"/>
    <w:rsid w:val="006B1616"/>
    <w:rsid w:val="0082091D"/>
    <w:rsid w:val="00A27539"/>
    <w:rsid w:val="00B87F45"/>
    <w:rsid w:val="00CB4456"/>
    <w:rsid w:val="00D43619"/>
    <w:rsid w:val="00E9792A"/>
    <w:rsid w:val="00F928C9"/>
    <w:rsid w:val="00FB667C"/>
    <w:rsid w:val="00FC1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B78FCD9"/>
  <w15:chartTrackingRefBased/>
  <w15:docId w15:val="{32F3ABFA-6735-5045-833C-2589D67C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E9792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9792A"/>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E9792A"/>
    <w:pPr>
      <w:ind w:left="720"/>
      <w:contextualSpacing/>
    </w:pPr>
  </w:style>
  <w:style w:type="paragraph" w:styleId="Stopka">
    <w:name w:val="footer"/>
    <w:basedOn w:val="Normalny"/>
    <w:link w:val="StopkaZnak"/>
    <w:uiPriority w:val="99"/>
    <w:unhideWhenUsed/>
    <w:rsid w:val="00FC133D"/>
    <w:pPr>
      <w:tabs>
        <w:tab w:val="center" w:pos="4536"/>
        <w:tab w:val="right" w:pos="9072"/>
      </w:tabs>
    </w:pPr>
  </w:style>
  <w:style w:type="character" w:customStyle="1" w:styleId="StopkaZnak">
    <w:name w:val="Stopka Znak"/>
    <w:basedOn w:val="Domylnaczcionkaakapitu"/>
    <w:link w:val="Stopka"/>
    <w:uiPriority w:val="99"/>
    <w:rsid w:val="00FC133D"/>
  </w:style>
  <w:style w:type="character" w:styleId="Numerstrony">
    <w:name w:val="page number"/>
    <w:basedOn w:val="Domylnaczcionkaakapitu"/>
    <w:uiPriority w:val="99"/>
    <w:semiHidden/>
    <w:unhideWhenUsed/>
    <w:rsid w:val="00FC133D"/>
  </w:style>
  <w:style w:type="paragraph" w:styleId="Nagwek">
    <w:name w:val="header"/>
    <w:basedOn w:val="Normalny"/>
    <w:link w:val="NagwekZnak"/>
    <w:uiPriority w:val="99"/>
    <w:unhideWhenUsed/>
    <w:rsid w:val="00FC133D"/>
    <w:pPr>
      <w:tabs>
        <w:tab w:val="center" w:pos="4536"/>
        <w:tab w:val="right" w:pos="9072"/>
      </w:tabs>
    </w:pPr>
  </w:style>
  <w:style w:type="character" w:customStyle="1" w:styleId="NagwekZnak">
    <w:name w:val="Nagłówek Znak"/>
    <w:basedOn w:val="Domylnaczcionkaakapitu"/>
    <w:link w:val="Nagwek"/>
    <w:uiPriority w:val="99"/>
    <w:rsid w:val="00FC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4436</Words>
  <Characters>26622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cp:revision>
  <dcterms:created xsi:type="dcterms:W3CDTF">2024-05-02T14:50:00Z</dcterms:created>
  <dcterms:modified xsi:type="dcterms:W3CDTF">2024-06-11T09:12:00Z</dcterms:modified>
</cp:coreProperties>
</file>