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B82DD" w14:textId="66C02F54" w:rsidR="00215CA7" w:rsidRDefault="00215CA7" w:rsidP="00717F9B">
      <w:pPr>
        <w:spacing w:after="200" w:line="276" w:lineRule="auto"/>
        <w:rPr>
          <w:b/>
          <w:bCs/>
        </w:rPr>
      </w:pPr>
      <w:r>
        <w:rPr>
          <w:b/>
          <w:bCs/>
        </w:rPr>
        <w:t>Załącznik nr 1</w:t>
      </w:r>
      <w:r w:rsidR="00717F9B">
        <w:rPr>
          <w:b/>
          <w:bCs/>
        </w:rPr>
        <w:t>a</w:t>
      </w:r>
      <w:r>
        <w:rPr>
          <w:b/>
          <w:bCs/>
        </w:rPr>
        <w:t xml:space="preserve"> do SWZ </w:t>
      </w:r>
      <w:r w:rsidR="00717F9B">
        <w:rPr>
          <w:b/>
          <w:bCs/>
        </w:rPr>
        <w:t>– dotyczy ZADANIA NR 1</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r>
              <w:rPr>
                <w:rFonts w:eastAsia="MS Mincho"/>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r>
              <w:rPr>
                <w:rFonts w:eastAsia="MS Mincho"/>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r>
              <w:rPr>
                <w:rFonts w:eastAsia="MS Mincho"/>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16273A40"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EE3606">
        <w:rPr>
          <w:rFonts w:ascii="Tahoma" w:hAnsi="Tahoma" w:cs="Tahoma"/>
          <w:b/>
        </w:rPr>
        <w:t xml:space="preserve">Uzupełnienie ubytków w nawierzchniach bitumicznych dróg powiatowych powiatu olsztyńskiego </w:t>
      </w:r>
      <w:r w:rsidR="00C65A18">
        <w:rPr>
          <w:rFonts w:ascii="Tahoma" w:hAnsi="Tahoma" w:cs="Tahoma"/>
          <w:b/>
        </w:rPr>
        <w:t>- ZADANIE NR 1 –</w:t>
      </w:r>
      <w:r w:rsidR="001F40F4">
        <w:rPr>
          <w:rFonts w:ascii="Tahoma" w:hAnsi="Tahoma" w:cs="Tahoma"/>
          <w:b/>
          <w:bCs/>
        </w:rPr>
        <w:t>t</w:t>
      </w:r>
      <w:r w:rsidR="000A56E0" w:rsidRPr="000A56E0">
        <w:rPr>
          <w:rFonts w:ascii="Tahoma" w:hAnsi="Tahoma" w:cs="Tahoma"/>
          <w:b/>
          <w:bCs/>
        </w:rPr>
        <w:t>eren działania Obwodu Drogowego Nr 1 w Olsztynku</w:t>
      </w:r>
      <w:r w:rsidR="000A56E0">
        <w:rPr>
          <w:rFonts w:ascii="Tahoma" w:hAnsi="Tahoma" w:cs="Tahoma"/>
          <w:b/>
          <w:bCs/>
        </w:rPr>
        <w:t>”</w:t>
      </w:r>
    </w:p>
    <w:p w14:paraId="49F78F0B" w14:textId="77777777" w:rsidR="00682B2C" w:rsidRPr="00682B2C" w:rsidRDefault="00215CA7" w:rsidP="00682B2C">
      <w:pPr>
        <w:pStyle w:val="Tekstpodstawowy"/>
        <w:numPr>
          <w:ilvl w:val="0"/>
          <w:numId w:val="11"/>
        </w:numPr>
        <w:ind w:left="567" w:hanging="567"/>
        <w:jc w:val="both"/>
        <w:rPr>
          <w:rFonts w:ascii="Calibri" w:eastAsia="Calibri" w:hAnsi="Calibri"/>
          <w:kern w:val="0"/>
          <w:sz w:val="22"/>
          <w:szCs w:val="22"/>
          <w:lang w:eastAsia="en-US" w:bidi="ar-SA"/>
        </w:rPr>
      </w:pPr>
      <w:r>
        <w:rPr>
          <w:rFonts w:ascii="Tahoma" w:hAnsi="Tahoma" w:cs="Tahoma"/>
        </w:rPr>
        <w:t xml:space="preserve">Oferujemy </w:t>
      </w:r>
      <w:r w:rsidR="000A56E0">
        <w:rPr>
          <w:rFonts w:ascii="Tahoma" w:hAnsi="Tahoma" w:cs="Tahoma"/>
        </w:rPr>
        <w:t>wykonanie robót zgodnie z poniższym kosztorysem ofertowym:</w:t>
      </w:r>
    </w:p>
    <w:tbl>
      <w:tblPr>
        <w:tblW w:w="9704" w:type="dxa"/>
        <w:tblCellMar>
          <w:left w:w="70" w:type="dxa"/>
          <w:right w:w="70" w:type="dxa"/>
        </w:tblCellMar>
        <w:tblLook w:val="04A0" w:firstRow="1" w:lastRow="0" w:firstColumn="1" w:lastColumn="0" w:noHBand="0" w:noVBand="1"/>
      </w:tblPr>
      <w:tblGrid>
        <w:gridCol w:w="440"/>
        <w:gridCol w:w="840"/>
        <w:gridCol w:w="1130"/>
        <w:gridCol w:w="2552"/>
        <w:gridCol w:w="1020"/>
        <w:gridCol w:w="880"/>
        <w:gridCol w:w="24"/>
        <w:gridCol w:w="1194"/>
        <w:gridCol w:w="24"/>
        <w:gridCol w:w="1576"/>
        <w:gridCol w:w="24"/>
      </w:tblGrid>
      <w:tr w:rsidR="00BE5F41" w:rsidRPr="00A3392C" w14:paraId="65730DBB" w14:textId="77777777" w:rsidTr="00D0031B">
        <w:trPr>
          <w:trHeight w:val="315"/>
        </w:trPr>
        <w:tc>
          <w:tcPr>
            <w:tcW w:w="9704" w:type="dxa"/>
            <w:gridSpan w:val="11"/>
            <w:tcBorders>
              <w:top w:val="nil"/>
              <w:left w:val="nil"/>
              <w:bottom w:val="nil"/>
              <w:right w:val="nil"/>
            </w:tcBorders>
            <w:shd w:val="clear" w:color="auto" w:fill="auto"/>
            <w:noWrap/>
            <w:vAlign w:val="center"/>
            <w:hideMark/>
          </w:tcPr>
          <w:p w14:paraId="3A9AF342" w14:textId="77777777" w:rsidR="00BE5F41" w:rsidRPr="00A3392C" w:rsidRDefault="00BE5F41" w:rsidP="00D0031B">
            <w:pPr>
              <w:suppressAutoHyphens w:val="0"/>
              <w:spacing w:line="240" w:lineRule="auto"/>
              <w:jc w:val="center"/>
              <w:rPr>
                <w:color w:val="000000"/>
                <w:kern w:val="0"/>
                <w:lang w:eastAsia="pl-PL" w:bidi="ar-SA"/>
              </w:rPr>
            </w:pPr>
          </w:p>
        </w:tc>
      </w:tr>
      <w:tr w:rsidR="00BE5F41" w:rsidRPr="00A3392C" w14:paraId="154C820B" w14:textId="77777777" w:rsidTr="00D0031B">
        <w:trPr>
          <w:gridAfter w:val="1"/>
          <w:wAfter w:w="24" w:type="dxa"/>
          <w:trHeight w:val="765"/>
        </w:trPr>
        <w:tc>
          <w:tcPr>
            <w:tcW w:w="440"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09E2A836"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Lp.</w:t>
            </w:r>
          </w:p>
        </w:tc>
        <w:tc>
          <w:tcPr>
            <w:tcW w:w="840" w:type="dxa"/>
            <w:tcBorders>
              <w:top w:val="single" w:sz="4" w:space="0" w:color="000000"/>
              <w:left w:val="nil"/>
              <w:bottom w:val="single" w:sz="4" w:space="0" w:color="000000"/>
              <w:right w:val="single" w:sz="4" w:space="0" w:color="000000"/>
            </w:tcBorders>
            <w:shd w:val="clear" w:color="808080" w:fill="969696"/>
            <w:vAlign w:val="center"/>
            <w:hideMark/>
          </w:tcPr>
          <w:p w14:paraId="575BDAF6"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Numer SST</w:t>
            </w:r>
          </w:p>
        </w:tc>
        <w:tc>
          <w:tcPr>
            <w:tcW w:w="1130" w:type="dxa"/>
            <w:tcBorders>
              <w:top w:val="single" w:sz="4" w:space="0" w:color="000000"/>
              <w:left w:val="nil"/>
              <w:bottom w:val="single" w:sz="4" w:space="0" w:color="000000"/>
              <w:right w:val="single" w:sz="4" w:space="0" w:color="000000"/>
            </w:tcBorders>
            <w:shd w:val="clear" w:color="808080" w:fill="969696"/>
            <w:vAlign w:val="center"/>
            <w:hideMark/>
          </w:tcPr>
          <w:p w14:paraId="79EBE3CF"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Kod CPV</w:t>
            </w:r>
          </w:p>
        </w:tc>
        <w:tc>
          <w:tcPr>
            <w:tcW w:w="2552" w:type="dxa"/>
            <w:tcBorders>
              <w:top w:val="single" w:sz="4" w:space="0" w:color="000000"/>
              <w:left w:val="nil"/>
              <w:bottom w:val="single" w:sz="4" w:space="0" w:color="000000"/>
              <w:right w:val="single" w:sz="4" w:space="0" w:color="000000"/>
            </w:tcBorders>
            <w:shd w:val="clear" w:color="808080" w:fill="969696"/>
            <w:vAlign w:val="center"/>
            <w:hideMark/>
          </w:tcPr>
          <w:p w14:paraId="698F713C"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Wyszczególnienie elementów rozliczeniowych</w:t>
            </w:r>
          </w:p>
        </w:tc>
        <w:tc>
          <w:tcPr>
            <w:tcW w:w="1900" w:type="dxa"/>
            <w:gridSpan w:val="2"/>
            <w:tcBorders>
              <w:top w:val="single" w:sz="4" w:space="0" w:color="000000"/>
              <w:left w:val="nil"/>
              <w:bottom w:val="single" w:sz="4" w:space="0" w:color="000000"/>
              <w:right w:val="single" w:sz="4" w:space="0" w:color="000000"/>
            </w:tcBorders>
            <w:shd w:val="clear" w:color="808080" w:fill="969696"/>
            <w:vAlign w:val="center"/>
            <w:hideMark/>
          </w:tcPr>
          <w:p w14:paraId="3EF80082"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Jednostka</w:t>
            </w:r>
          </w:p>
        </w:tc>
        <w:tc>
          <w:tcPr>
            <w:tcW w:w="1218" w:type="dxa"/>
            <w:gridSpan w:val="2"/>
            <w:tcBorders>
              <w:top w:val="single" w:sz="4" w:space="0" w:color="000000"/>
              <w:left w:val="nil"/>
              <w:bottom w:val="single" w:sz="4" w:space="0" w:color="000000"/>
              <w:right w:val="single" w:sz="4" w:space="0" w:color="000000"/>
            </w:tcBorders>
            <w:shd w:val="clear" w:color="808080" w:fill="969696"/>
            <w:vAlign w:val="center"/>
            <w:hideMark/>
          </w:tcPr>
          <w:p w14:paraId="4B3862C7"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Cena jednostkowa</w:t>
            </w:r>
          </w:p>
        </w:tc>
        <w:tc>
          <w:tcPr>
            <w:tcW w:w="1600" w:type="dxa"/>
            <w:gridSpan w:val="2"/>
            <w:tcBorders>
              <w:top w:val="single" w:sz="4" w:space="0" w:color="000000"/>
              <w:left w:val="nil"/>
              <w:bottom w:val="single" w:sz="4" w:space="0" w:color="000000"/>
              <w:right w:val="single" w:sz="4" w:space="0" w:color="000000"/>
            </w:tcBorders>
            <w:shd w:val="clear" w:color="808080" w:fill="969696"/>
            <w:vAlign w:val="center"/>
            <w:hideMark/>
          </w:tcPr>
          <w:p w14:paraId="4D32472E" w14:textId="77777777" w:rsidR="00BE5F41"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Wartość</w:t>
            </w:r>
          </w:p>
          <w:p w14:paraId="1CE19637" w14:textId="77777777" w:rsidR="00BE5F41" w:rsidRPr="00A3392C" w:rsidRDefault="00BE5F41" w:rsidP="00D0031B">
            <w:pPr>
              <w:suppressAutoHyphens w:val="0"/>
              <w:spacing w:line="240" w:lineRule="auto"/>
              <w:jc w:val="center"/>
              <w:rPr>
                <w:b/>
                <w:bCs/>
                <w:color w:val="000000"/>
                <w:kern w:val="0"/>
                <w:sz w:val="20"/>
                <w:szCs w:val="20"/>
                <w:lang w:eastAsia="pl-PL" w:bidi="ar-SA"/>
              </w:rPr>
            </w:pPr>
            <w:r>
              <w:rPr>
                <w:b/>
                <w:bCs/>
                <w:color w:val="000000"/>
                <w:kern w:val="0"/>
                <w:sz w:val="20"/>
                <w:szCs w:val="20"/>
                <w:lang w:eastAsia="pl-PL" w:bidi="ar-SA"/>
              </w:rPr>
              <w:t>netto</w:t>
            </w:r>
          </w:p>
        </w:tc>
      </w:tr>
      <w:tr w:rsidR="00BE5F41" w:rsidRPr="00A3392C" w14:paraId="16D77CF5" w14:textId="77777777" w:rsidTr="00D0031B">
        <w:trPr>
          <w:gridAfter w:val="1"/>
          <w:wAfter w:w="24" w:type="dxa"/>
          <w:trHeight w:val="255"/>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33258D1B"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c>
          <w:tcPr>
            <w:tcW w:w="840" w:type="dxa"/>
            <w:tcBorders>
              <w:top w:val="nil"/>
              <w:left w:val="nil"/>
              <w:bottom w:val="single" w:sz="4" w:space="0" w:color="000000"/>
              <w:right w:val="single" w:sz="4" w:space="0" w:color="000000"/>
            </w:tcBorders>
            <w:shd w:val="clear" w:color="auto" w:fill="auto"/>
            <w:vAlign w:val="center"/>
            <w:hideMark/>
          </w:tcPr>
          <w:p w14:paraId="42A3059F"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c>
          <w:tcPr>
            <w:tcW w:w="1130" w:type="dxa"/>
            <w:tcBorders>
              <w:top w:val="nil"/>
              <w:left w:val="nil"/>
              <w:bottom w:val="single" w:sz="4" w:space="0" w:color="000000"/>
              <w:right w:val="single" w:sz="4" w:space="0" w:color="000000"/>
            </w:tcBorders>
            <w:shd w:val="clear" w:color="auto" w:fill="auto"/>
            <w:vAlign w:val="center"/>
            <w:hideMark/>
          </w:tcPr>
          <w:p w14:paraId="031B832D"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c>
          <w:tcPr>
            <w:tcW w:w="2552" w:type="dxa"/>
            <w:tcBorders>
              <w:top w:val="nil"/>
              <w:left w:val="nil"/>
              <w:bottom w:val="single" w:sz="4" w:space="0" w:color="000000"/>
              <w:right w:val="single" w:sz="4" w:space="0" w:color="000000"/>
            </w:tcBorders>
            <w:shd w:val="clear" w:color="auto" w:fill="auto"/>
            <w:vAlign w:val="center"/>
            <w:hideMark/>
          </w:tcPr>
          <w:p w14:paraId="518403BA"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c>
          <w:tcPr>
            <w:tcW w:w="1020" w:type="dxa"/>
            <w:tcBorders>
              <w:top w:val="nil"/>
              <w:left w:val="nil"/>
              <w:bottom w:val="single" w:sz="4" w:space="0" w:color="000000"/>
              <w:right w:val="single" w:sz="4" w:space="0" w:color="000000"/>
            </w:tcBorders>
            <w:shd w:val="clear" w:color="auto" w:fill="auto"/>
            <w:vAlign w:val="center"/>
            <w:hideMark/>
          </w:tcPr>
          <w:p w14:paraId="508FE11F"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Jednostka</w:t>
            </w:r>
          </w:p>
        </w:tc>
        <w:tc>
          <w:tcPr>
            <w:tcW w:w="880" w:type="dxa"/>
            <w:tcBorders>
              <w:top w:val="nil"/>
              <w:left w:val="nil"/>
              <w:bottom w:val="single" w:sz="4" w:space="0" w:color="000000"/>
              <w:right w:val="single" w:sz="4" w:space="0" w:color="000000"/>
            </w:tcBorders>
            <w:shd w:val="clear" w:color="auto" w:fill="auto"/>
            <w:vAlign w:val="center"/>
            <w:hideMark/>
          </w:tcPr>
          <w:p w14:paraId="3ABC37FB"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ilość</w:t>
            </w:r>
          </w:p>
        </w:tc>
        <w:tc>
          <w:tcPr>
            <w:tcW w:w="1218" w:type="dxa"/>
            <w:gridSpan w:val="2"/>
            <w:tcBorders>
              <w:top w:val="nil"/>
              <w:left w:val="nil"/>
              <w:bottom w:val="single" w:sz="4" w:space="0" w:color="000000"/>
              <w:right w:val="single" w:sz="4" w:space="0" w:color="000000"/>
            </w:tcBorders>
            <w:shd w:val="clear" w:color="auto" w:fill="auto"/>
            <w:vAlign w:val="center"/>
            <w:hideMark/>
          </w:tcPr>
          <w:p w14:paraId="61BC6A3A"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[zł]</w:t>
            </w:r>
          </w:p>
        </w:tc>
        <w:tc>
          <w:tcPr>
            <w:tcW w:w="1600" w:type="dxa"/>
            <w:gridSpan w:val="2"/>
            <w:tcBorders>
              <w:top w:val="nil"/>
              <w:left w:val="nil"/>
              <w:bottom w:val="single" w:sz="4" w:space="0" w:color="000000"/>
              <w:right w:val="single" w:sz="4" w:space="0" w:color="000000"/>
            </w:tcBorders>
            <w:shd w:val="clear" w:color="auto" w:fill="auto"/>
            <w:vAlign w:val="center"/>
            <w:hideMark/>
          </w:tcPr>
          <w:p w14:paraId="14442F4E"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[zł]</w:t>
            </w:r>
          </w:p>
        </w:tc>
      </w:tr>
      <w:tr w:rsidR="00BE5F41" w:rsidRPr="00A3392C" w14:paraId="495E3E77" w14:textId="77777777" w:rsidTr="00D0031B">
        <w:trPr>
          <w:gridAfter w:val="1"/>
          <w:wAfter w:w="24" w:type="dxa"/>
          <w:trHeight w:val="2460"/>
        </w:trPr>
        <w:tc>
          <w:tcPr>
            <w:tcW w:w="440" w:type="dxa"/>
            <w:tcBorders>
              <w:top w:val="nil"/>
              <w:left w:val="single" w:sz="4" w:space="0" w:color="000000"/>
              <w:bottom w:val="single" w:sz="4" w:space="0" w:color="000000"/>
              <w:right w:val="single" w:sz="4" w:space="0" w:color="000000"/>
            </w:tcBorders>
            <w:shd w:val="clear" w:color="auto" w:fill="auto"/>
            <w:noWrap/>
            <w:vAlign w:val="center"/>
            <w:hideMark/>
          </w:tcPr>
          <w:p w14:paraId="63E190A1"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1.</w:t>
            </w:r>
          </w:p>
        </w:tc>
        <w:tc>
          <w:tcPr>
            <w:tcW w:w="840" w:type="dxa"/>
            <w:tcBorders>
              <w:top w:val="nil"/>
              <w:left w:val="nil"/>
              <w:bottom w:val="single" w:sz="4" w:space="0" w:color="000000"/>
              <w:right w:val="single" w:sz="4" w:space="0" w:color="000000"/>
            </w:tcBorders>
            <w:shd w:val="clear" w:color="auto" w:fill="auto"/>
            <w:vAlign w:val="center"/>
            <w:hideMark/>
          </w:tcPr>
          <w:p w14:paraId="5F765138"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D-05.03.17</w:t>
            </w:r>
          </w:p>
        </w:tc>
        <w:tc>
          <w:tcPr>
            <w:tcW w:w="1130" w:type="dxa"/>
            <w:tcBorders>
              <w:top w:val="nil"/>
              <w:left w:val="nil"/>
              <w:bottom w:val="single" w:sz="4" w:space="0" w:color="000000"/>
              <w:right w:val="single" w:sz="4" w:space="0" w:color="000000"/>
            </w:tcBorders>
            <w:shd w:val="clear" w:color="auto" w:fill="auto"/>
            <w:vAlign w:val="center"/>
            <w:hideMark/>
          </w:tcPr>
          <w:p w14:paraId="5916BE4A"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45233142-6</w:t>
            </w:r>
          </w:p>
        </w:tc>
        <w:tc>
          <w:tcPr>
            <w:tcW w:w="2552" w:type="dxa"/>
            <w:tcBorders>
              <w:top w:val="nil"/>
              <w:left w:val="nil"/>
              <w:bottom w:val="single" w:sz="4" w:space="0" w:color="000000"/>
              <w:right w:val="single" w:sz="4" w:space="0" w:color="000000"/>
            </w:tcBorders>
            <w:shd w:val="clear" w:color="auto" w:fill="auto"/>
            <w:vAlign w:val="center"/>
            <w:hideMark/>
          </w:tcPr>
          <w:p w14:paraId="588EFAC4" w14:textId="26C69D04"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Uzupełnienie ubytków w nawierzchniach bitumicznych przy użyciu grysów i emulsji asfaltowej standardowej C65B3PU/RC, przy średniej gł</w:t>
            </w:r>
            <w:r w:rsidR="00CC7994">
              <w:rPr>
                <w:color w:val="000000"/>
                <w:kern w:val="0"/>
                <w:sz w:val="20"/>
                <w:szCs w:val="20"/>
                <w:lang w:eastAsia="pl-PL" w:bidi="ar-SA"/>
              </w:rPr>
              <w:t>ę</w:t>
            </w:r>
            <w:r w:rsidRPr="00A3392C">
              <w:rPr>
                <w:color w:val="000000"/>
                <w:kern w:val="0"/>
                <w:sz w:val="20"/>
                <w:szCs w:val="20"/>
                <w:lang w:eastAsia="pl-PL" w:bidi="ar-SA"/>
              </w:rPr>
              <w:t xml:space="preserve">bokości wybojów 4 cm. Roboty wykonywane są przy użyciu specjalistycznego remontera </w:t>
            </w:r>
          </w:p>
        </w:tc>
        <w:tc>
          <w:tcPr>
            <w:tcW w:w="1020" w:type="dxa"/>
            <w:tcBorders>
              <w:top w:val="nil"/>
              <w:left w:val="nil"/>
              <w:bottom w:val="single" w:sz="4" w:space="0" w:color="000000"/>
              <w:right w:val="single" w:sz="4" w:space="0" w:color="000000"/>
            </w:tcBorders>
            <w:shd w:val="clear" w:color="auto" w:fill="auto"/>
            <w:vAlign w:val="center"/>
            <w:hideMark/>
          </w:tcPr>
          <w:p w14:paraId="003721E6"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m</w:t>
            </w:r>
            <w:r w:rsidRPr="00A3392C">
              <w:rPr>
                <w:color w:val="000000"/>
                <w:kern w:val="0"/>
                <w:sz w:val="20"/>
                <w:szCs w:val="20"/>
                <w:vertAlign w:val="superscript"/>
                <w:lang w:eastAsia="pl-PL" w:bidi="ar-SA"/>
              </w:rPr>
              <w:t>2</w:t>
            </w:r>
          </w:p>
        </w:tc>
        <w:tc>
          <w:tcPr>
            <w:tcW w:w="880" w:type="dxa"/>
            <w:tcBorders>
              <w:top w:val="nil"/>
              <w:left w:val="nil"/>
              <w:bottom w:val="single" w:sz="4" w:space="0" w:color="000000"/>
              <w:right w:val="single" w:sz="4" w:space="0" w:color="000000"/>
            </w:tcBorders>
            <w:shd w:val="clear" w:color="auto" w:fill="auto"/>
            <w:vAlign w:val="center"/>
            <w:hideMark/>
          </w:tcPr>
          <w:p w14:paraId="5E1C2F39" w14:textId="5759560A" w:rsidR="00BE5F41" w:rsidRPr="00A3392C" w:rsidRDefault="00CC7994" w:rsidP="00D0031B">
            <w:pPr>
              <w:suppressAutoHyphens w:val="0"/>
              <w:spacing w:line="240" w:lineRule="auto"/>
              <w:jc w:val="center"/>
              <w:rPr>
                <w:color w:val="000000"/>
                <w:kern w:val="0"/>
                <w:sz w:val="20"/>
                <w:szCs w:val="20"/>
                <w:lang w:eastAsia="pl-PL" w:bidi="ar-SA"/>
              </w:rPr>
            </w:pPr>
            <w:r>
              <w:rPr>
                <w:color w:val="000000"/>
                <w:kern w:val="0"/>
                <w:sz w:val="20"/>
                <w:szCs w:val="20"/>
                <w:lang w:eastAsia="pl-PL" w:bidi="ar-SA"/>
              </w:rPr>
              <w:t>53</w:t>
            </w:r>
            <w:r w:rsidR="00BE5F41" w:rsidRPr="00A3392C">
              <w:rPr>
                <w:color w:val="000000"/>
                <w:kern w:val="0"/>
                <w:sz w:val="20"/>
                <w:szCs w:val="20"/>
                <w:lang w:eastAsia="pl-PL" w:bidi="ar-SA"/>
              </w:rPr>
              <w:t>00</w:t>
            </w:r>
          </w:p>
        </w:tc>
        <w:tc>
          <w:tcPr>
            <w:tcW w:w="1218" w:type="dxa"/>
            <w:gridSpan w:val="2"/>
            <w:tcBorders>
              <w:top w:val="nil"/>
              <w:left w:val="nil"/>
              <w:bottom w:val="single" w:sz="4" w:space="0" w:color="000000"/>
              <w:right w:val="single" w:sz="4" w:space="0" w:color="000000"/>
            </w:tcBorders>
            <w:shd w:val="clear" w:color="auto" w:fill="auto"/>
            <w:vAlign w:val="center"/>
            <w:hideMark/>
          </w:tcPr>
          <w:p w14:paraId="7A4C8029"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c>
          <w:tcPr>
            <w:tcW w:w="1600" w:type="dxa"/>
            <w:gridSpan w:val="2"/>
            <w:tcBorders>
              <w:top w:val="nil"/>
              <w:left w:val="nil"/>
              <w:bottom w:val="single" w:sz="4" w:space="0" w:color="000000"/>
              <w:right w:val="single" w:sz="4" w:space="0" w:color="000000"/>
            </w:tcBorders>
            <w:shd w:val="clear" w:color="auto" w:fill="auto"/>
            <w:vAlign w:val="center"/>
            <w:hideMark/>
          </w:tcPr>
          <w:p w14:paraId="63DDA70B" w14:textId="77777777" w:rsidR="00BE5F41" w:rsidRPr="00A3392C" w:rsidRDefault="00BE5F41" w:rsidP="00D0031B">
            <w:pPr>
              <w:suppressAutoHyphens w:val="0"/>
              <w:spacing w:line="240" w:lineRule="auto"/>
              <w:jc w:val="center"/>
              <w:rPr>
                <w:color w:val="000000"/>
                <w:kern w:val="0"/>
                <w:sz w:val="20"/>
                <w:szCs w:val="20"/>
                <w:lang w:eastAsia="pl-PL" w:bidi="ar-SA"/>
              </w:rPr>
            </w:pPr>
            <w:r w:rsidRPr="00A3392C">
              <w:rPr>
                <w:color w:val="000000"/>
                <w:kern w:val="0"/>
                <w:sz w:val="20"/>
                <w:szCs w:val="20"/>
                <w:lang w:eastAsia="pl-PL" w:bidi="ar-SA"/>
              </w:rPr>
              <w:t> </w:t>
            </w:r>
          </w:p>
        </w:tc>
      </w:tr>
      <w:tr w:rsidR="00BE5F41" w:rsidRPr="00A3392C" w14:paraId="07CDCC3D" w14:textId="77777777" w:rsidTr="00D0031B">
        <w:trPr>
          <w:trHeight w:val="285"/>
        </w:trPr>
        <w:tc>
          <w:tcPr>
            <w:tcW w:w="6886" w:type="dxa"/>
            <w:gridSpan w:val="7"/>
            <w:tcBorders>
              <w:top w:val="single" w:sz="4" w:space="0" w:color="000000"/>
              <w:left w:val="nil"/>
              <w:bottom w:val="nil"/>
              <w:right w:val="single" w:sz="4" w:space="0" w:color="000000"/>
            </w:tcBorders>
            <w:shd w:val="clear" w:color="auto" w:fill="auto"/>
            <w:noWrap/>
            <w:hideMark/>
          </w:tcPr>
          <w:p w14:paraId="3F8F4388" w14:textId="77777777" w:rsidR="00BE5F41" w:rsidRPr="00A3392C" w:rsidRDefault="00BE5F41" w:rsidP="00D0031B">
            <w:pPr>
              <w:suppressAutoHyphens w:val="0"/>
              <w:spacing w:line="240" w:lineRule="auto"/>
              <w:rPr>
                <w:color w:val="000000"/>
                <w:kern w:val="0"/>
                <w:sz w:val="20"/>
                <w:szCs w:val="20"/>
                <w:lang w:eastAsia="pl-PL" w:bidi="ar-SA"/>
              </w:rPr>
            </w:pPr>
            <w:r w:rsidRPr="00A3392C">
              <w:rPr>
                <w:color w:val="000000"/>
                <w:kern w:val="0"/>
                <w:sz w:val="20"/>
                <w:szCs w:val="20"/>
                <w:lang w:eastAsia="pl-PL" w:bidi="ar-SA"/>
              </w:rPr>
              <w:t> </w:t>
            </w:r>
          </w:p>
        </w:tc>
        <w:tc>
          <w:tcPr>
            <w:tcW w:w="1218" w:type="dxa"/>
            <w:gridSpan w:val="2"/>
            <w:tcBorders>
              <w:top w:val="nil"/>
              <w:left w:val="nil"/>
              <w:bottom w:val="single" w:sz="4" w:space="0" w:color="000000"/>
              <w:right w:val="single" w:sz="4" w:space="0" w:color="000000"/>
            </w:tcBorders>
            <w:shd w:val="clear" w:color="auto" w:fill="auto"/>
            <w:vAlign w:val="center"/>
            <w:hideMark/>
          </w:tcPr>
          <w:p w14:paraId="761E8C3F"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Razem</w:t>
            </w:r>
            <w:r>
              <w:rPr>
                <w:b/>
                <w:bCs/>
                <w:color w:val="000000"/>
                <w:kern w:val="0"/>
                <w:sz w:val="20"/>
                <w:szCs w:val="20"/>
                <w:lang w:eastAsia="pl-PL" w:bidi="ar-SA"/>
              </w:rPr>
              <w:t xml:space="preserve"> netto</w:t>
            </w:r>
            <w:r w:rsidRPr="00A3392C">
              <w:rPr>
                <w:b/>
                <w:bCs/>
                <w:color w:val="000000"/>
                <w:kern w:val="0"/>
                <w:sz w:val="20"/>
                <w:szCs w:val="20"/>
                <w:lang w:eastAsia="pl-PL" w:bidi="ar-SA"/>
              </w:rPr>
              <w:t>:</w:t>
            </w:r>
          </w:p>
        </w:tc>
        <w:tc>
          <w:tcPr>
            <w:tcW w:w="1600" w:type="dxa"/>
            <w:gridSpan w:val="2"/>
            <w:tcBorders>
              <w:top w:val="nil"/>
              <w:left w:val="nil"/>
              <w:bottom w:val="single" w:sz="4" w:space="0" w:color="000000"/>
              <w:right w:val="single" w:sz="4" w:space="0" w:color="000000"/>
            </w:tcBorders>
            <w:shd w:val="clear" w:color="auto" w:fill="auto"/>
            <w:vAlign w:val="center"/>
            <w:hideMark/>
          </w:tcPr>
          <w:p w14:paraId="0CF756E8" w14:textId="77777777" w:rsidR="00BE5F41" w:rsidRPr="00A3392C" w:rsidRDefault="00BE5F41" w:rsidP="00D0031B">
            <w:pPr>
              <w:suppressAutoHyphens w:val="0"/>
              <w:spacing w:line="240" w:lineRule="auto"/>
              <w:jc w:val="center"/>
              <w:rPr>
                <w:b/>
                <w:bCs/>
                <w:color w:val="000000"/>
                <w:kern w:val="0"/>
                <w:sz w:val="20"/>
                <w:szCs w:val="20"/>
                <w:lang w:eastAsia="pl-PL" w:bidi="ar-SA"/>
              </w:rPr>
            </w:pPr>
            <w:r w:rsidRPr="00A3392C">
              <w:rPr>
                <w:b/>
                <w:bCs/>
                <w:color w:val="000000"/>
                <w:kern w:val="0"/>
                <w:sz w:val="20"/>
                <w:szCs w:val="20"/>
                <w:lang w:eastAsia="pl-PL" w:bidi="ar-SA"/>
              </w:rPr>
              <w:t> </w:t>
            </w:r>
          </w:p>
        </w:tc>
      </w:tr>
    </w:tbl>
    <w:p w14:paraId="0B2269B3" w14:textId="1F0CD695" w:rsidR="00ED70B9" w:rsidRDefault="00ED70B9" w:rsidP="00682B2C">
      <w:pPr>
        <w:pStyle w:val="Tekstpodstawowy"/>
        <w:jc w:val="both"/>
        <w:rPr>
          <w:rFonts w:ascii="Calibri" w:eastAsia="Calibri" w:hAnsi="Calibri"/>
          <w:kern w:val="0"/>
          <w:sz w:val="22"/>
          <w:szCs w:val="22"/>
          <w:lang w:eastAsia="en-US" w:bidi="ar-SA"/>
        </w:rPr>
      </w:pPr>
      <w:r>
        <w:rPr>
          <w:rFonts w:ascii="Calibri" w:eastAsia="Calibri" w:hAnsi="Calibri"/>
          <w:kern w:val="0"/>
          <w:sz w:val="22"/>
          <w:szCs w:val="22"/>
          <w:lang w:eastAsia="en-US" w:bidi="ar-SA"/>
        </w:rPr>
        <w:t>1.1.</w:t>
      </w:r>
      <w:r>
        <w:rPr>
          <w:rFonts w:ascii="Calibri" w:eastAsia="Calibri" w:hAnsi="Calibri"/>
          <w:kern w:val="0"/>
          <w:sz w:val="22"/>
          <w:szCs w:val="22"/>
          <w:lang w:eastAsia="en-US" w:bidi="ar-SA"/>
        </w:rPr>
        <w:tab/>
        <w:t xml:space="preserve">Oświadczamy, że oferowane przez </w:t>
      </w:r>
      <w:r w:rsidR="00C65A18">
        <w:rPr>
          <w:rFonts w:ascii="Calibri" w:eastAsia="Calibri" w:hAnsi="Calibri"/>
          <w:kern w:val="0"/>
          <w:sz w:val="22"/>
          <w:szCs w:val="22"/>
          <w:lang w:eastAsia="en-US" w:bidi="ar-SA"/>
        </w:rPr>
        <w:t xml:space="preserve">nas </w:t>
      </w:r>
      <w:r w:rsidR="000C4F77">
        <w:rPr>
          <w:rFonts w:ascii="Calibri" w:eastAsia="Calibri" w:hAnsi="Calibri"/>
          <w:kern w:val="0"/>
          <w:sz w:val="22"/>
          <w:szCs w:val="22"/>
          <w:lang w:eastAsia="en-US" w:bidi="ar-SA"/>
        </w:rPr>
        <w:t xml:space="preserve">roboty budowlane </w:t>
      </w:r>
      <w:r>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C280342" w14:textId="0FAB13B2" w:rsidR="002B1D57" w:rsidRPr="0035107D" w:rsidRDefault="002B1D57" w:rsidP="002B1D57">
      <w:pPr>
        <w:shd w:val="clear" w:color="auto" w:fill="FFFFFF"/>
        <w:tabs>
          <w:tab w:val="left" w:pos="480"/>
          <w:tab w:val="left" w:pos="720"/>
        </w:tabs>
        <w:rPr>
          <w:rFonts w:ascii="Tahoma" w:eastAsia="MS Mincho" w:hAnsi="Tahoma" w:cs="Tahoma"/>
          <w:sz w:val="20"/>
          <w:szCs w:val="20"/>
        </w:rPr>
      </w:pPr>
      <w:r>
        <w:rPr>
          <w:rFonts w:ascii="Tahoma" w:eastAsia="MS Mincho" w:hAnsi="Tahoma" w:cs="Tahoma"/>
          <w:sz w:val="20"/>
          <w:szCs w:val="20"/>
        </w:rPr>
        <w:t>3</w:t>
      </w:r>
      <w:r w:rsidRPr="0035107D">
        <w:rPr>
          <w:rFonts w:ascii="Tahoma" w:eastAsia="MS Mincho" w:hAnsi="Tahoma" w:cs="Tahoma"/>
          <w:sz w:val="20"/>
          <w:szCs w:val="20"/>
        </w:rPr>
        <w:t>.</w:t>
      </w:r>
      <w:r w:rsidRPr="0035107D">
        <w:rPr>
          <w:rFonts w:ascii="Tahoma" w:eastAsia="MS Mincho" w:hAnsi="Tahoma" w:cs="Tahoma"/>
          <w:sz w:val="20"/>
          <w:szCs w:val="20"/>
        </w:rPr>
        <w:tab/>
        <w:t>Oferuję/emy:</w:t>
      </w:r>
    </w:p>
    <w:p w14:paraId="3611CE26" w14:textId="77777777" w:rsidR="002B1D57" w:rsidRPr="0035107D" w:rsidRDefault="002B1D57" w:rsidP="002B1D57">
      <w:pPr>
        <w:widowControl w:val="0"/>
        <w:numPr>
          <w:ilvl w:val="1"/>
          <w:numId w:val="18"/>
        </w:numPr>
        <w:tabs>
          <w:tab w:val="clear" w:pos="1440"/>
          <w:tab w:val="num" w:pos="567"/>
        </w:tabs>
        <w:suppressAutoHyphens w:val="0"/>
        <w:autoSpaceDE w:val="0"/>
        <w:autoSpaceDN w:val="0"/>
        <w:adjustRightInd w:val="0"/>
        <w:spacing w:line="240" w:lineRule="auto"/>
        <w:ind w:left="567" w:hanging="567"/>
        <w:jc w:val="both"/>
        <w:rPr>
          <w:rFonts w:ascii="Tahoma" w:eastAsia="MS Mincho" w:hAnsi="Tahoma" w:cs="Tahoma"/>
          <w:bCs/>
          <w:sz w:val="20"/>
          <w:szCs w:val="20"/>
        </w:rPr>
      </w:pPr>
      <w:r w:rsidRPr="0035107D">
        <w:rPr>
          <w:rFonts w:ascii="Tahoma" w:eastAsia="MS Mincho" w:hAnsi="Tahoma" w:cs="Tahoma"/>
          <w:b/>
          <w:bCs/>
          <w:sz w:val="20"/>
          <w:szCs w:val="20"/>
        </w:rPr>
        <w:t xml:space="preserve">...................... </w:t>
      </w:r>
      <w:r w:rsidRPr="0035107D">
        <w:rPr>
          <w:rFonts w:ascii="Tahoma" w:eastAsia="MS Mincho" w:hAnsi="Tahoma" w:cs="Tahoma"/>
          <w:bCs/>
          <w:sz w:val="20"/>
          <w:szCs w:val="20"/>
        </w:rPr>
        <w:t>miesięcy gwarancji na zrealizowane roboty budowlane.</w:t>
      </w:r>
    </w:p>
    <w:p w14:paraId="641E531B" w14:textId="77777777" w:rsidR="002B1D57" w:rsidRDefault="002B1D57" w:rsidP="002B1D57">
      <w:pPr>
        <w:suppressAutoHyphens w:val="0"/>
        <w:autoSpaceDE w:val="0"/>
        <w:spacing w:line="240" w:lineRule="exact"/>
        <w:ind w:left="567"/>
        <w:jc w:val="both"/>
        <w:rPr>
          <w:rFonts w:ascii="Tahoma" w:eastAsia="MS Mincho" w:hAnsi="Tahoma" w:cs="Tahoma"/>
          <w:bCs/>
          <w:sz w:val="20"/>
          <w:szCs w:val="20"/>
        </w:rPr>
      </w:pPr>
      <w:r w:rsidRPr="0035107D">
        <w:rPr>
          <w:rFonts w:ascii="Tahoma" w:eastAsia="MS Mincho" w:hAnsi="Tahoma" w:cs="Tahoma"/>
          <w:bCs/>
          <w:sz w:val="20"/>
          <w:szCs w:val="20"/>
        </w:rPr>
        <w:t xml:space="preserve">(Zamawiający wyznacza minimalny </w:t>
      </w:r>
      <w:r>
        <w:rPr>
          <w:rFonts w:ascii="Tahoma" w:eastAsia="MS Mincho" w:hAnsi="Tahoma" w:cs="Tahoma"/>
          <w:bCs/>
          <w:sz w:val="20"/>
          <w:szCs w:val="20"/>
        </w:rPr>
        <w:t>12</w:t>
      </w:r>
      <w:r w:rsidRPr="0035107D">
        <w:rPr>
          <w:rFonts w:ascii="Tahoma" w:eastAsia="MS Mincho" w:hAnsi="Tahoma" w:cs="Tahoma"/>
          <w:bCs/>
          <w:sz w:val="20"/>
          <w:szCs w:val="20"/>
        </w:rPr>
        <w:t xml:space="preserve"> miesięczny okres gwarancji oraz maksymalny </w:t>
      </w:r>
      <w:r>
        <w:rPr>
          <w:rFonts w:ascii="Tahoma" w:eastAsia="MS Mincho" w:hAnsi="Tahoma" w:cs="Tahoma"/>
          <w:bCs/>
          <w:sz w:val="20"/>
          <w:szCs w:val="20"/>
        </w:rPr>
        <w:t>18</w:t>
      </w:r>
      <w:r w:rsidRPr="0035107D">
        <w:rPr>
          <w:rFonts w:ascii="Tahoma" w:eastAsia="MS Mincho" w:hAnsi="Tahoma" w:cs="Tahoma"/>
          <w:bCs/>
          <w:sz w:val="20"/>
          <w:szCs w:val="20"/>
        </w:rPr>
        <w:t xml:space="preserve"> miesięczny okres gwarancji).</w:t>
      </w:r>
    </w:p>
    <w:p w14:paraId="7A6721B3" w14:textId="77777777" w:rsidR="002B1D57" w:rsidRDefault="002B1D57" w:rsidP="002B1D57">
      <w:pPr>
        <w:pStyle w:val="Style1"/>
        <w:widowControl/>
        <w:numPr>
          <w:ilvl w:val="1"/>
          <w:numId w:val="18"/>
        </w:numPr>
        <w:tabs>
          <w:tab w:val="clear" w:pos="1440"/>
          <w:tab w:val="num" w:pos="567"/>
        </w:tabs>
        <w:spacing w:line="240" w:lineRule="exact"/>
        <w:ind w:left="567" w:hanging="567"/>
        <w:jc w:val="both"/>
        <w:rPr>
          <w:bCs/>
          <w:kern w:val="2"/>
          <w:sz w:val="20"/>
          <w:szCs w:val="20"/>
        </w:rPr>
      </w:pPr>
      <w:bookmarkStart w:id="0" w:name="_Hlk508103073"/>
      <w:r>
        <w:rPr>
          <w:bCs/>
          <w:sz w:val="20"/>
          <w:szCs w:val="20"/>
        </w:rPr>
        <w:t xml:space="preserve">Termin wykonania zamówienia w ilości …………………. dni, licząc od dnia następnego po zawarciu umowy. </w:t>
      </w:r>
    </w:p>
    <w:p w14:paraId="6184C9A2" w14:textId="2F6E813C" w:rsidR="002B1D57" w:rsidRPr="008B7C99" w:rsidRDefault="002B1D57" w:rsidP="002B1D57">
      <w:pPr>
        <w:spacing w:line="276" w:lineRule="auto"/>
        <w:ind w:left="567"/>
        <w:jc w:val="both"/>
        <w:rPr>
          <w:rFonts w:ascii="Tahoma" w:hAnsi="Tahoma" w:cs="Tahoma"/>
          <w:sz w:val="20"/>
          <w:szCs w:val="20"/>
        </w:rPr>
      </w:pPr>
      <w:r>
        <w:rPr>
          <w:bCs/>
          <w:sz w:val="20"/>
          <w:szCs w:val="20"/>
        </w:rPr>
        <w:t>(</w:t>
      </w:r>
      <w:r>
        <w:rPr>
          <w:rFonts w:ascii="Tahoma" w:hAnsi="Tahoma" w:cs="Tahoma"/>
          <w:sz w:val="20"/>
          <w:szCs w:val="20"/>
        </w:rPr>
        <w:t>Zamawiający wyznaczył minimalny termin wykonania zamówienia dla zadań 1 i 3, który wynosi 20 dni i maksymalny termin wykonania zamówienia, który wynosi 35 dni oraz Zamawiający wyznaczył minimalny termin wykonania zamówienia dla zadania 2, który wynosi 30 dni i maksymalny termin wykonania zamówienia, który wynosi 35 dni).</w:t>
      </w:r>
    </w:p>
    <w:bookmarkEnd w:id="0"/>
    <w:p w14:paraId="4FDFE5C2" w14:textId="4E1E8687" w:rsidR="00B56071" w:rsidRPr="002B1D57" w:rsidRDefault="00B56071" w:rsidP="002B1D57">
      <w:pPr>
        <w:pStyle w:val="Akapitzlist"/>
        <w:numPr>
          <w:ilvl w:val="0"/>
          <w:numId w:val="19"/>
        </w:numPr>
        <w:spacing w:line="240" w:lineRule="auto"/>
        <w:ind w:left="567" w:hanging="567"/>
        <w:jc w:val="both"/>
        <w:rPr>
          <w:rFonts w:ascii="Tahoma" w:hAnsi="Tahoma" w:cs="Tahoma"/>
          <w:kern w:val="0"/>
          <w:sz w:val="20"/>
          <w:szCs w:val="20"/>
          <w:lang w:eastAsia="ar-SA" w:bidi="ar-SA"/>
        </w:rPr>
      </w:pPr>
      <w:r w:rsidRPr="002B1D57">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189D8294" w:rsidR="00B56071" w:rsidRPr="002B1D57" w:rsidRDefault="00B56071" w:rsidP="002B1D57">
      <w:pPr>
        <w:pStyle w:val="Akapitzlist"/>
        <w:numPr>
          <w:ilvl w:val="0"/>
          <w:numId w:val="20"/>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sidRPr="002B1D57">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sidRPr="002B1D57">
        <w:rPr>
          <w:rFonts w:ascii="Tahoma" w:eastAsia="MS Mincho" w:hAnsi="Tahoma" w:cs="Tahoma"/>
          <w:sz w:val="20"/>
          <w:szCs w:val="20"/>
          <w:lang w:eastAsia="pl-PL"/>
        </w:rPr>
        <w:t xml:space="preserve">, tj. do dnia </w:t>
      </w:r>
      <w:r w:rsidR="00B46756" w:rsidRPr="002B1D57">
        <w:rPr>
          <w:rFonts w:ascii="Tahoma" w:eastAsia="MS Mincho" w:hAnsi="Tahoma" w:cs="Tahoma"/>
          <w:sz w:val="20"/>
          <w:szCs w:val="20"/>
          <w:lang w:eastAsia="pl-PL"/>
        </w:rPr>
        <w:t>1</w:t>
      </w:r>
      <w:r w:rsidR="005A5143">
        <w:rPr>
          <w:rFonts w:ascii="Tahoma" w:eastAsia="MS Mincho" w:hAnsi="Tahoma" w:cs="Tahoma"/>
          <w:sz w:val="20"/>
          <w:szCs w:val="20"/>
          <w:lang w:eastAsia="pl-PL"/>
        </w:rPr>
        <w:t>3</w:t>
      </w:r>
      <w:r w:rsidR="00DE0FED" w:rsidRPr="002B1D57">
        <w:rPr>
          <w:rFonts w:ascii="Tahoma" w:eastAsia="MS Mincho" w:hAnsi="Tahoma" w:cs="Tahoma"/>
          <w:sz w:val="20"/>
          <w:szCs w:val="20"/>
          <w:lang w:eastAsia="pl-PL"/>
        </w:rPr>
        <w:t xml:space="preserve"> kwietnia</w:t>
      </w:r>
      <w:r w:rsidR="003F2D33" w:rsidRPr="002B1D57">
        <w:rPr>
          <w:rFonts w:ascii="Tahoma" w:eastAsia="MS Mincho" w:hAnsi="Tahoma" w:cs="Tahoma"/>
          <w:sz w:val="20"/>
          <w:szCs w:val="20"/>
          <w:lang w:eastAsia="pl-PL"/>
        </w:rPr>
        <w:t xml:space="preserve"> </w:t>
      </w:r>
      <w:r w:rsidR="00C0334D" w:rsidRPr="002B1D57">
        <w:rPr>
          <w:rFonts w:ascii="Tahoma" w:eastAsia="MS Mincho" w:hAnsi="Tahoma" w:cs="Tahoma"/>
          <w:sz w:val="20"/>
          <w:szCs w:val="20"/>
          <w:lang w:eastAsia="pl-PL"/>
        </w:rPr>
        <w:t>2021r.</w:t>
      </w:r>
    </w:p>
    <w:p w14:paraId="12A74209" w14:textId="73FE275A" w:rsidR="00B56071" w:rsidRDefault="002B1D57"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lastRenderedPageBreak/>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7777777" w:rsidR="00215CA7" w:rsidRDefault="00215CA7" w:rsidP="00215CA7">
      <w:pPr>
        <w:rPr>
          <w:rFonts w:ascii="Tahoma" w:hAnsi="Tahoma" w:cs="Tahoma"/>
          <w:sz w:val="20"/>
          <w:szCs w:val="20"/>
        </w:rPr>
      </w:pPr>
      <w:r>
        <w:rPr>
          <w:rFonts w:ascii="Tahoma" w:hAnsi="Tahoma" w:cs="Tahoma"/>
          <w:sz w:val="20"/>
          <w:szCs w:val="20"/>
        </w:rPr>
        <w:t>1)...........................................................................................................</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 xml:space="preserve">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w:t>
      </w:r>
      <w:r>
        <w:rPr>
          <w:rFonts w:ascii="Tahoma" w:hAnsi="Tahoma" w:cs="Tahoma"/>
          <w:sz w:val="16"/>
          <w:szCs w:val="16"/>
        </w:rPr>
        <w:lastRenderedPageBreak/>
        <w:t>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5"/>
  </w:num>
  <w:num w:numId="8">
    <w:abstractNumId w:val="10"/>
  </w:num>
  <w:num w:numId="9">
    <w:abstractNumId w:val="16"/>
  </w:num>
  <w:num w:numId="10">
    <w:abstractNumId w:val="6"/>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8"/>
  </w:num>
  <w:num w:numId="18">
    <w:abstractNumId w:val="1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A56E0"/>
    <w:rsid w:val="000C4F77"/>
    <w:rsid w:val="000E2D23"/>
    <w:rsid w:val="001F40F4"/>
    <w:rsid w:val="00215CA7"/>
    <w:rsid w:val="002B1D57"/>
    <w:rsid w:val="003765F8"/>
    <w:rsid w:val="003F2D33"/>
    <w:rsid w:val="00582397"/>
    <w:rsid w:val="005A5143"/>
    <w:rsid w:val="00682B2C"/>
    <w:rsid w:val="00717F9B"/>
    <w:rsid w:val="00771460"/>
    <w:rsid w:val="0097579A"/>
    <w:rsid w:val="00A5081B"/>
    <w:rsid w:val="00B46756"/>
    <w:rsid w:val="00B56071"/>
    <w:rsid w:val="00BE5F41"/>
    <w:rsid w:val="00C0334D"/>
    <w:rsid w:val="00C65A18"/>
    <w:rsid w:val="00CC7994"/>
    <w:rsid w:val="00DE0FED"/>
    <w:rsid w:val="00ED70B9"/>
    <w:rsid w:val="00EE360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1302</Words>
  <Characters>7815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34</cp:revision>
  <dcterms:created xsi:type="dcterms:W3CDTF">2021-01-26T12:10:00Z</dcterms:created>
  <dcterms:modified xsi:type="dcterms:W3CDTF">2021-02-26T10:39:00Z</dcterms:modified>
</cp:coreProperties>
</file>