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FB800" w14:textId="77777777" w:rsidR="00366869" w:rsidRPr="00EB378D" w:rsidRDefault="00366869" w:rsidP="00366869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/>
          <w:lang w:val="pt-PT"/>
        </w:rPr>
      </w:pPr>
      <w:bookmarkStart w:id="0" w:name="_Hlk36639028"/>
      <w:r w:rsidRPr="00EB378D">
        <w:rPr>
          <w:rFonts w:asciiTheme="minorHAnsi" w:eastAsia="TimesNewRomanPSMT" w:hAnsiTheme="minorHAnsi"/>
          <w:bCs/>
        </w:rPr>
        <w:tab/>
      </w:r>
      <w:r w:rsidRPr="00EB378D">
        <w:rPr>
          <w:rFonts w:asciiTheme="minorHAnsi" w:hAnsiTheme="minorHAnsi"/>
          <w:lang w:val="pt-PT"/>
        </w:rPr>
        <w:t>Załącznik nr 1d</w:t>
      </w:r>
    </w:p>
    <w:p w14:paraId="4EE28076" w14:textId="77777777" w:rsidR="00366869" w:rsidRPr="00EB378D" w:rsidRDefault="00366869" w:rsidP="00366869">
      <w:pPr>
        <w:contextualSpacing/>
        <w:jc w:val="center"/>
        <w:rPr>
          <w:rFonts w:asciiTheme="minorHAnsi" w:eastAsia="Calibri" w:hAnsiTheme="minorHAnsi" w:cstheme="minorHAnsi"/>
        </w:rPr>
      </w:pPr>
    </w:p>
    <w:p w14:paraId="62670C00" w14:textId="380C0813" w:rsidR="00366869" w:rsidRPr="00EB378D" w:rsidRDefault="0057154A" w:rsidP="00366869">
      <w:pPr>
        <w:contextualSpacing/>
        <w:jc w:val="center"/>
        <w:rPr>
          <w:rFonts w:asciiTheme="minorHAnsi" w:hAnsiTheme="minorHAnsi"/>
          <w:b/>
          <w:bCs/>
        </w:rPr>
      </w:pPr>
      <w:r w:rsidRPr="00EB378D">
        <w:rPr>
          <w:rFonts w:asciiTheme="minorHAnsi" w:eastAsia="Calibri" w:hAnsiTheme="minorHAnsi" w:cstheme="minorHAnsi"/>
          <w:b/>
        </w:rPr>
        <w:t>Zakres przeglądu</w:t>
      </w:r>
      <w:r w:rsidR="00366869" w:rsidRPr="00EB378D">
        <w:rPr>
          <w:rFonts w:asciiTheme="minorHAnsi" w:eastAsia="Calibri" w:hAnsiTheme="minorHAnsi" w:cstheme="minorHAnsi"/>
          <w:b/>
        </w:rPr>
        <w:t xml:space="preserve"> i kalkulacja cenowa dla c</w:t>
      </w:r>
      <w:r w:rsidR="00366869" w:rsidRPr="00EB378D">
        <w:rPr>
          <w:rFonts w:asciiTheme="minorHAnsi" w:eastAsia="Calibri" w:hAnsiTheme="minorHAnsi"/>
          <w:b/>
        </w:rPr>
        <w:t>zęści</w:t>
      </w:r>
      <w:r w:rsidR="00366869" w:rsidRPr="00EB378D">
        <w:rPr>
          <w:rFonts w:asciiTheme="minorHAnsi" w:hAnsiTheme="minorHAnsi"/>
          <w:b/>
          <w:bCs/>
        </w:rPr>
        <w:t xml:space="preserve"> 4</w:t>
      </w:r>
    </w:p>
    <w:p w14:paraId="264453BD" w14:textId="4B966312" w:rsidR="00366869" w:rsidRPr="00EB378D" w:rsidRDefault="00CF3F01" w:rsidP="00366869">
      <w:pPr>
        <w:contextualSpacing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Półroczne</w:t>
      </w:r>
      <w:r w:rsidR="001C39E6">
        <w:rPr>
          <w:rFonts w:asciiTheme="minorHAnsi" w:hAnsiTheme="minorHAnsi"/>
          <w:b/>
          <w:bCs/>
        </w:rPr>
        <w:t xml:space="preserve"> i</w:t>
      </w:r>
      <w:r>
        <w:rPr>
          <w:rFonts w:asciiTheme="minorHAnsi" w:hAnsiTheme="minorHAnsi"/>
          <w:b/>
          <w:bCs/>
        </w:rPr>
        <w:t xml:space="preserve"> roczne k</w:t>
      </w:r>
      <w:r w:rsidR="00C1433C" w:rsidRPr="00EB378D">
        <w:rPr>
          <w:rFonts w:asciiTheme="minorHAnsi" w:hAnsiTheme="minorHAnsi"/>
          <w:b/>
          <w:bCs/>
        </w:rPr>
        <w:t>ontrole</w:t>
      </w:r>
      <w:r w:rsidR="00366869" w:rsidRPr="00EB378D">
        <w:rPr>
          <w:rFonts w:asciiTheme="minorHAnsi" w:hAnsiTheme="minorHAnsi"/>
          <w:b/>
          <w:bCs/>
        </w:rPr>
        <w:t xml:space="preserve"> okresowe obiektów ANS w Tarnowie</w:t>
      </w:r>
      <w:r w:rsidR="006267EC" w:rsidRPr="00EB378D">
        <w:rPr>
          <w:rFonts w:asciiTheme="minorHAnsi" w:hAnsiTheme="minorHAnsi"/>
          <w:b/>
          <w:bCs/>
        </w:rPr>
        <w:t xml:space="preserve"> (branża</w:t>
      </w:r>
      <w:r w:rsidR="00EB378D" w:rsidRPr="00EB378D">
        <w:rPr>
          <w:rFonts w:asciiTheme="minorHAnsi" w:hAnsiTheme="minorHAnsi"/>
          <w:b/>
          <w:bCs/>
        </w:rPr>
        <w:t xml:space="preserve"> kominiarska</w:t>
      </w:r>
      <w:r w:rsidR="006267EC" w:rsidRPr="00EB378D">
        <w:rPr>
          <w:rFonts w:asciiTheme="minorHAnsi" w:hAnsiTheme="minorHAnsi"/>
          <w:b/>
          <w:bCs/>
        </w:rPr>
        <w:t>)</w:t>
      </w:r>
    </w:p>
    <w:p w14:paraId="264D372E" w14:textId="77777777" w:rsidR="00366869" w:rsidRPr="00EB378D" w:rsidRDefault="00366869" w:rsidP="00366869">
      <w:pPr>
        <w:pStyle w:val="Akapitzlist"/>
        <w:spacing w:after="0" w:line="240" w:lineRule="auto"/>
        <w:ind w:left="360"/>
        <w:contextualSpacing/>
        <w:jc w:val="both"/>
        <w:rPr>
          <w:rFonts w:asciiTheme="minorHAnsi" w:hAnsiTheme="minorHAnsi" w:cs="Times New Roman"/>
          <w:bCs/>
          <w:i/>
          <w:iCs/>
          <w:sz w:val="20"/>
          <w:szCs w:val="20"/>
          <w:lang w:eastAsia="pl-PL"/>
        </w:rPr>
      </w:pPr>
      <w:r w:rsidRPr="00EB378D">
        <w:rPr>
          <w:rFonts w:asciiTheme="minorHAnsi" w:hAnsiTheme="minorHAnsi" w:cs="Times New Roman"/>
          <w:bCs/>
          <w:i/>
          <w:iCs/>
          <w:sz w:val="20"/>
          <w:szCs w:val="20"/>
          <w:lang w:eastAsia="pl-PL"/>
        </w:rPr>
        <w:t>(Osoby uprawnione do kontroli:</w:t>
      </w:r>
    </w:p>
    <w:p w14:paraId="7B4A980E" w14:textId="77777777" w:rsidR="00366869" w:rsidRPr="00EB378D" w:rsidRDefault="00366869" w:rsidP="00366869">
      <w:pPr>
        <w:pStyle w:val="Akapitzlist"/>
        <w:numPr>
          <w:ilvl w:val="0"/>
          <w:numId w:val="7"/>
        </w:numPr>
        <w:spacing w:after="0" w:line="240" w:lineRule="auto"/>
        <w:ind w:left="720"/>
        <w:contextualSpacing/>
        <w:jc w:val="both"/>
        <w:rPr>
          <w:rFonts w:asciiTheme="minorHAnsi" w:hAnsiTheme="minorHAnsi" w:cs="Times New Roman"/>
          <w:bCs/>
          <w:i/>
          <w:iCs/>
          <w:sz w:val="20"/>
          <w:szCs w:val="20"/>
          <w:lang w:eastAsia="pl-PL"/>
        </w:rPr>
      </w:pPr>
      <w:r w:rsidRPr="00EB378D">
        <w:rPr>
          <w:rFonts w:asciiTheme="minorHAnsi" w:hAnsiTheme="minorHAnsi" w:cs="Times New Roman"/>
          <w:bCs/>
          <w:i/>
          <w:iCs/>
          <w:sz w:val="20"/>
          <w:szCs w:val="20"/>
          <w:lang w:eastAsia="pl-PL"/>
        </w:rPr>
        <w:t>osoby posiadające kwalifikacje mistrza w rzemiośle kominiarskim – w odniesieniu do przewodów dymowych oraz grawitacyjnych przewodów spalinowych i wentylacyjnych;</w:t>
      </w:r>
    </w:p>
    <w:p w14:paraId="77B841B3" w14:textId="77777777" w:rsidR="00366869" w:rsidRPr="003A20D5" w:rsidRDefault="00366869" w:rsidP="00366869">
      <w:pPr>
        <w:pStyle w:val="Akapitzlist"/>
        <w:numPr>
          <w:ilvl w:val="0"/>
          <w:numId w:val="7"/>
        </w:numPr>
        <w:spacing w:after="0" w:line="240" w:lineRule="auto"/>
        <w:ind w:left="720"/>
        <w:contextualSpacing/>
        <w:jc w:val="both"/>
        <w:rPr>
          <w:rFonts w:asciiTheme="minorHAnsi" w:hAnsiTheme="minorHAnsi"/>
          <w:bCs/>
          <w:i/>
          <w:iCs/>
          <w:sz w:val="20"/>
          <w:szCs w:val="20"/>
        </w:rPr>
      </w:pPr>
      <w:r w:rsidRPr="00EB378D">
        <w:rPr>
          <w:rFonts w:asciiTheme="minorHAnsi" w:hAnsiTheme="minorHAnsi" w:cs="Times New Roman"/>
          <w:bCs/>
          <w:i/>
          <w:iCs/>
          <w:sz w:val="20"/>
          <w:szCs w:val="20"/>
          <w:lang w:eastAsia="pl-PL"/>
        </w:rPr>
        <w:t>osoby</w:t>
      </w:r>
      <w:r w:rsidRPr="00EB378D">
        <w:rPr>
          <w:rFonts w:asciiTheme="minorHAnsi" w:hAnsiTheme="minorHAnsi" w:cs="Times New Roman"/>
          <w:bCs/>
          <w:i/>
          <w:iCs/>
          <w:sz w:val="20"/>
          <w:szCs w:val="20"/>
        </w:rPr>
        <w:t xml:space="preserve"> posiadające uprawnienia budowlane odpowiedniej specjalności – w odniesieniu do przewodów kominowych, o których mowa w pkt 1, oraz do kominów przemysłowych, kominów wolno stojących </w:t>
      </w:r>
      <w:r w:rsidRPr="0085090B">
        <w:rPr>
          <w:rFonts w:asciiTheme="minorHAnsi" w:hAnsiTheme="minorHAnsi" w:cs="Times New Roman"/>
          <w:bCs/>
          <w:i/>
          <w:iCs/>
          <w:sz w:val="20"/>
          <w:szCs w:val="20"/>
        </w:rPr>
        <w:t>oraz kominów lub przewodów kominowych, w których ciąg kominowy jest wymuszony pracą urządzeń mechanicznych).</w:t>
      </w:r>
    </w:p>
    <w:p w14:paraId="305CB3F9" w14:textId="77777777" w:rsidR="003A20D5" w:rsidRDefault="003A20D5" w:rsidP="003A20D5">
      <w:pPr>
        <w:pStyle w:val="Akapitzlist"/>
        <w:spacing w:after="0" w:line="240" w:lineRule="auto"/>
        <w:contextualSpacing/>
        <w:jc w:val="both"/>
        <w:rPr>
          <w:rFonts w:asciiTheme="minorHAnsi" w:hAnsiTheme="minorHAnsi" w:cs="Times New Roman"/>
          <w:bCs/>
          <w:i/>
          <w:iCs/>
          <w:sz w:val="20"/>
          <w:szCs w:val="20"/>
        </w:rPr>
      </w:pPr>
    </w:p>
    <w:p w14:paraId="33288C33" w14:textId="77777777" w:rsidR="003A20D5" w:rsidRDefault="003A20D5" w:rsidP="003A20D5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Uwaga!</w:t>
      </w:r>
    </w:p>
    <w:p w14:paraId="08535244" w14:textId="77777777" w:rsidR="003A20D5" w:rsidRDefault="003A20D5" w:rsidP="003A20D5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-brak wypełnienia jakiegokolwiek wymaganego pola spowoduje odrzucenie oferty.</w:t>
      </w:r>
    </w:p>
    <w:p w14:paraId="7F87B957" w14:textId="49F73EED" w:rsidR="003A20D5" w:rsidRPr="00F72C98" w:rsidRDefault="003A20D5" w:rsidP="003A20D5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-cenę z wiersza C należy przenieść do formularza oferty (część 4).</w:t>
      </w:r>
    </w:p>
    <w:p w14:paraId="231872B6" w14:textId="77777777" w:rsidR="003A20D5" w:rsidRPr="0085090B" w:rsidRDefault="003A20D5" w:rsidP="003A20D5">
      <w:pPr>
        <w:pStyle w:val="Akapitzlist"/>
        <w:spacing w:after="0" w:line="240" w:lineRule="auto"/>
        <w:contextualSpacing/>
        <w:jc w:val="both"/>
        <w:rPr>
          <w:rFonts w:asciiTheme="minorHAnsi" w:hAnsiTheme="minorHAnsi"/>
          <w:bCs/>
          <w:i/>
          <w:iCs/>
          <w:sz w:val="20"/>
          <w:szCs w:val="20"/>
        </w:rPr>
      </w:pPr>
    </w:p>
    <w:tbl>
      <w:tblPr>
        <w:tblW w:w="5093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59"/>
        <w:gridCol w:w="1177"/>
        <w:gridCol w:w="1137"/>
        <w:gridCol w:w="1135"/>
        <w:gridCol w:w="1172"/>
        <w:gridCol w:w="1524"/>
        <w:gridCol w:w="2237"/>
      </w:tblGrid>
      <w:tr w:rsidR="00366869" w:rsidRPr="0085090B" w14:paraId="6892D8A9" w14:textId="77777777" w:rsidTr="006B5930">
        <w:trPr>
          <w:cantSplit/>
          <w:trHeight w:val="44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bookmarkEnd w:id="0"/>
          <w:p w14:paraId="72BD7087" w14:textId="385C4887" w:rsidR="00366869" w:rsidRPr="0085090B" w:rsidRDefault="00366869" w:rsidP="00993AB8">
            <w:pPr>
              <w:jc w:val="center"/>
              <w:rPr>
                <w:rFonts w:asciiTheme="minorHAnsi" w:hAnsiTheme="minorHAnsi"/>
                <w:bCs/>
              </w:rPr>
            </w:pPr>
            <w:r w:rsidRPr="00DD440A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Koszty budowlanych </w:t>
            </w:r>
            <w:r w:rsidRPr="00DD440A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przeglądów</w:t>
            </w:r>
            <w:r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 xml:space="preserve"> półrocznych </w:t>
            </w:r>
            <w:r w:rsidRPr="00DD440A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w budynkach ANS w Tarnowie - 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przegląd 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półroczny(maj)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202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3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r.</w:t>
            </w:r>
          </w:p>
        </w:tc>
      </w:tr>
      <w:tr w:rsidR="00366869" w:rsidRPr="0085090B" w14:paraId="2B0FCF8C" w14:textId="77777777" w:rsidTr="00AF4BC3">
        <w:trPr>
          <w:cantSplit/>
          <w:trHeight w:val="570"/>
        </w:trPr>
        <w:tc>
          <w:tcPr>
            <w:tcW w:w="908" w:type="pct"/>
            <w:shd w:val="clear" w:color="auto" w:fill="BDD6EE" w:themeFill="accent1" w:themeFillTint="66"/>
            <w:vAlign w:val="center"/>
          </w:tcPr>
          <w:p w14:paraId="648EC1B4" w14:textId="77777777" w:rsidR="00366869" w:rsidRPr="00E41800" w:rsidRDefault="00366869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Nazwa b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udynku</w:t>
            </w:r>
          </w:p>
        </w:tc>
        <w:tc>
          <w:tcPr>
            <w:tcW w:w="575" w:type="pct"/>
            <w:vAlign w:val="center"/>
          </w:tcPr>
          <w:p w14:paraId="53AA0F53" w14:textId="77777777" w:rsidR="00366869" w:rsidRPr="0085090B" w:rsidRDefault="00366869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3E1AC370" w14:textId="77777777" w:rsidR="00366869" w:rsidRPr="00E41800" w:rsidRDefault="00366869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555" w:type="pct"/>
            <w:vAlign w:val="center"/>
          </w:tcPr>
          <w:p w14:paraId="23C862D3" w14:textId="77777777" w:rsidR="00366869" w:rsidRPr="0085090B" w:rsidRDefault="00366869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598408E6" w14:textId="77777777" w:rsidR="00366869" w:rsidRPr="00E41800" w:rsidRDefault="00366869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4" w:type="pct"/>
            <w:vAlign w:val="center"/>
          </w:tcPr>
          <w:p w14:paraId="39564E00" w14:textId="77777777" w:rsidR="00366869" w:rsidRPr="0085090B" w:rsidRDefault="00366869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3EFB25CD" w14:textId="77777777" w:rsidR="00366869" w:rsidRPr="00E41800" w:rsidRDefault="00366869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C/D</w:t>
            </w:r>
          </w:p>
        </w:tc>
        <w:tc>
          <w:tcPr>
            <w:tcW w:w="572" w:type="pct"/>
            <w:vAlign w:val="center"/>
          </w:tcPr>
          <w:p w14:paraId="43E5EE1B" w14:textId="77777777" w:rsidR="00366869" w:rsidRPr="0085090B" w:rsidRDefault="00366869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66EC6A55" w14:textId="77777777" w:rsidR="00366869" w:rsidRPr="00E41800" w:rsidRDefault="00366869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744" w:type="pct"/>
            <w:vAlign w:val="center"/>
          </w:tcPr>
          <w:p w14:paraId="16B827A2" w14:textId="77777777" w:rsidR="00366869" w:rsidRPr="0085090B" w:rsidRDefault="00366869" w:rsidP="006B5930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31D522C8" w14:textId="77777777" w:rsidR="00366869" w:rsidRPr="00E41800" w:rsidRDefault="00366869" w:rsidP="006B5930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E41800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58A41D95" w14:textId="77777777" w:rsidR="00366869" w:rsidRPr="0085090B" w:rsidRDefault="00366869" w:rsidP="006B5930">
            <w:pPr>
              <w:jc w:val="center"/>
              <w:rPr>
                <w:rFonts w:asciiTheme="minorHAnsi" w:hAnsiTheme="minorHAnsi"/>
                <w:bCs/>
              </w:rPr>
            </w:pPr>
            <w:r w:rsidRPr="00E41800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366869" w:rsidRPr="0085090B" w14:paraId="15CCC893" w14:textId="77777777" w:rsidTr="00AF4BC3">
        <w:trPr>
          <w:cantSplit/>
          <w:trHeight w:val="408"/>
        </w:trPr>
        <w:tc>
          <w:tcPr>
            <w:tcW w:w="908" w:type="pct"/>
            <w:shd w:val="clear" w:color="auto" w:fill="BDD6EE" w:themeFill="accent1" w:themeFillTint="66"/>
            <w:vAlign w:val="center"/>
          </w:tcPr>
          <w:p w14:paraId="1899EF59" w14:textId="77777777" w:rsidR="00366869" w:rsidRPr="0085090B" w:rsidRDefault="00366869" w:rsidP="006B5930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Termin przeglądu</w:t>
            </w:r>
          </w:p>
        </w:tc>
        <w:tc>
          <w:tcPr>
            <w:tcW w:w="575" w:type="pct"/>
            <w:vAlign w:val="center"/>
          </w:tcPr>
          <w:p w14:paraId="647FF9BA" w14:textId="23F17284" w:rsidR="00366869" w:rsidRPr="0085090B" w:rsidRDefault="00366869" w:rsidP="006B5930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55" w:type="pct"/>
            <w:vAlign w:val="center"/>
          </w:tcPr>
          <w:p w14:paraId="33DA6833" w14:textId="6CC2D0AB" w:rsidR="00366869" w:rsidRPr="00F17248" w:rsidRDefault="00DF08FE" w:rsidP="006B593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n.d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554" w:type="pct"/>
            <w:vAlign w:val="center"/>
          </w:tcPr>
          <w:p w14:paraId="5CDC31E9" w14:textId="303AA13F" w:rsidR="00366869" w:rsidRPr="0085090B" w:rsidRDefault="00366869" w:rsidP="006B5930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72" w:type="pct"/>
            <w:vAlign w:val="center"/>
          </w:tcPr>
          <w:p w14:paraId="06739921" w14:textId="08014FD7" w:rsidR="00366869" w:rsidRPr="0085090B" w:rsidRDefault="00366869" w:rsidP="006B5930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744" w:type="pct"/>
            <w:vAlign w:val="center"/>
          </w:tcPr>
          <w:p w14:paraId="208C8415" w14:textId="0209C544" w:rsidR="00366869" w:rsidRPr="0085090B" w:rsidRDefault="00DF08FE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DF08FE">
              <w:rPr>
                <w:rFonts w:asciiTheme="minorHAnsi" w:hAnsiTheme="minorHAnsi"/>
                <w:bCs/>
                <w:sz w:val="20"/>
                <w:szCs w:val="20"/>
              </w:rPr>
              <w:t>n.d</w:t>
            </w:r>
            <w:proofErr w:type="spellEnd"/>
            <w:r w:rsidRPr="00DF08FE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1092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9B3E7B4" w14:textId="77777777" w:rsidR="00366869" w:rsidRPr="0085090B" w:rsidRDefault="00366869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66869" w:rsidRPr="0085090B" w14:paraId="164D528A" w14:textId="77777777" w:rsidTr="00AF4BC3">
        <w:trPr>
          <w:cantSplit/>
          <w:trHeight w:val="932"/>
        </w:trPr>
        <w:tc>
          <w:tcPr>
            <w:tcW w:w="908" w:type="pct"/>
            <w:shd w:val="clear" w:color="auto" w:fill="BDD6EE" w:themeFill="accent1" w:themeFillTint="66"/>
            <w:vAlign w:val="center"/>
          </w:tcPr>
          <w:p w14:paraId="6C375D42" w14:textId="2F9FB75B" w:rsidR="00366869" w:rsidRPr="0085090B" w:rsidRDefault="00366869" w:rsidP="006B5930">
            <w:pPr>
              <w:rPr>
                <w:rFonts w:asciiTheme="minorHAnsi" w:hAnsiTheme="minorHAnsi"/>
                <w:bCs/>
              </w:rPr>
            </w:pPr>
            <w:bookmarkStart w:id="1" w:name="_Hlk132308649"/>
            <w:bookmarkStart w:id="2" w:name="_GoBack"/>
            <w:bookmarkEnd w:id="2"/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Przewodów kominowych (dymowych, spalinowych, wentylacyjnych) - Prawo Budowlane art.62, ust.1, pkt.1c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(13)</w:t>
            </w:r>
            <w:bookmarkEnd w:id="1"/>
          </w:p>
        </w:tc>
        <w:tc>
          <w:tcPr>
            <w:tcW w:w="575" w:type="pct"/>
            <w:vAlign w:val="center"/>
          </w:tcPr>
          <w:p w14:paraId="23018D1D" w14:textId="77777777" w:rsidR="00366869" w:rsidRPr="0085090B" w:rsidRDefault="00366869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5" w:type="pct"/>
            <w:vAlign w:val="center"/>
          </w:tcPr>
          <w:p w14:paraId="0D8F46D0" w14:textId="323B914B" w:rsidR="00366869" w:rsidRPr="0085090B" w:rsidRDefault="00C1433C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DF08FE">
              <w:rPr>
                <w:rFonts w:asciiTheme="minorHAnsi" w:hAnsiTheme="minorHAnsi"/>
                <w:bCs/>
                <w:sz w:val="20"/>
                <w:szCs w:val="20"/>
              </w:rPr>
              <w:t>n.d</w:t>
            </w:r>
            <w:proofErr w:type="spellEnd"/>
            <w:r w:rsidRPr="00DF08FE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554" w:type="pct"/>
            <w:vAlign w:val="center"/>
          </w:tcPr>
          <w:p w14:paraId="4C9C52A8" w14:textId="77777777" w:rsidR="00366869" w:rsidRPr="0085090B" w:rsidRDefault="00366869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72" w:type="pct"/>
            <w:vAlign w:val="center"/>
          </w:tcPr>
          <w:p w14:paraId="241BE09B" w14:textId="77777777" w:rsidR="00366869" w:rsidRPr="0085090B" w:rsidRDefault="00366869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44" w:type="pct"/>
            <w:vAlign w:val="center"/>
          </w:tcPr>
          <w:p w14:paraId="5C847186" w14:textId="36B8E6DA" w:rsidR="00366869" w:rsidRPr="0085090B" w:rsidRDefault="00C1433C" w:rsidP="006B5930">
            <w:pPr>
              <w:jc w:val="center"/>
              <w:rPr>
                <w:rFonts w:asciiTheme="minorHAnsi" w:hAnsiTheme="minorHAnsi"/>
                <w:bCs/>
              </w:rPr>
            </w:pPr>
            <w:proofErr w:type="spellStart"/>
            <w:r w:rsidRPr="00DF08FE">
              <w:rPr>
                <w:rFonts w:asciiTheme="minorHAnsi" w:hAnsiTheme="minorHAnsi"/>
                <w:bCs/>
                <w:sz w:val="20"/>
                <w:szCs w:val="20"/>
              </w:rPr>
              <w:t>n.d</w:t>
            </w:r>
            <w:proofErr w:type="spellEnd"/>
            <w:r w:rsidRPr="00DF08FE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1092" w:type="pct"/>
            <w:vAlign w:val="center"/>
          </w:tcPr>
          <w:p w14:paraId="60040C00" w14:textId="77777777" w:rsidR="00366869" w:rsidRPr="0085090B" w:rsidRDefault="00366869" w:rsidP="006B5930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66869" w:rsidRPr="0085090B" w14:paraId="1F08FA8E" w14:textId="77777777" w:rsidTr="00AF4BC3">
        <w:trPr>
          <w:cantSplit/>
          <w:trHeight w:val="70"/>
        </w:trPr>
        <w:tc>
          <w:tcPr>
            <w:tcW w:w="3908" w:type="pct"/>
            <w:gridSpan w:val="6"/>
            <w:shd w:val="clear" w:color="auto" w:fill="BDD6EE" w:themeFill="accent1" w:themeFillTint="66"/>
            <w:vAlign w:val="center"/>
          </w:tcPr>
          <w:p w14:paraId="32F4F9CF" w14:textId="09D6354B" w:rsidR="00366869" w:rsidRPr="00993AB8" w:rsidRDefault="00366869" w:rsidP="00993AB8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A</w:t>
            </w:r>
            <w:r w:rsidRPr="00DD440A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) Łączna suma cen brutto </w:t>
            </w:r>
            <w:r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przeglądów</w:t>
            </w:r>
            <w:r w:rsidR="00C1433C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 półr</w:t>
            </w:r>
            <w:r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ocznych:</w:t>
            </w:r>
          </w:p>
        </w:tc>
        <w:tc>
          <w:tcPr>
            <w:tcW w:w="1092" w:type="pct"/>
            <w:vAlign w:val="center"/>
          </w:tcPr>
          <w:p w14:paraId="7B203E75" w14:textId="77777777" w:rsidR="00366869" w:rsidRPr="00E41800" w:rsidRDefault="00366869" w:rsidP="006B593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2286676C" w14:textId="77777777" w:rsidR="00C1433C" w:rsidRDefault="00C1433C" w:rsidP="00366869">
      <w:pPr>
        <w:jc w:val="both"/>
        <w:rPr>
          <w:rFonts w:asciiTheme="minorHAnsi" w:hAnsiTheme="minorHAnsi"/>
          <w:bCs/>
          <w:sz w:val="20"/>
          <w:szCs w:val="20"/>
        </w:rPr>
      </w:pPr>
    </w:p>
    <w:tbl>
      <w:tblPr>
        <w:tblW w:w="5093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59"/>
        <w:gridCol w:w="1177"/>
        <w:gridCol w:w="1137"/>
        <w:gridCol w:w="1135"/>
        <w:gridCol w:w="1172"/>
        <w:gridCol w:w="1524"/>
        <w:gridCol w:w="2237"/>
      </w:tblGrid>
      <w:tr w:rsidR="00C1433C" w:rsidRPr="0085090B" w14:paraId="360F3A22" w14:textId="77777777" w:rsidTr="00E17EDA">
        <w:trPr>
          <w:cantSplit/>
          <w:trHeight w:val="446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65CAF468" w14:textId="57FDA2D2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</w:rPr>
            </w:pPr>
            <w:r w:rsidRPr="00DD440A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Koszty budowlanych </w:t>
            </w:r>
            <w:r w:rsidRPr="00DD440A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przeglądów</w:t>
            </w:r>
            <w:r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 xml:space="preserve"> </w:t>
            </w:r>
            <w:r w:rsidRPr="00DD440A">
              <w:rPr>
                <w:rFonts w:asciiTheme="minorHAnsi" w:hAnsiTheme="minorHAnsi"/>
                <w:b/>
                <w:i/>
                <w:iCs/>
                <w:sz w:val="28"/>
                <w:szCs w:val="28"/>
              </w:rPr>
              <w:t>rocznych</w:t>
            </w:r>
            <w:r w:rsidRPr="00DD440A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w budynkach ANS w Tarnowie - 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przegląd roczny 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(maj i 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listopad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)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202</w:t>
            </w:r>
            <w:r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>3</w:t>
            </w:r>
            <w:r w:rsidRPr="00A63AFC"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  <w:t xml:space="preserve"> r.</w:t>
            </w:r>
          </w:p>
        </w:tc>
      </w:tr>
      <w:tr w:rsidR="00C1433C" w:rsidRPr="0085090B" w14:paraId="40A68108" w14:textId="77777777" w:rsidTr="00E17EDA">
        <w:trPr>
          <w:cantSplit/>
          <w:trHeight w:val="570"/>
        </w:trPr>
        <w:tc>
          <w:tcPr>
            <w:tcW w:w="908" w:type="pct"/>
            <w:shd w:val="clear" w:color="auto" w:fill="BDD6EE" w:themeFill="accent1" w:themeFillTint="66"/>
            <w:vAlign w:val="center"/>
          </w:tcPr>
          <w:p w14:paraId="013609F7" w14:textId="77777777" w:rsidR="00C1433C" w:rsidRPr="00E41800" w:rsidRDefault="00C1433C" w:rsidP="00E17ED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Nazwa b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udynku</w:t>
            </w:r>
          </w:p>
        </w:tc>
        <w:tc>
          <w:tcPr>
            <w:tcW w:w="575" w:type="pct"/>
            <w:vAlign w:val="center"/>
          </w:tcPr>
          <w:p w14:paraId="1128F385" w14:textId="77777777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6B12DDED" w14:textId="77777777" w:rsidR="00C1433C" w:rsidRPr="00E41800" w:rsidRDefault="00C1433C" w:rsidP="00E17ED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555" w:type="pct"/>
            <w:vAlign w:val="center"/>
          </w:tcPr>
          <w:p w14:paraId="4DD8C3AC" w14:textId="77777777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0FD77561" w14:textId="77777777" w:rsidR="00C1433C" w:rsidRPr="00E41800" w:rsidRDefault="00C1433C" w:rsidP="00E17ED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554" w:type="pct"/>
            <w:vAlign w:val="center"/>
          </w:tcPr>
          <w:p w14:paraId="57BEC02F" w14:textId="77777777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4BDFC2E2" w14:textId="77777777" w:rsidR="00C1433C" w:rsidRPr="00E41800" w:rsidRDefault="00C1433C" w:rsidP="00E17ED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C/D</w:t>
            </w:r>
          </w:p>
        </w:tc>
        <w:tc>
          <w:tcPr>
            <w:tcW w:w="572" w:type="pct"/>
            <w:vAlign w:val="center"/>
          </w:tcPr>
          <w:p w14:paraId="624442F3" w14:textId="77777777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Budynek</w:t>
            </w:r>
          </w:p>
          <w:p w14:paraId="6FC93EDD" w14:textId="77777777" w:rsidR="00C1433C" w:rsidRPr="00E41800" w:rsidRDefault="00C1433C" w:rsidP="00E17ED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EFG</w:t>
            </w:r>
          </w:p>
        </w:tc>
        <w:tc>
          <w:tcPr>
            <w:tcW w:w="744" w:type="pct"/>
            <w:vAlign w:val="center"/>
          </w:tcPr>
          <w:p w14:paraId="167D9548" w14:textId="77777777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Dom Studenta 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6AD49B55" w14:textId="77777777" w:rsidR="00C1433C" w:rsidRPr="00E41800" w:rsidRDefault="00C1433C" w:rsidP="00E17EDA">
            <w:pPr>
              <w:jc w:val="center"/>
              <w:rPr>
                <w:rFonts w:asciiTheme="minorHAnsi" w:hAnsiTheme="minorHAnsi"/>
                <w:bCs/>
                <w:strike/>
                <w:sz w:val="20"/>
                <w:szCs w:val="20"/>
              </w:rPr>
            </w:pPr>
            <w:r w:rsidRPr="00E41800">
              <w:rPr>
                <w:rFonts w:asciiTheme="minorHAnsi" w:hAnsiTheme="minorHAnsi"/>
                <w:bCs/>
                <w:sz w:val="20"/>
                <w:szCs w:val="20"/>
              </w:rPr>
              <w:t xml:space="preserve">Łączna cena </w:t>
            </w:r>
          </w:p>
          <w:p w14:paraId="79580436" w14:textId="77777777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</w:rPr>
            </w:pPr>
            <w:r w:rsidRPr="00E41800">
              <w:rPr>
                <w:rFonts w:asciiTheme="minorHAnsi" w:hAnsiTheme="minorHAnsi"/>
                <w:bCs/>
                <w:sz w:val="20"/>
                <w:szCs w:val="20"/>
              </w:rPr>
              <w:t>[zł brutto]</w:t>
            </w:r>
          </w:p>
        </w:tc>
      </w:tr>
      <w:tr w:rsidR="00C1433C" w:rsidRPr="0085090B" w14:paraId="2C6975B7" w14:textId="77777777" w:rsidTr="00E17EDA">
        <w:trPr>
          <w:cantSplit/>
          <w:trHeight w:val="408"/>
        </w:trPr>
        <w:tc>
          <w:tcPr>
            <w:tcW w:w="908" w:type="pct"/>
            <w:shd w:val="clear" w:color="auto" w:fill="BDD6EE" w:themeFill="accent1" w:themeFillTint="66"/>
            <w:vAlign w:val="center"/>
          </w:tcPr>
          <w:p w14:paraId="4EB0DBA8" w14:textId="77777777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Termin przeglądu</w:t>
            </w:r>
          </w:p>
        </w:tc>
        <w:tc>
          <w:tcPr>
            <w:tcW w:w="575" w:type="pct"/>
            <w:vAlign w:val="center"/>
          </w:tcPr>
          <w:p w14:paraId="71E7AE5E" w14:textId="7E3C0A35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listopad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55" w:type="pct"/>
            <w:vAlign w:val="center"/>
          </w:tcPr>
          <w:p w14:paraId="46A11E49" w14:textId="63C3033D" w:rsidR="00C1433C" w:rsidRPr="00F17248" w:rsidRDefault="00C1433C" w:rsidP="00B3736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54" w:type="pct"/>
            <w:vAlign w:val="center"/>
          </w:tcPr>
          <w:p w14:paraId="2E13B322" w14:textId="7364C87D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listopad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572" w:type="pct"/>
            <w:vAlign w:val="center"/>
          </w:tcPr>
          <w:p w14:paraId="44CBE64F" w14:textId="7C6C6ABA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listopad 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744" w:type="pct"/>
            <w:vAlign w:val="center"/>
          </w:tcPr>
          <w:p w14:paraId="443324E6" w14:textId="66476392" w:rsidR="00C1433C" w:rsidRPr="0085090B" w:rsidRDefault="00C1433C" w:rsidP="00C1433C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maj 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092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91B6E75" w14:textId="77777777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1433C" w:rsidRPr="0085090B" w14:paraId="40AA4903" w14:textId="77777777" w:rsidTr="00E17EDA">
        <w:trPr>
          <w:cantSplit/>
          <w:trHeight w:val="932"/>
        </w:trPr>
        <w:tc>
          <w:tcPr>
            <w:tcW w:w="908" w:type="pct"/>
            <w:shd w:val="clear" w:color="auto" w:fill="BDD6EE" w:themeFill="accent1" w:themeFillTint="66"/>
            <w:vAlign w:val="center"/>
          </w:tcPr>
          <w:p w14:paraId="64D5C705" w14:textId="20EC9869" w:rsidR="00C1433C" w:rsidRPr="0085090B" w:rsidRDefault="00C1433C" w:rsidP="00E17EDA">
            <w:pPr>
              <w:rPr>
                <w:rFonts w:asciiTheme="minorHAnsi" w:hAnsiTheme="minorHAnsi"/>
                <w:bCs/>
              </w:rPr>
            </w:pPr>
            <w:r w:rsidRPr="0085090B">
              <w:rPr>
                <w:rFonts w:asciiTheme="minorHAnsi" w:hAnsiTheme="minorHAnsi"/>
                <w:bCs/>
                <w:sz w:val="20"/>
                <w:szCs w:val="20"/>
              </w:rPr>
              <w:t xml:space="preserve">Przewodów kominowych (dymowych, spalinowych, wentylacyjnych) - Prawo Budowlane art.62, ust.1, pkt.1c </w:t>
            </w:r>
            <w:r w:rsidRPr="0085090B">
              <w:rPr>
                <w:rFonts w:asciiTheme="minorHAnsi" w:hAnsiTheme="minorHAnsi"/>
                <w:bCs/>
                <w:sz w:val="20"/>
                <w:szCs w:val="20"/>
                <w:vertAlign w:val="superscript"/>
              </w:rPr>
              <w:t>(13)</w:t>
            </w:r>
          </w:p>
        </w:tc>
        <w:tc>
          <w:tcPr>
            <w:tcW w:w="575" w:type="pct"/>
            <w:vAlign w:val="center"/>
          </w:tcPr>
          <w:p w14:paraId="7840E6FA" w14:textId="77777777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5" w:type="pct"/>
            <w:vAlign w:val="center"/>
          </w:tcPr>
          <w:p w14:paraId="6CE9EEB1" w14:textId="77777777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54" w:type="pct"/>
            <w:vAlign w:val="center"/>
          </w:tcPr>
          <w:p w14:paraId="6576EF77" w14:textId="77777777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72" w:type="pct"/>
            <w:vAlign w:val="center"/>
          </w:tcPr>
          <w:p w14:paraId="1ECD891D" w14:textId="77777777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744" w:type="pct"/>
            <w:vAlign w:val="center"/>
          </w:tcPr>
          <w:p w14:paraId="4E11F20E" w14:textId="77777777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092" w:type="pct"/>
            <w:vAlign w:val="center"/>
          </w:tcPr>
          <w:p w14:paraId="217FD8BB" w14:textId="77777777" w:rsidR="00C1433C" w:rsidRPr="0085090B" w:rsidRDefault="00C1433C" w:rsidP="00E17EDA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1433C" w:rsidRPr="00E41800" w14:paraId="46B0E5A7" w14:textId="77777777" w:rsidTr="00E17EDA">
        <w:trPr>
          <w:cantSplit/>
          <w:trHeight w:val="70"/>
        </w:trPr>
        <w:tc>
          <w:tcPr>
            <w:tcW w:w="3908" w:type="pct"/>
            <w:gridSpan w:val="6"/>
            <w:shd w:val="clear" w:color="auto" w:fill="BDD6EE" w:themeFill="accent1" w:themeFillTint="66"/>
            <w:vAlign w:val="center"/>
          </w:tcPr>
          <w:p w14:paraId="5CEB28DF" w14:textId="79C746D9" w:rsidR="00C1433C" w:rsidRPr="00993AB8" w:rsidRDefault="00DF08FE" w:rsidP="00993AB8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B</w:t>
            </w:r>
            <w:r w:rsidR="00C1433C" w:rsidRPr="00DD440A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 xml:space="preserve">) Łączna suma cen brutto </w:t>
            </w:r>
            <w:r w:rsidR="00C1433C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przeglądów rocznych</w:t>
            </w:r>
            <w:r w:rsidR="00993AB8">
              <w:rPr>
                <w:rFonts w:asciiTheme="minorHAnsi" w:hAnsiTheme="minorHAnsi"/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092" w:type="pct"/>
            <w:vAlign w:val="center"/>
          </w:tcPr>
          <w:p w14:paraId="448BEA86" w14:textId="77777777" w:rsidR="00C1433C" w:rsidRPr="00E41800" w:rsidRDefault="00C1433C" w:rsidP="00E17EDA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714A7CAB" w14:textId="77777777" w:rsidR="00C1433C" w:rsidRDefault="00C1433C" w:rsidP="00366869">
      <w:pPr>
        <w:jc w:val="both"/>
        <w:rPr>
          <w:rFonts w:asciiTheme="minorHAnsi" w:hAnsiTheme="minorHAnsi"/>
          <w:bCs/>
          <w:sz w:val="20"/>
          <w:szCs w:val="20"/>
        </w:rPr>
      </w:pPr>
    </w:p>
    <w:tbl>
      <w:tblPr>
        <w:tblW w:w="5107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02"/>
        <w:gridCol w:w="2267"/>
      </w:tblGrid>
      <w:tr w:rsidR="00C97B56" w14:paraId="674075DB" w14:textId="77777777" w:rsidTr="00993AB8">
        <w:trPr>
          <w:cantSplit/>
          <w:trHeight w:val="177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DBDD749" w14:textId="7E87C4AE" w:rsidR="00C97B56" w:rsidRDefault="00C97B56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i/>
                <w:sz w:val="28"/>
                <w:szCs w:val="28"/>
                <w:lang w:eastAsia="en-US"/>
              </w:rPr>
              <w:lastRenderedPageBreak/>
              <w:t>C) cena brutto oferty w części 4:</w:t>
            </w:r>
          </w:p>
          <w:p w14:paraId="06F8D733" w14:textId="15C97B1E" w:rsidR="00C97B56" w:rsidRPr="00D070C0" w:rsidRDefault="00C97B56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D070C0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  <w:lang w:eastAsia="en-US"/>
              </w:rPr>
              <w:t>Należy podać sumę wierszy A i B (gdzie: wiersz A: Łączna suma cen brutto przeglądów półrocznych: B: Łączna suma cen brutto przeglądów rocznych)</w:t>
            </w:r>
          </w:p>
          <w:p w14:paraId="1364848A" w14:textId="77777777" w:rsidR="00C97B56" w:rsidRPr="00D070C0" w:rsidRDefault="00C97B56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i/>
                <w:sz w:val="23"/>
                <w:szCs w:val="23"/>
                <w:lang w:eastAsia="en-US"/>
              </w:rPr>
            </w:pPr>
          </w:p>
          <w:p w14:paraId="123D60C7" w14:textId="5F6BC919" w:rsidR="00C97B56" w:rsidRPr="00D070C0" w:rsidRDefault="00C97B56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  <w:lang w:eastAsia="en-US"/>
              </w:rPr>
            </w:pPr>
            <w:r w:rsidRPr="00D070C0">
              <w:rPr>
                <w:rFonts w:asciiTheme="minorHAnsi" w:hAnsiTheme="minorHAnsi"/>
                <w:b/>
                <w:bCs/>
                <w:i/>
                <w:sz w:val="23"/>
                <w:szCs w:val="23"/>
                <w:lang w:eastAsia="en-US"/>
              </w:rPr>
              <w:t>Cena brutto oferty w części 4 stanowi ł</w:t>
            </w:r>
            <w:r w:rsidRPr="00D070C0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  <w:lang w:eastAsia="en-US"/>
              </w:rPr>
              <w:t xml:space="preserve">ączny koszt przeglądów wykonywanych przez osoby z uprawnieniami sanitarnymi lub mistrza kominiarskiego. </w:t>
            </w:r>
          </w:p>
          <w:p w14:paraId="57B66013" w14:textId="6BEF9A37" w:rsidR="00C97B56" w:rsidRDefault="00C97B56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i/>
                <w:sz w:val="26"/>
                <w:szCs w:val="26"/>
                <w:lang w:eastAsia="en-US"/>
              </w:rPr>
            </w:pPr>
            <w:r w:rsidRPr="00D070C0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  <w:lang w:eastAsia="en-US"/>
              </w:rPr>
              <w:t xml:space="preserve">Wyliczoną cenę należy przenieść do formularza oferty w części </w:t>
            </w:r>
            <w:r w:rsidR="004F7233" w:rsidRPr="00D070C0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  <w:lang w:eastAsia="en-US"/>
              </w:rPr>
              <w:t>4</w:t>
            </w:r>
            <w:r w:rsidRPr="00D070C0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09212" w14:textId="77777777" w:rsidR="00C97B56" w:rsidRDefault="00C97B56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</w:tr>
    </w:tbl>
    <w:p w14:paraId="1460EF59" w14:textId="77777777" w:rsidR="00C1433C" w:rsidRDefault="00C1433C" w:rsidP="00366869">
      <w:pPr>
        <w:jc w:val="both"/>
        <w:rPr>
          <w:rFonts w:asciiTheme="minorHAnsi" w:hAnsiTheme="minorHAnsi"/>
          <w:bCs/>
          <w:sz w:val="20"/>
          <w:szCs w:val="20"/>
        </w:rPr>
      </w:pPr>
    </w:p>
    <w:p w14:paraId="3680CA5D" w14:textId="2AE0FD44" w:rsidR="00366869" w:rsidRPr="0085090B" w:rsidRDefault="00366869" w:rsidP="00366869">
      <w:pPr>
        <w:jc w:val="both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bCs/>
          <w:sz w:val="20"/>
          <w:szCs w:val="20"/>
        </w:rPr>
        <w:t xml:space="preserve">(13) Kontrola przewodów kominowych powinna obejmować między innymi sprawdzenie: </w:t>
      </w:r>
    </w:p>
    <w:p w14:paraId="05E03525" w14:textId="77777777" w:rsidR="00366869" w:rsidRPr="0085090B" w:rsidRDefault="00366869" w:rsidP="00366869">
      <w:pPr>
        <w:jc w:val="both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bCs/>
          <w:sz w:val="20"/>
          <w:szCs w:val="20"/>
        </w:rPr>
        <w:t xml:space="preserve">- drożności przewodów kominowych, </w:t>
      </w:r>
    </w:p>
    <w:p w14:paraId="05637A60" w14:textId="77777777" w:rsidR="00366869" w:rsidRPr="0085090B" w:rsidRDefault="00366869" w:rsidP="00366869">
      <w:pPr>
        <w:jc w:val="both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bCs/>
          <w:sz w:val="20"/>
          <w:szCs w:val="20"/>
        </w:rPr>
        <w:t xml:space="preserve">- siły ciągu kominowego, ustalonego za pomocą atestowanego urządzenia pomiarowego, zapewniającego prawidłowe działanie podłączonych urządzeń dymowych, spalinowych, wentylacyjnych, </w:t>
      </w:r>
    </w:p>
    <w:p w14:paraId="545A759D" w14:textId="77777777" w:rsidR="00366869" w:rsidRPr="0085090B" w:rsidRDefault="00366869" w:rsidP="00366869">
      <w:pPr>
        <w:jc w:val="both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bCs/>
          <w:sz w:val="20"/>
          <w:szCs w:val="20"/>
        </w:rPr>
        <w:t xml:space="preserve">- występowania uszkodzeń przewodów na całej długości, kanałów, włazów, ław kominiarskich, nasad kominowych, </w:t>
      </w:r>
    </w:p>
    <w:p w14:paraId="2D5EDF7A" w14:textId="77777777" w:rsidR="00366869" w:rsidRPr="0085090B" w:rsidRDefault="00366869" w:rsidP="00366869">
      <w:pPr>
        <w:jc w:val="both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bCs/>
          <w:sz w:val="20"/>
          <w:szCs w:val="20"/>
        </w:rPr>
        <w:t xml:space="preserve">- sprawności działania urządzeń wentylacyjnych, w tym nawiewnych i wywiewnych w pomieszczeniach, częstotliwości okresowego czyszczenia przewodów kominowych, dogodnego dostępu do czyszczenia i przeprowadzania okresowych kontroli przewodów kominowych, </w:t>
      </w:r>
    </w:p>
    <w:p w14:paraId="2BB02430" w14:textId="77777777" w:rsidR="00366869" w:rsidRPr="0085090B" w:rsidRDefault="00366869" w:rsidP="00366869">
      <w:pPr>
        <w:jc w:val="both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bCs/>
          <w:sz w:val="20"/>
          <w:szCs w:val="20"/>
        </w:rPr>
        <w:t>- występowania innych stwierdzonych podczas kontroli nieprawidłowości mogących spowodować zagrożenie bezpieczeństwa ludzi lub mienia, wykonania zaleceń wynikających z poprzedniej kontroli okresowej, zmian w przewodach spalinowych, jakie wprowadzono za zgodą właściciela lub zarządcy budynku w okresie od poprzedniego przeglądu.</w:t>
      </w:r>
    </w:p>
    <w:p w14:paraId="1F690940" w14:textId="77777777" w:rsidR="00366869" w:rsidRDefault="00366869" w:rsidP="00366869">
      <w:pPr>
        <w:pStyle w:val="Akapitzlist2"/>
        <w:ind w:left="0"/>
        <w:rPr>
          <w:rFonts w:asciiTheme="minorHAnsi" w:hAnsiTheme="minorHAnsi"/>
          <w:b/>
          <w:i/>
          <w:iCs/>
        </w:rPr>
      </w:pPr>
    </w:p>
    <w:p w14:paraId="1B949E7D" w14:textId="77777777" w:rsidR="00366869" w:rsidRPr="0085090B" w:rsidRDefault="00366869" w:rsidP="00366869">
      <w:pPr>
        <w:pStyle w:val="Akapitzlist2"/>
        <w:ind w:left="0"/>
        <w:rPr>
          <w:rFonts w:asciiTheme="minorHAnsi" w:hAnsiTheme="minorHAnsi"/>
          <w:b/>
          <w:i/>
          <w:iCs/>
        </w:rPr>
      </w:pPr>
      <w:r w:rsidRPr="0085090B">
        <w:rPr>
          <w:rFonts w:asciiTheme="minorHAnsi" w:hAnsiTheme="minorHAnsi"/>
          <w:b/>
          <w:i/>
          <w:iCs/>
        </w:rPr>
        <w:t>Objaśnienia dotyczące klasyfikacji pomieszczeń:</w:t>
      </w:r>
    </w:p>
    <w:p w14:paraId="2F90EAC4" w14:textId="77777777" w:rsidR="00366869" w:rsidRPr="0085090B" w:rsidRDefault="00366869" w:rsidP="00366869">
      <w:pPr>
        <w:pStyle w:val="Akapitzlist2"/>
        <w:ind w:left="0"/>
        <w:rPr>
          <w:rFonts w:asciiTheme="minorHAnsi" w:hAnsiTheme="minorHAnsi"/>
          <w:b/>
          <w:i/>
          <w:iCs/>
          <w:sz w:val="20"/>
          <w:szCs w:val="20"/>
        </w:rPr>
      </w:pPr>
      <w:r w:rsidRPr="0085090B">
        <w:rPr>
          <w:rFonts w:asciiTheme="minorHAnsi" w:hAnsiTheme="minorHAnsi"/>
          <w:b/>
          <w:i/>
          <w:iCs/>
          <w:sz w:val="20"/>
          <w:szCs w:val="20"/>
        </w:rPr>
        <w:t>Pomieszczenia mokre, pomieszczenia pod wynajem(6):</w:t>
      </w:r>
    </w:p>
    <w:p w14:paraId="658B345F" w14:textId="77777777" w:rsidR="00366869" w:rsidRPr="0085090B" w:rsidRDefault="00366869" w:rsidP="0036686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Arena sportowa budynek E wraz z zapleczem (widownia, szatnie, łazienki, toalety, prysznice, pokój sędziów 03).</w:t>
      </w:r>
    </w:p>
    <w:p w14:paraId="2865122E" w14:textId="77777777" w:rsidR="00366869" w:rsidRPr="0085090B" w:rsidRDefault="00366869" w:rsidP="0036686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 xml:space="preserve">Sala gimnastyczna nr E113, sala sportów walki nr E116 wraz z wyposażeniem (wraz z szatniami przy E113: E111A, E111B, E11E, E111F, przy </w:t>
      </w:r>
      <w:proofErr w:type="spellStart"/>
      <w:r w:rsidRPr="0085090B">
        <w:rPr>
          <w:rFonts w:asciiTheme="minorHAnsi" w:hAnsiTheme="minorHAnsi" w:cs="Times New Roman"/>
          <w:sz w:val="20"/>
          <w:szCs w:val="20"/>
        </w:rPr>
        <w:t>jakuzzi</w:t>
      </w:r>
      <w:proofErr w:type="spellEnd"/>
      <w:r w:rsidRPr="0085090B">
        <w:rPr>
          <w:rFonts w:asciiTheme="minorHAnsi" w:hAnsiTheme="minorHAnsi" w:cs="Times New Roman"/>
          <w:sz w:val="20"/>
          <w:szCs w:val="20"/>
        </w:rPr>
        <w:t>: E122D, E112A).</w:t>
      </w:r>
    </w:p>
    <w:p w14:paraId="4877373E" w14:textId="77777777" w:rsidR="00366869" w:rsidRPr="0085090B" w:rsidRDefault="00366869" w:rsidP="0036686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Sala choreograficzna nr G313 wraz z wyposażeniem wraz z szatnią damską przy G313 (G313A), szatnią męską przy G313 (G313G).</w:t>
      </w:r>
    </w:p>
    <w:p w14:paraId="208F18C5" w14:textId="77777777" w:rsidR="00366869" w:rsidRPr="0085090B" w:rsidRDefault="00366869" w:rsidP="0036686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 xml:space="preserve">Stan techniczny krytej pływalni wraz z zapleczem (w tym pomieszczeniami mokrymi), oraz </w:t>
      </w:r>
      <w:proofErr w:type="spellStart"/>
      <w:r w:rsidRPr="0085090B">
        <w:rPr>
          <w:rFonts w:asciiTheme="minorHAnsi" w:hAnsiTheme="minorHAnsi" w:cs="Times New Roman"/>
          <w:sz w:val="20"/>
          <w:szCs w:val="20"/>
        </w:rPr>
        <w:t>podbasenia</w:t>
      </w:r>
      <w:proofErr w:type="spellEnd"/>
      <w:r w:rsidRPr="0085090B">
        <w:rPr>
          <w:rFonts w:asciiTheme="minorHAnsi" w:hAnsiTheme="minorHAnsi" w:cs="Times New Roman"/>
          <w:sz w:val="20"/>
          <w:szCs w:val="20"/>
        </w:rPr>
        <w:t xml:space="preserve"> wraz z </w:t>
      </w:r>
      <w:proofErr w:type="spellStart"/>
      <w:r w:rsidRPr="0085090B">
        <w:rPr>
          <w:rFonts w:asciiTheme="minorHAnsi" w:hAnsiTheme="minorHAnsi" w:cs="Times New Roman"/>
          <w:sz w:val="20"/>
          <w:szCs w:val="20"/>
        </w:rPr>
        <w:t>wentylatornią</w:t>
      </w:r>
      <w:proofErr w:type="spellEnd"/>
      <w:r w:rsidRPr="0085090B">
        <w:rPr>
          <w:rFonts w:asciiTheme="minorHAnsi" w:hAnsiTheme="minorHAnsi" w:cs="Times New Roman"/>
          <w:sz w:val="20"/>
          <w:szCs w:val="20"/>
        </w:rPr>
        <w:t>.</w:t>
      </w:r>
    </w:p>
    <w:p w14:paraId="2CB60FD7" w14:textId="77777777" w:rsidR="00366869" w:rsidRPr="0085090B" w:rsidRDefault="00366869" w:rsidP="0036686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Aneks kuchenny na  budynku F (w tym kuchnia, zmywalnia, pomieszczenia zaplecza).</w:t>
      </w:r>
    </w:p>
    <w:p w14:paraId="5F8A6F83" w14:textId="77777777" w:rsidR="00366869" w:rsidRPr="0085090B" w:rsidRDefault="00366869" w:rsidP="0036686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Restauracja -  piwnica budynek A.</w:t>
      </w:r>
    </w:p>
    <w:p w14:paraId="5CE4EE92" w14:textId="77777777" w:rsidR="00366869" w:rsidRPr="0085090B" w:rsidRDefault="00366869" w:rsidP="0036686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Pomieszczenia bufetu budynek C.</w:t>
      </w:r>
    </w:p>
    <w:p w14:paraId="55A14C27" w14:textId="77777777" w:rsidR="00366869" w:rsidRPr="0085090B" w:rsidRDefault="00366869" w:rsidP="0036686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 xml:space="preserve">Budynek Domu Studenta - pomieszczenia pralni. </w:t>
      </w:r>
    </w:p>
    <w:p w14:paraId="27F34A56" w14:textId="77777777" w:rsidR="00366869" w:rsidRPr="0085090B" w:rsidRDefault="00366869" w:rsidP="00366869">
      <w:pPr>
        <w:pStyle w:val="Akapitzlist2"/>
        <w:ind w:left="0"/>
        <w:rPr>
          <w:rFonts w:asciiTheme="minorHAnsi" w:hAnsiTheme="minorHAnsi"/>
          <w:b/>
          <w:i/>
          <w:iCs/>
          <w:sz w:val="20"/>
          <w:szCs w:val="20"/>
        </w:rPr>
      </w:pPr>
      <w:r w:rsidRPr="0085090B">
        <w:rPr>
          <w:rFonts w:asciiTheme="minorHAnsi" w:hAnsiTheme="minorHAnsi"/>
          <w:b/>
          <w:i/>
          <w:iCs/>
          <w:sz w:val="20"/>
          <w:szCs w:val="20"/>
        </w:rPr>
        <w:t>Laboratoria (7):</w:t>
      </w:r>
    </w:p>
    <w:p w14:paraId="3B779ABC" w14:textId="77777777" w:rsidR="00366869" w:rsidRPr="0085090B" w:rsidRDefault="00366869" w:rsidP="00366869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Budynek B pomieszczenia: nr 003 (z dygestorium), nr 004/005 (z dygestorium), nr 011/012 (z dygestorium), nr 013/014 (z dygestorium), nr 017/018 (z dygestorium), nr 016 (przygotowalnia z dygestorium).</w:t>
      </w:r>
    </w:p>
    <w:p w14:paraId="767801CC" w14:textId="77777777" w:rsidR="00366869" w:rsidRPr="0085090B" w:rsidRDefault="00366869" w:rsidP="00366869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Budynek D pomieszczenia: nr D05, D07, D08, D010, D012, D104, D106, D107, D109.</w:t>
      </w:r>
    </w:p>
    <w:p w14:paraId="74E9F7B3" w14:textId="77777777" w:rsidR="00366869" w:rsidRPr="0085090B" w:rsidRDefault="00366869" w:rsidP="00366869">
      <w:pPr>
        <w:pStyle w:val="Akapitzlist2"/>
        <w:ind w:left="0"/>
        <w:rPr>
          <w:rFonts w:asciiTheme="minorHAnsi" w:hAnsiTheme="minorHAnsi"/>
          <w:b/>
          <w:i/>
          <w:iCs/>
          <w:sz w:val="20"/>
          <w:szCs w:val="20"/>
        </w:rPr>
      </w:pPr>
      <w:r w:rsidRPr="0085090B">
        <w:rPr>
          <w:rFonts w:asciiTheme="minorHAnsi" w:hAnsiTheme="minorHAnsi"/>
          <w:b/>
          <w:i/>
          <w:iCs/>
          <w:sz w:val="20"/>
          <w:szCs w:val="20"/>
        </w:rPr>
        <w:t>Serwerownie (8):</w:t>
      </w:r>
    </w:p>
    <w:p w14:paraId="4ED09353" w14:textId="77777777" w:rsidR="00366869" w:rsidRPr="0085090B" w:rsidRDefault="00366869" w:rsidP="00366869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Budynek A: A202, A010, A118.</w:t>
      </w:r>
    </w:p>
    <w:p w14:paraId="32B0B663" w14:textId="77777777" w:rsidR="00366869" w:rsidRPr="0085090B" w:rsidRDefault="00366869" w:rsidP="00366869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Budynek B: B109.</w:t>
      </w:r>
    </w:p>
    <w:p w14:paraId="4051C8A2" w14:textId="77777777" w:rsidR="00366869" w:rsidRPr="0085090B" w:rsidRDefault="00366869" w:rsidP="00366869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Budynek C: C300D.</w:t>
      </w:r>
    </w:p>
    <w:p w14:paraId="1C8AD26F" w14:textId="77777777" w:rsidR="00366869" w:rsidRPr="0085090B" w:rsidRDefault="00366869" w:rsidP="00366869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Budynek F: serwerownia w piwnicy obok windy.</w:t>
      </w:r>
    </w:p>
    <w:p w14:paraId="14B7AF2A" w14:textId="77777777" w:rsidR="00366869" w:rsidRPr="0085090B" w:rsidRDefault="00366869" w:rsidP="00366869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Budynek G: serwerownia w piwnicy obok windy.</w:t>
      </w:r>
    </w:p>
    <w:p w14:paraId="65C792A1" w14:textId="77777777" w:rsidR="00366869" w:rsidRPr="0085090B" w:rsidRDefault="00366869" w:rsidP="00366869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sz w:val="20"/>
          <w:szCs w:val="20"/>
        </w:rPr>
      </w:pPr>
      <w:r w:rsidRPr="0085090B">
        <w:rPr>
          <w:rFonts w:asciiTheme="minorHAnsi" w:hAnsiTheme="minorHAnsi" w:cs="Times New Roman"/>
          <w:sz w:val="20"/>
          <w:szCs w:val="20"/>
        </w:rPr>
        <w:t>Budynek DS. parter w korytarzu obok windy, pomieszczenia Wydziału Sztuki w piwnicy.</w:t>
      </w:r>
    </w:p>
    <w:p w14:paraId="3451296B" w14:textId="77777777" w:rsidR="00366869" w:rsidRPr="0085090B" w:rsidRDefault="00366869" w:rsidP="00366869">
      <w:pPr>
        <w:pStyle w:val="Akapitzlist2"/>
        <w:ind w:left="0"/>
        <w:rPr>
          <w:rFonts w:asciiTheme="minorHAnsi" w:hAnsiTheme="minorHAnsi"/>
          <w:b/>
          <w:i/>
          <w:iCs/>
          <w:sz w:val="20"/>
          <w:szCs w:val="20"/>
        </w:rPr>
      </w:pPr>
      <w:r w:rsidRPr="0085090B">
        <w:rPr>
          <w:rFonts w:asciiTheme="minorHAnsi" w:hAnsiTheme="minorHAnsi"/>
          <w:b/>
          <w:i/>
          <w:iCs/>
          <w:sz w:val="20"/>
          <w:szCs w:val="20"/>
        </w:rPr>
        <w:t>Pomieszczenia rozdzielni(14):</w:t>
      </w:r>
    </w:p>
    <w:p w14:paraId="28AEBC2C" w14:textId="77777777" w:rsidR="00366869" w:rsidRPr="0085090B" w:rsidRDefault="00366869" w:rsidP="00366869">
      <w:pPr>
        <w:pStyle w:val="Akapitzlist2"/>
        <w:ind w:left="0"/>
        <w:rPr>
          <w:rFonts w:asciiTheme="minorHAnsi" w:hAnsiTheme="minorHAnsi"/>
          <w:bCs/>
          <w:sz w:val="20"/>
          <w:szCs w:val="20"/>
        </w:rPr>
      </w:pPr>
      <w:r w:rsidRPr="0085090B">
        <w:rPr>
          <w:rFonts w:asciiTheme="minorHAnsi" w:hAnsiTheme="minorHAnsi"/>
          <w:sz w:val="20"/>
          <w:szCs w:val="20"/>
        </w:rPr>
        <w:t xml:space="preserve">Budynek A, Budynek B, budynek CD, budynek EFG, oraz stacja </w:t>
      </w:r>
      <w:proofErr w:type="spellStart"/>
      <w:r w:rsidRPr="0085090B">
        <w:rPr>
          <w:rFonts w:asciiTheme="minorHAnsi" w:hAnsiTheme="minorHAnsi"/>
          <w:sz w:val="20"/>
          <w:szCs w:val="20"/>
        </w:rPr>
        <w:t>trafo</w:t>
      </w:r>
      <w:proofErr w:type="spellEnd"/>
      <w:r w:rsidRPr="0085090B">
        <w:rPr>
          <w:rFonts w:asciiTheme="minorHAnsi" w:hAnsiTheme="minorHAnsi"/>
          <w:sz w:val="20"/>
          <w:szCs w:val="20"/>
        </w:rPr>
        <w:t>.</w:t>
      </w:r>
    </w:p>
    <w:p w14:paraId="4CDBB105" w14:textId="77777777" w:rsidR="00366869" w:rsidRPr="0085090B" w:rsidRDefault="00366869" w:rsidP="00D070C0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2322E768" w14:textId="77777777" w:rsidR="00366869" w:rsidRDefault="00AF4BC3" w:rsidP="00366869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>
        <w:rPr>
          <w:rFonts w:ascii="Calibri" w:eastAsia="Calibri" w:hAnsi="Calibri"/>
          <w:bCs/>
          <w:i/>
          <w:iCs/>
          <w:color w:val="FF0000"/>
          <w:lang w:eastAsia="en-US"/>
        </w:rPr>
        <w:t>Dokument</w:t>
      </w:r>
      <w:r w:rsidR="00366869" w:rsidRPr="007A3454">
        <w:rPr>
          <w:rFonts w:ascii="Calibri" w:eastAsia="Calibri" w:hAnsi="Calibri"/>
          <w:bCs/>
          <w:i/>
          <w:iCs/>
          <w:color w:val="FF0000"/>
          <w:lang w:eastAsia="en-US"/>
        </w:rPr>
        <w:t xml:space="preserve"> musi być opatrzony przez osobę lub osoby uprawnione do reprezentowania Wykonawcy kwalifikowanym podpisem elektronicznym, podpisem zaufanym lub podpisem osobistym.</w:t>
      </w:r>
    </w:p>
    <w:p w14:paraId="0D144B6A" w14:textId="77777777" w:rsidR="00366869" w:rsidRPr="0085090B" w:rsidRDefault="00366869" w:rsidP="00D070C0">
      <w:pPr>
        <w:widowControl w:val="0"/>
        <w:autoSpaceDE w:val="0"/>
        <w:autoSpaceDN w:val="0"/>
        <w:adjustRightInd w:val="0"/>
        <w:ind w:left="4248"/>
        <w:rPr>
          <w:rFonts w:asciiTheme="minorHAnsi" w:hAnsiTheme="minorHAnsi"/>
          <w:sz w:val="22"/>
          <w:szCs w:val="22"/>
        </w:rPr>
      </w:pPr>
    </w:p>
    <w:sectPr w:rsidR="00366869" w:rsidRPr="0085090B" w:rsidSect="006267EC">
      <w:headerReference w:type="default" r:id="rId7"/>
      <w:footerReference w:type="default" r:id="rId8"/>
      <w:pgSz w:w="11907" w:h="16840" w:code="9"/>
      <w:pgMar w:top="1459" w:right="992" w:bottom="1418" w:left="851" w:header="1134" w:footer="535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4526B6" w16cid:durableId="27F564E5"/>
  <w16cid:commentId w16cid:paraId="75FB766A" w16cid:durableId="27F564E6"/>
  <w16cid:commentId w16cid:paraId="6D1DA002" w16cid:durableId="27F564E7"/>
  <w16cid:commentId w16cid:paraId="0B6722BE" w16cid:durableId="27F56529"/>
  <w16cid:commentId w16cid:paraId="4C2E7EE2" w16cid:durableId="27F56633"/>
  <w16cid:commentId w16cid:paraId="0EAC9C28" w16cid:durableId="27F56528"/>
  <w16cid:commentId w16cid:paraId="1FAE01E4" w16cid:durableId="27F56651"/>
  <w16cid:commentId w16cid:paraId="2EF6510A" w16cid:durableId="27F568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41F08" w14:textId="77777777" w:rsidR="00374B3B" w:rsidRDefault="00374B3B">
      <w:r>
        <w:separator/>
      </w:r>
    </w:p>
  </w:endnote>
  <w:endnote w:type="continuationSeparator" w:id="0">
    <w:p w14:paraId="5D38B003" w14:textId="77777777" w:rsidR="00374B3B" w:rsidRDefault="0037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8"/>
        <w:szCs w:val="28"/>
      </w:rPr>
      <w:id w:val="1115789947"/>
      <w:docPartObj>
        <w:docPartGallery w:val="Page Numbers (Bottom of Page)"/>
        <w:docPartUnique/>
      </w:docPartObj>
    </w:sdtPr>
    <w:sdtEndPr/>
    <w:sdtContent>
      <w:p w14:paraId="4AEB7F40" w14:textId="77777777" w:rsidR="000D0F0C" w:rsidRPr="00224132" w:rsidRDefault="00366869">
        <w:pPr>
          <w:pStyle w:val="Stopka"/>
          <w:jc w:val="right"/>
          <w:rPr>
            <w:rFonts w:asciiTheme="minorHAnsi" w:eastAsiaTheme="majorEastAsia" w:hAnsiTheme="minorHAnsi" w:cstheme="minorHAnsi"/>
            <w:sz w:val="28"/>
            <w:szCs w:val="28"/>
          </w:rPr>
        </w:pPr>
        <w:r w:rsidRPr="00224132">
          <w:rPr>
            <w:rFonts w:asciiTheme="minorHAnsi" w:eastAsiaTheme="majorEastAsia" w:hAnsiTheme="minorHAnsi" w:cstheme="minorHAnsi"/>
          </w:rPr>
          <w:t xml:space="preserve">str. </w:t>
        </w:r>
        <w:r w:rsidRPr="00224132">
          <w:rPr>
            <w:rFonts w:asciiTheme="minorHAnsi" w:eastAsiaTheme="minorEastAsia" w:hAnsiTheme="minorHAnsi" w:cstheme="minorHAnsi"/>
          </w:rPr>
          <w:fldChar w:fldCharType="begin"/>
        </w:r>
        <w:r w:rsidRPr="00224132">
          <w:rPr>
            <w:rFonts w:asciiTheme="minorHAnsi" w:hAnsiTheme="minorHAnsi" w:cstheme="minorHAnsi"/>
          </w:rPr>
          <w:instrText>PAGE    \* MERGEFORMAT</w:instrText>
        </w:r>
        <w:r w:rsidRPr="00224132">
          <w:rPr>
            <w:rFonts w:asciiTheme="minorHAnsi" w:eastAsiaTheme="minorEastAsia" w:hAnsiTheme="minorHAnsi" w:cstheme="minorHAnsi"/>
          </w:rPr>
          <w:fldChar w:fldCharType="separate"/>
        </w:r>
        <w:r w:rsidR="007202C7" w:rsidRPr="007202C7">
          <w:rPr>
            <w:rFonts w:asciiTheme="minorHAnsi" w:eastAsiaTheme="majorEastAsia" w:hAnsiTheme="minorHAnsi" w:cstheme="minorHAnsi"/>
            <w:noProof/>
          </w:rPr>
          <w:t>2</w:t>
        </w:r>
        <w:r w:rsidRPr="00224132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477D8780" w14:textId="77777777" w:rsidR="000D0F0C" w:rsidRDefault="00374B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ED84D" w14:textId="77777777" w:rsidR="00374B3B" w:rsidRDefault="00374B3B">
      <w:r>
        <w:separator/>
      </w:r>
    </w:p>
  </w:footnote>
  <w:footnote w:type="continuationSeparator" w:id="0">
    <w:p w14:paraId="76FC5125" w14:textId="77777777" w:rsidR="00374B3B" w:rsidRDefault="00374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A044F" w14:textId="77777777" w:rsidR="000D0F0C" w:rsidRDefault="00374B3B">
    <w:pPr>
      <w:pStyle w:val="Nagwek"/>
      <w:framePr w:wrap="auto" w:vAnchor="text" w:hAnchor="margin" w:xAlign="center" w:y="1"/>
      <w:rPr>
        <w:rStyle w:val="Numerstrony"/>
      </w:rPr>
    </w:pPr>
  </w:p>
  <w:p w14:paraId="0484DE78" w14:textId="33BF0CAB" w:rsidR="000D0F0C" w:rsidRPr="00993AB8" w:rsidRDefault="00366869" w:rsidP="006267EC">
    <w:pPr>
      <w:pStyle w:val="Nagwek"/>
      <w:tabs>
        <w:tab w:val="clear" w:pos="4536"/>
      </w:tabs>
      <w:rPr>
        <w:rFonts w:asciiTheme="minorHAnsi" w:hAnsiTheme="minorHAnsi" w:cstheme="minorHAnsi"/>
        <w:i/>
        <w:sz w:val="20"/>
        <w:szCs w:val="20"/>
      </w:rPr>
    </w:pPr>
    <w:r w:rsidRPr="00993AB8">
      <w:rPr>
        <w:rFonts w:asciiTheme="minorHAnsi" w:hAnsiTheme="minorHAnsi" w:cstheme="minorHAnsi"/>
        <w:i/>
        <w:sz w:val="20"/>
        <w:szCs w:val="20"/>
      </w:rPr>
      <w:t>Nr referencyjny: K-</w:t>
    </w:r>
    <w:proofErr w:type="spellStart"/>
    <w:r w:rsidRPr="00993AB8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Pr="00993AB8">
      <w:rPr>
        <w:rFonts w:asciiTheme="minorHAnsi" w:hAnsiTheme="minorHAnsi" w:cstheme="minorHAnsi"/>
        <w:i/>
        <w:sz w:val="20"/>
        <w:szCs w:val="20"/>
      </w:rPr>
      <w:t>/382-</w:t>
    </w:r>
    <w:r w:rsidR="001175EF" w:rsidRPr="00993AB8">
      <w:rPr>
        <w:rFonts w:asciiTheme="minorHAnsi" w:hAnsiTheme="minorHAnsi" w:cstheme="minorHAnsi"/>
        <w:i/>
        <w:sz w:val="20"/>
        <w:szCs w:val="20"/>
      </w:rPr>
      <w:t>6</w:t>
    </w:r>
    <w:r w:rsidRPr="00993AB8">
      <w:rPr>
        <w:rFonts w:asciiTheme="minorHAnsi" w:hAnsiTheme="minorHAnsi" w:cstheme="minorHAnsi"/>
        <w:i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67D61"/>
    <w:multiLevelType w:val="hybridMultilevel"/>
    <w:tmpl w:val="6DA6F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332DA"/>
    <w:multiLevelType w:val="hybridMultilevel"/>
    <w:tmpl w:val="A6C2EE5E"/>
    <w:lvl w:ilvl="0" w:tplc="8DC68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076B70"/>
    <w:multiLevelType w:val="hybridMultilevel"/>
    <w:tmpl w:val="46826832"/>
    <w:lvl w:ilvl="0" w:tplc="B382FC5A">
      <w:start w:val="1"/>
      <w:numFmt w:val="lowerLetter"/>
      <w:lvlText w:val="%1)"/>
      <w:lvlJc w:val="left"/>
      <w:pPr>
        <w:ind w:left="141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4E1242F9"/>
    <w:multiLevelType w:val="hybridMultilevel"/>
    <w:tmpl w:val="D896B1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8CC552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F053C52"/>
    <w:multiLevelType w:val="hybridMultilevel"/>
    <w:tmpl w:val="871EF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F5374"/>
    <w:multiLevelType w:val="hybridMultilevel"/>
    <w:tmpl w:val="AC107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40C36"/>
    <w:multiLevelType w:val="hybridMultilevel"/>
    <w:tmpl w:val="1BB67D50"/>
    <w:lvl w:ilvl="0" w:tplc="03BA45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06"/>
    <w:rsid w:val="000F1E05"/>
    <w:rsid w:val="001175EF"/>
    <w:rsid w:val="001C39E6"/>
    <w:rsid w:val="00217BD9"/>
    <w:rsid w:val="002324BF"/>
    <w:rsid w:val="0025522C"/>
    <w:rsid w:val="00350C6C"/>
    <w:rsid w:val="00366869"/>
    <w:rsid w:val="00374B3B"/>
    <w:rsid w:val="003A20D5"/>
    <w:rsid w:val="00433C39"/>
    <w:rsid w:val="004F7233"/>
    <w:rsid w:val="0057154A"/>
    <w:rsid w:val="00580DB7"/>
    <w:rsid w:val="005A4F64"/>
    <w:rsid w:val="005B07AF"/>
    <w:rsid w:val="005B5368"/>
    <w:rsid w:val="00620E03"/>
    <w:rsid w:val="006267EC"/>
    <w:rsid w:val="006612B5"/>
    <w:rsid w:val="006C2555"/>
    <w:rsid w:val="006D78CD"/>
    <w:rsid w:val="007202C7"/>
    <w:rsid w:val="0076402B"/>
    <w:rsid w:val="007A44EF"/>
    <w:rsid w:val="00841438"/>
    <w:rsid w:val="008B21AA"/>
    <w:rsid w:val="008B7085"/>
    <w:rsid w:val="00993AB8"/>
    <w:rsid w:val="00997B06"/>
    <w:rsid w:val="00AC1441"/>
    <w:rsid w:val="00AF4BC3"/>
    <w:rsid w:val="00B00AEA"/>
    <w:rsid w:val="00B37369"/>
    <w:rsid w:val="00BD4DDD"/>
    <w:rsid w:val="00C1433C"/>
    <w:rsid w:val="00C97B56"/>
    <w:rsid w:val="00CF3F01"/>
    <w:rsid w:val="00D070C0"/>
    <w:rsid w:val="00D1447C"/>
    <w:rsid w:val="00DB5C89"/>
    <w:rsid w:val="00DF08FE"/>
    <w:rsid w:val="00E2729F"/>
    <w:rsid w:val="00E56A80"/>
    <w:rsid w:val="00EB378D"/>
    <w:rsid w:val="00F1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2207B"/>
  <w15:chartTrackingRefBased/>
  <w15:docId w15:val="{382F2D97-9B10-4A7C-9102-9A16F7EB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6686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rsid w:val="00366869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6686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36686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3668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366869"/>
    <w:pPr>
      <w:ind w:left="720"/>
    </w:pPr>
  </w:style>
  <w:style w:type="paragraph" w:styleId="Akapitzlist">
    <w:name w:val="List Paragraph"/>
    <w:basedOn w:val="Normalny"/>
    <w:uiPriority w:val="99"/>
    <w:qFormat/>
    <w:rsid w:val="003668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B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B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B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B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26</cp:revision>
  <cp:lastPrinted>2023-04-28T06:23:00Z</cp:lastPrinted>
  <dcterms:created xsi:type="dcterms:W3CDTF">2023-04-24T13:57:00Z</dcterms:created>
  <dcterms:modified xsi:type="dcterms:W3CDTF">2023-04-28T20:47:00Z</dcterms:modified>
</cp:coreProperties>
</file>