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F5" w:rsidRDefault="00C17BB2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 w:rsidRPr="0089439B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9ECBD7" wp14:editId="2AFEB2C0">
                <wp:simplePos x="0" y="0"/>
                <wp:positionH relativeFrom="column">
                  <wp:posOffset>2635885</wp:posOffset>
                </wp:positionH>
                <wp:positionV relativeFrom="paragraph">
                  <wp:posOffset>-610235</wp:posOffset>
                </wp:positionV>
                <wp:extent cx="3224530" cy="1404620"/>
                <wp:effectExtent l="0" t="0" r="0" b="635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45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7BB2" w:rsidRDefault="009C61ED" w:rsidP="00C17BB2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Załącznik nr 11</w:t>
                            </w:r>
                            <w:r w:rsidR="00C17BB2" w:rsidRPr="0089439B">
                              <w:rPr>
                                <w:color w:val="FFFFFF" w:themeColor="background1"/>
                              </w:rPr>
                              <w:t xml:space="preserve">  </w:t>
                            </w:r>
                            <w:r w:rsidR="00C17BB2">
                              <w:br/>
                              <w:t xml:space="preserve">do Zarządzenia </w:t>
                            </w:r>
                            <w:r w:rsidR="00141E2A">
                              <w:t xml:space="preserve">nr </w:t>
                            </w:r>
                            <w:r w:rsidR="00141E2A" w:rsidRPr="00996AF3">
                              <w:t>51</w:t>
                            </w:r>
                            <w:r w:rsidR="00141E2A">
                              <w:t xml:space="preserve"> </w:t>
                            </w:r>
                            <w:r w:rsidR="00C17BB2">
                              <w:t>DGLP z dnia</w:t>
                            </w:r>
                            <w:r>
                              <w:t xml:space="preserve"> </w:t>
                            </w:r>
                            <w:bookmarkStart w:id="0" w:name="_GoBack"/>
                            <w:r w:rsidRPr="00996AF3">
                              <w:t>30</w:t>
                            </w:r>
                            <w:bookmarkEnd w:id="0"/>
                            <w:r>
                              <w:t>.09.2019 r.</w:t>
                            </w:r>
                            <w:r w:rsidR="00C17BB2"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9ECB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7.55pt;margin-top:-48.05pt;width:253.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" stroked="f">
                <v:textbox style="mso-fit-shape-to-text:t">
                  <w:txbxContent>
                    <w:p w:rsidR="00C17BB2" w:rsidRDefault="009C61ED" w:rsidP="00C17BB2">
                      <w:pPr>
                        <w:spacing w:after="0" w:line="240" w:lineRule="auto"/>
                        <w:jc w:val="right"/>
                      </w:pPr>
                      <w:r>
                        <w:t>Załącznik nr 11</w:t>
                      </w:r>
                      <w:r w:rsidR="00C17BB2" w:rsidRPr="0089439B">
                        <w:rPr>
                          <w:color w:val="FFFFFF" w:themeColor="background1"/>
                        </w:rPr>
                        <w:t xml:space="preserve">  </w:t>
                      </w:r>
                      <w:r w:rsidR="00C17BB2">
                        <w:br/>
                        <w:t xml:space="preserve">do Zarządzenia </w:t>
                      </w:r>
                      <w:r w:rsidR="00141E2A">
                        <w:t xml:space="preserve">nr </w:t>
                      </w:r>
                      <w:r w:rsidR="00141E2A" w:rsidRPr="00996AF3">
                        <w:t>51</w:t>
                      </w:r>
                      <w:r w:rsidR="00141E2A">
                        <w:t xml:space="preserve"> </w:t>
                      </w:r>
                      <w:r w:rsidR="00C17BB2">
                        <w:t>DGLP z dnia</w:t>
                      </w:r>
                      <w:r>
                        <w:t xml:space="preserve"> </w:t>
                      </w:r>
                      <w:bookmarkStart w:id="1" w:name="_GoBack"/>
                      <w:r w:rsidRPr="00996AF3">
                        <w:t>30</w:t>
                      </w:r>
                      <w:bookmarkEnd w:id="1"/>
                      <w:r>
                        <w:t>.09.2019 r.</w:t>
                      </w:r>
                      <w:r w:rsidR="00C17BB2"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43375F" w:rsidRPr="0043375F">
        <w:rPr>
          <w:rFonts w:ascii="Times New Roman" w:hAnsi="Times New Roman"/>
          <w:b/>
          <w:sz w:val="32"/>
        </w:rPr>
        <w:t xml:space="preserve">Warunki techniczne </w:t>
      </w:r>
      <w:r w:rsidR="0043375F">
        <w:rPr>
          <w:rFonts w:ascii="Times New Roman" w:hAnsi="Times New Roman"/>
          <w:b/>
          <w:sz w:val="32"/>
        </w:rPr>
        <w:t>–</w:t>
      </w:r>
      <w:r w:rsidR="0043375F" w:rsidRPr="0043375F">
        <w:rPr>
          <w:rFonts w:ascii="Times New Roman" w:hAnsi="Times New Roman"/>
          <w:b/>
          <w:sz w:val="32"/>
        </w:rPr>
        <w:t xml:space="preserve"> </w:t>
      </w:r>
    </w:p>
    <w:p w:rsidR="0043375F" w:rsidRPr="00672287" w:rsidRDefault="00672287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6"/>
        </w:rPr>
      </w:pPr>
      <w:r w:rsidRPr="00672287">
        <w:rPr>
          <w:rStyle w:val="Pogrubienie"/>
          <w:rFonts w:ascii="Times New Roman" w:hAnsi="Times New Roman"/>
          <w:sz w:val="32"/>
        </w:rPr>
        <w:t>Drewno wielkowymiarowe liściaste o obniżonej jakości (pozaklasowe)</w:t>
      </w:r>
    </w:p>
    <w:p w:rsidR="006D042A" w:rsidRPr="00BB2349" w:rsidRDefault="006D042A" w:rsidP="006D042A">
      <w:pPr>
        <w:pStyle w:val="NormalnyWeb"/>
        <w:spacing w:before="0" w:beforeAutospacing="0" w:after="120" w:afterAutospacing="0"/>
        <w:rPr>
          <w:rFonts w:ascii="Times New Roman" w:hAnsi="Times New Roman"/>
          <w:sz w:val="24"/>
        </w:rPr>
      </w:pPr>
    </w:p>
    <w:p w:rsidR="0043375F" w:rsidRPr="0043375F" w:rsidRDefault="0043375F" w:rsidP="0043375F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3375F">
        <w:rPr>
          <w:rFonts w:ascii="Times New Roman" w:hAnsi="Times New Roman"/>
          <w:b/>
          <w:sz w:val="24"/>
          <w:szCs w:val="24"/>
        </w:rPr>
        <w:t>Wstęp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Przedmiot warunków technicznych</w:t>
      </w:r>
    </w:p>
    <w:p w:rsidR="00672287" w:rsidRPr="00CD6F9B" w:rsidRDefault="00672287" w:rsidP="00672287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Przedmiotem warunków technicznych jest drewno wielkowymiarowe </w:t>
      </w:r>
      <w:r>
        <w:rPr>
          <w:rFonts w:ascii="Times New Roman" w:hAnsi="Times New Roman"/>
          <w:sz w:val="24"/>
          <w:szCs w:val="24"/>
        </w:rPr>
        <w:t xml:space="preserve">liściaste o obniżonej jakości (pozaklasowe) wszystkich </w:t>
      </w:r>
      <w:r w:rsidRPr="00CD6F9B">
        <w:rPr>
          <w:rFonts w:ascii="Times New Roman" w:hAnsi="Times New Roman"/>
          <w:sz w:val="24"/>
          <w:szCs w:val="24"/>
        </w:rPr>
        <w:t xml:space="preserve">rodzajów drzew </w:t>
      </w:r>
      <w:r>
        <w:rPr>
          <w:rFonts w:ascii="Times New Roman" w:hAnsi="Times New Roman"/>
          <w:sz w:val="24"/>
          <w:szCs w:val="24"/>
        </w:rPr>
        <w:t>liściastych, które ze względu na cechy jakościowe nie może zostać zakwalifikowane do klas jakości A,</w:t>
      </w:r>
      <w:r w:rsidR="00D106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B,</w:t>
      </w:r>
      <w:r w:rsidR="00D106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 </w:t>
      </w:r>
      <w:r w:rsidR="00D106BF">
        <w:rPr>
          <w:rFonts w:ascii="Times New Roman" w:hAnsi="Times New Roman"/>
          <w:sz w:val="24"/>
          <w:szCs w:val="24"/>
        </w:rPr>
        <w:t xml:space="preserve">lub </w:t>
      </w:r>
      <w:r>
        <w:rPr>
          <w:rFonts w:ascii="Times New Roman" w:hAnsi="Times New Roman"/>
          <w:sz w:val="24"/>
          <w:szCs w:val="24"/>
        </w:rPr>
        <w:t>D</w:t>
      </w:r>
      <w:r w:rsidR="006115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D106BF">
        <w:rPr>
          <w:rFonts w:ascii="Times New Roman" w:hAnsi="Times New Roman"/>
          <w:sz w:val="24"/>
          <w:szCs w:val="24"/>
        </w:rPr>
        <w:t xml:space="preserve">a także </w:t>
      </w:r>
      <w:r>
        <w:rPr>
          <w:rFonts w:ascii="Times New Roman" w:hAnsi="Times New Roman"/>
          <w:sz w:val="24"/>
          <w:szCs w:val="24"/>
        </w:rPr>
        <w:t>do sortymentów drewna specjalnego, a które może zostać przeznaczone do przemysłowego zastosowania.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Zakres stosowania</w:t>
      </w:r>
    </w:p>
    <w:p w:rsidR="00672287" w:rsidRPr="00CD6F9B" w:rsidRDefault="00672287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Warunki techniczne mają zastosowanie do klasyfikacji jakościowo-wymiarowej i </w:t>
      </w:r>
      <w:r w:rsidR="001C1C77">
        <w:rPr>
          <w:rFonts w:ascii="Times New Roman" w:hAnsi="Times New Roman"/>
          <w:sz w:val="24"/>
          <w:szCs w:val="24"/>
        </w:rPr>
        <w:t>obrotu</w:t>
      </w:r>
      <w:r w:rsidRPr="00CD6F9B">
        <w:rPr>
          <w:rFonts w:ascii="Times New Roman" w:hAnsi="Times New Roman"/>
          <w:sz w:val="24"/>
          <w:szCs w:val="24"/>
        </w:rPr>
        <w:t xml:space="preserve"> drewna wielkowymiarowego </w:t>
      </w:r>
      <w:r>
        <w:rPr>
          <w:rFonts w:ascii="Times New Roman" w:hAnsi="Times New Roman"/>
          <w:sz w:val="24"/>
          <w:szCs w:val="24"/>
        </w:rPr>
        <w:t>liściaste</w:t>
      </w:r>
      <w:r w:rsidRPr="00CD6F9B">
        <w:rPr>
          <w:rFonts w:ascii="Times New Roman" w:hAnsi="Times New Roman"/>
          <w:sz w:val="24"/>
          <w:szCs w:val="24"/>
        </w:rPr>
        <w:t>go</w:t>
      </w:r>
      <w:r>
        <w:rPr>
          <w:rFonts w:ascii="Times New Roman" w:hAnsi="Times New Roman"/>
          <w:sz w:val="24"/>
          <w:szCs w:val="24"/>
        </w:rPr>
        <w:t xml:space="preserve"> o obniżonej jakości </w:t>
      </w:r>
      <w:r w:rsidR="00D14EBC">
        <w:rPr>
          <w:rFonts w:ascii="Times New Roman" w:hAnsi="Times New Roman"/>
          <w:sz w:val="24"/>
          <w:szCs w:val="24"/>
        </w:rPr>
        <w:t>(WDP)</w:t>
      </w:r>
      <w:r w:rsidR="00BB2349">
        <w:rPr>
          <w:rFonts w:ascii="Times New Roman" w:hAnsi="Times New Roman"/>
          <w:sz w:val="24"/>
          <w:szCs w:val="24"/>
        </w:rPr>
        <w:t xml:space="preserve"> </w:t>
      </w:r>
      <w:r w:rsidRPr="00CD6F9B">
        <w:rPr>
          <w:rFonts w:ascii="Times New Roman" w:hAnsi="Times New Roman"/>
          <w:sz w:val="24"/>
          <w:szCs w:val="24"/>
        </w:rPr>
        <w:t>w P</w:t>
      </w:r>
      <w:r>
        <w:rPr>
          <w:rFonts w:ascii="Times New Roman" w:hAnsi="Times New Roman"/>
          <w:sz w:val="24"/>
          <w:szCs w:val="24"/>
        </w:rPr>
        <w:t xml:space="preserve">aństwowym </w:t>
      </w:r>
      <w:r w:rsidRPr="00CD6F9B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ospodarstwie </w:t>
      </w:r>
      <w:r w:rsidRPr="00CD6F9B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eśnym</w:t>
      </w:r>
      <w:r w:rsidRPr="00CD6F9B"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 xml:space="preserve">asy </w:t>
      </w:r>
      <w:r w:rsidRPr="00CD6F9B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aństwowe</w:t>
      </w:r>
      <w:r w:rsidRPr="00CD6F9B">
        <w:rPr>
          <w:rFonts w:ascii="Times New Roman" w:hAnsi="Times New Roman"/>
          <w:sz w:val="24"/>
          <w:szCs w:val="24"/>
        </w:rPr>
        <w:t>.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</w:rPr>
      </w:pPr>
      <w:r w:rsidRPr="00B92191">
        <w:rPr>
          <w:rFonts w:ascii="Times New Roman" w:hAnsi="Times New Roman"/>
          <w:b/>
          <w:sz w:val="24"/>
        </w:rPr>
        <w:t>Określenia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Określenia zgodnie </w:t>
      </w:r>
      <w:r w:rsidR="001E0D44">
        <w:rPr>
          <w:rFonts w:ascii="Times New Roman" w:hAnsi="Times New Roman"/>
          <w:color w:val="000000" w:themeColor="text1"/>
          <w:sz w:val="24"/>
        </w:rPr>
        <w:t xml:space="preserve">z </w:t>
      </w:r>
      <w:r w:rsidRPr="0043375F">
        <w:rPr>
          <w:rFonts w:ascii="Times New Roman" w:hAnsi="Times New Roman"/>
          <w:i/>
          <w:sz w:val="24"/>
        </w:rPr>
        <w:t xml:space="preserve">Warunki techniczne </w:t>
      </w:r>
      <w:r w:rsidR="00611592">
        <w:rPr>
          <w:i/>
        </w:rPr>
        <w:t>–</w:t>
      </w:r>
      <w:r w:rsidRPr="0043375F">
        <w:rPr>
          <w:rFonts w:ascii="Times New Roman" w:hAnsi="Times New Roman"/>
          <w:i/>
          <w:sz w:val="24"/>
        </w:rPr>
        <w:t xml:space="preserve"> Podział, terminologia i symbole stosowane </w:t>
      </w:r>
      <w:r w:rsidR="00CD1E41">
        <w:rPr>
          <w:rFonts w:ascii="Times New Roman" w:hAnsi="Times New Roman"/>
          <w:i/>
          <w:sz w:val="24"/>
        </w:rPr>
        <w:br/>
      </w:r>
      <w:r w:rsidRPr="0043375F">
        <w:rPr>
          <w:rFonts w:ascii="Times New Roman" w:hAnsi="Times New Roman"/>
          <w:i/>
          <w:sz w:val="24"/>
        </w:rPr>
        <w:t>w obrocie surowcem drzewnym</w:t>
      </w:r>
      <w:r w:rsidR="00611592">
        <w:rPr>
          <w:rFonts w:ascii="Times New Roman" w:hAnsi="Times New Roman"/>
          <w:i/>
          <w:sz w:val="24"/>
        </w:rPr>
        <w:t>.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Style w:val="Hipercze"/>
          <w:rFonts w:ascii="Times New Roman" w:hAnsi="Times New Roman"/>
          <w:i/>
          <w:color w:val="000000" w:themeColor="text1"/>
          <w:sz w:val="24"/>
        </w:rPr>
      </w:pPr>
      <w:r w:rsidRPr="001745BF">
        <w:rPr>
          <w:rFonts w:ascii="Times New Roman" w:hAnsi="Times New Roman"/>
          <w:color w:val="000000" w:themeColor="text1"/>
          <w:sz w:val="24"/>
        </w:rPr>
        <w:t xml:space="preserve">Wady drewna zgodnie z </w:t>
      </w:r>
      <w:r w:rsidRPr="0043375F">
        <w:rPr>
          <w:rFonts w:ascii="Times New Roman" w:hAnsi="Times New Roman"/>
          <w:i/>
          <w:color w:val="000000" w:themeColor="text1"/>
          <w:sz w:val="24"/>
        </w:rPr>
        <w:t>Warunki techniczn</w:t>
      </w:r>
      <w:r>
        <w:rPr>
          <w:rFonts w:ascii="Times New Roman" w:hAnsi="Times New Roman"/>
          <w:i/>
          <w:color w:val="000000" w:themeColor="text1"/>
          <w:sz w:val="24"/>
        </w:rPr>
        <w:t xml:space="preserve">e </w:t>
      </w:r>
      <w:r w:rsidR="00611592">
        <w:rPr>
          <w:i/>
        </w:rPr>
        <w:t>–</w:t>
      </w:r>
      <w:r w:rsidRPr="0043375F">
        <w:rPr>
          <w:rFonts w:ascii="Times New Roman" w:hAnsi="Times New Roman"/>
          <w:i/>
          <w:color w:val="000000" w:themeColor="text1"/>
          <w:sz w:val="24"/>
        </w:rPr>
        <w:t xml:space="preserve"> Wady drewna</w:t>
      </w:r>
      <w:r w:rsidR="00611592">
        <w:rPr>
          <w:rFonts w:ascii="Times New Roman" w:hAnsi="Times New Roman"/>
          <w:i/>
          <w:color w:val="000000" w:themeColor="text1"/>
          <w:sz w:val="24"/>
        </w:rPr>
        <w:t>.</w:t>
      </w:r>
    </w:p>
    <w:p w:rsidR="0043375F" w:rsidRDefault="0043375F" w:rsidP="006D042A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Podział i oznaczenia</w:t>
      </w:r>
    </w:p>
    <w:p w:rsidR="00672287" w:rsidRDefault="00672287" w:rsidP="00672287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Drewno wielkowymiarowe liściaste pozaklasowe oznaczone jest jako WDP wraz</w:t>
      </w:r>
      <w:r>
        <w:rPr>
          <w:rFonts w:ascii="Times New Roman" w:hAnsi="Times New Roman"/>
          <w:sz w:val="24"/>
        </w:rPr>
        <w:br/>
        <w:t xml:space="preserve">z przyporządkowaniem do odpowiedniej klasy wymiarowej według średnicy środkowej. </w:t>
      </w:r>
    </w:p>
    <w:p w:rsidR="00672287" w:rsidRDefault="00672287" w:rsidP="00672287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Przykładowe oznaczenia:</w:t>
      </w:r>
    </w:p>
    <w:p w:rsidR="00672287" w:rsidRDefault="00672287" w:rsidP="00672287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BK WDP 2 – drewno wielkowymiarowe bukowe pozaklasowe, w 2 klasie wymiarowej.</w:t>
      </w:r>
    </w:p>
    <w:p w:rsidR="0043375F" w:rsidRDefault="001601C4" w:rsidP="006D042A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Wyrób</w:t>
      </w:r>
    </w:p>
    <w:p w:rsidR="00672287" w:rsidRDefault="00672287" w:rsidP="00672287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sz w:val="24"/>
          <w:szCs w:val="24"/>
        </w:rPr>
        <w:t xml:space="preserve">Drewno wielkowymiarowe </w:t>
      </w:r>
      <w:r>
        <w:rPr>
          <w:rFonts w:ascii="Times New Roman" w:hAnsi="Times New Roman"/>
          <w:sz w:val="24"/>
          <w:szCs w:val="24"/>
        </w:rPr>
        <w:t>liściaste</w:t>
      </w:r>
      <w:r w:rsidRPr="00CD6F9B">
        <w:rPr>
          <w:rFonts w:ascii="Times New Roman" w:hAnsi="Times New Roman"/>
          <w:sz w:val="24"/>
          <w:szCs w:val="24"/>
        </w:rPr>
        <w:t xml:space="preserve"> </w:t>
      </w:r>
      <w:r w:rsidR="00BB2349">
        <w:rPr>
          <w:rFonts w:ascii="Times New Roman" w:hAnsi="Times New Roman"/>
          <w:sz w:val="24"/>
          <w:szCs w:val="24"/>
        </w:rPr>
        <w:t>o obniżonej jakości (</w:t>
      </w:r>
      <w:r>
        <w:rPr>
          <w:rFonts w:ascii="Times New Roman" w:hAnsi="Times New Roman"/>
          <w:sz w:val="24"/>
          <w:szCs w:val="24"/>
        </w:rPr>
        <w:t>pozaklasowe</w:t>
      </w:r>
      <w:r w:rsidR="00BB234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6F9B">
        <w:rPr>
          <w:rFonts w:ascii="Times New Roman" w:hAnsi="Times New Roman"/>
          <w:sz w:val="24"/>
          <w:szCs w:val="24"/>
        </w:rPr>
        <w:t xml:space="preserve">należy wyrabiać </w:t>
      </w:r>
      <w:r w:rsidR="00BB2349">
        <w:rPr>
          <w:rFonts w:ascii="Times New Roman" w:hAnsi="Times New Roman"/>
          <w:sz w:val="24"/>
          <w:szCs w:val="24"/>
        </w:rPr>
        <w:br/>
      </w:r>
      <w:r w:rsidRPr="00CD6F9B">
        <w:rPr>
          <w:rFonts w:ascii="Times New Roman" w:hAnsi="Times New Roman"/>
          <w:sz w:val="24"/>
          <w:szCs w:val="24"/>
        </w:rPr>
        <w:t>w korze</w:t>
      </w:r>
      <w:r>
        <w:rPr>
          <w:rFonts w:ascii="Times New Roman" w:hAnsi="Times New Roman"/>
          <w:sz w:val="24"/>
          <w:szCs w:val="24"/>
        </w:rPr>
        <w:t xml:space="preserve"> lub bez kory,</w:t>
      </w:r>
      <w:r w:rsidRPr="00CD6F9B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 xml:space="preserve"> postaci</w:t>
      </w:r>
      <w:r w:rsidRPr="00CD6F9B">
        <w:rPr>
          <w:rFonts w:ascii="Times New Roman" w:hAnsi="Times New Roman"/>
          <w:sz w:val="24"/>
          <w:szCs w:val="24"/>
        </w:rPr>
        <w:t xml:space="preserve"> dłużyc</w:t>
      </w:r>
      <w:r>
        <w:rPr>
          <w:rFonts w:ascii="Times New Roman" w:hAnsi="Times New Roman"/>
          <w:sz w:val="24"/>
          <w:szCs w:val="24"/>
        </w:rPr>
        <w:t xml:space="preserve"> i kłód.</w:t>
      </w:r>
      <w:r w:rsidRPr="00937F3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Drewno WDP wyrabia się bez drewna towarzyszącego; zaleca się oznaczać sztuki na czole symbolem „P”. Jakość okrzesywania </w:t>
      </w:r>
      <w:r w:rsidR="00440E67">
        <w:rPr>
          <w:rFonts w:ascii="Times New Roman" w:hAnsi="Times New Roman"/>
          <w:sz w:val="24"/>
        </w:rPr>
        <w:br/>
      </w:r>
      <w:r w:rsidRPr="008E6DD4">
        <w:rPr>
          <w:rFonts w:ascii="Times New Roman" w:hAnsi="Times New Roman"/>
          <w:sz w:val="24"/>
        </w:rPr>
        <w:t>co najmniej</w:t>
      </w:r>
      <w:r>
        <w:rPr>
          <w:rFonts w:ascii="Times New Roman" w:hAnsi="Times New Roman"/>
          <w:sz w:val="24"/>
        </w:rPr>
        <w:t xml:space="preserve"> dobra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3375F" w:rsidRDefault="009A2F99" w:rsidP="006D042A">
      <w:pPr>
        <w:pStyle w:val="NormalnyWeb"/>
        <w:spacing w:before="120" w:beforeAutospacing="0" w:after="120" w:afterAutospacing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43375F" w:rsidRPr="00CD6F9B">
        <w:rPr>
          <w:rFonts w:ascii="Times New Roman" w:hAnsi="Times New Roman"/>
          <w:b/>
          <w:sz w:val="24"/>
          <w:szCs w:val="24"/>
        </w:rPr>
        <w:t>Jakość drewna</w:t>
      </w:r>
    </w:p>
    <w:p w:rsidR="0043375F" w:rsidRPr="00926DBC" w:rsidRDefault="00672287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i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Jakość drewna według </w:t>
      </w:r>
      <w:r w:rsidR="006E7131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ablicy </w:t>
      </w:r>
      <w:r w:rsidRPr="00EB6C7F">
        <w:rPr>
          <w:rFonts w:ascii="Times New Roman" w:hAnsi="Times New Roman"/>
          <w:i/>
          <w:sz w:val="24"/>
          <w:szCs w:val="24"/>
        </w:rPr>
        <w:t>Drewno wielkowymiarowe liściaste</w:t>
      </w:r>
      <w:r>
        <w:rPr>
          <w:rFonts w:ascii="Times New Roman" w:hAnsi="Times New Roman"/>
          <w:i/>
          <w:sz w:val="24"/>
          <w:szCs w:val="24"/>
        </w:rPr>
        <w:t xml:space="preserve"> o obniżonej jakości (</w:t>
      </w:r>
      <w:r w:rsidRPr="00EB6C7F">
        <w:rPr>
          <w:rFonts w:ascii="Times New Roman" w:hAnsi="Times New Roman"/>
          <w:i/>
          <w:sz w:val="24"/>
          <w:szCs w:val="24"/>
        </w:rPr>
        <w:t>pozaklasowe</w:t>
      </w:r>
      <w:r>
        <w:rPr>
          <w:rFonts w:ascii="Times New Roman" w:hAnsi="Times New Roman"/>
          <w:i/>
          <w:sz w:val="24"/>
          <w:szCs w:val="24"/>
        </w:rPr>
        <w:t>)</w:t>
      </w:r>
      <w:r w:rsidRPr="00EB6C7F">
        <w:rPr>
          <w:rFonts w:ascii="Times New Roman" w:hAnsi="Times New Roman"/>
          <w:i/>
          <w:sz w:val="24"/>
          <w:szCs w:val="24"/>
        </w:rPr>
        <w:t>. Wymagania jakościowo-wymiarowe</w:t>
      </w:r>
      <w:r>
        <w:rPr>
          <w:rFonts w:ascii="Times New Roman" w:hAnsi="Times New Roman"/>
          <w:sz w:val="24"/>
          <w:szCs w:val="24"/>
        </w:rPr>
        <w:t>.</w:t>
      </w:r>
      <w:r w:rsidRPr="007A35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Dopuszcza się wszelkie zmiany naturalnego kształtu pobocznicy pnia wynikające z występowania wad wpływających na jej kształt, tj. odłupów, zgnilizn, uszkodzeń technologicznych itp. bez względu na ich rozmiar.</w:t>
      </w:r>
    </w:p>
    <w:p w:rsidR="0043375F" w:rsidRDefault="0043375F" w:rsidP="006D042A">
      <w:pPr>
        <w:pStyle w:val="NormalnyWeb"/>
        <w:numPr>
          <w:ilvl w:val="0"/>
          <w:numId w:val="7"/>
        </w:numPr>
        <w:spacing w:before="120" w:beforeAutospacing="0" w:after="120" w:afterAutospacing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Pomiar</w:t>
      </w:r>
      <w:r>
        <w:rPr>
          <w:rFonts w:ascii="Times New Roman" w:hAnsi="Times New Roman"/>
          <w:b/>
          <w:sz w:val="24"/>
          <w:szCs w:val="24"/>
        </w:rPr>
        <w:t>, obliczanie miąższości i cechowanie</w:t>
      </w:r>
    </w:p>
    <w:p w:rsidR="00BB2349" w:rsidRDefault="001601C4" w:rsidP="00B32D04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 do p</w:t>
      </w:r>
      <w:r w:rsidR="0043375F" w:rsidRPr="00CD6F9B">
        <w:rPr>
          <w:rFonts w:ascii="Times New Roman" w:hAnsi="Times New Roman"/>
          <w:sz w:val="24"/>
          <w:szCs w:val="24"/>
        </w:rPr>
        <w:t>omiar</w:t>
      </w:r>
      <w:r>
        <w:rPr>
          <w:rFonts w:ascii="Times New Roman" w:hAnsi="Times New Roman"/>
          <w:sz w:val="24"/>
          <w:szCs w:val="24"/>
        </w:rPr>
        <w:t>u, pomiar</w:t>
      </w:r>
      <w:r w:rsidR="0043375F">
        <w:rPr>
          <w:rFonts w:ascii="Times New Roman" w:hAnsi="Times New Roman"/>
          <w:sz w:val="24"/>
          <w:szCs w:val="24"/>
        </w:rPr>
        <w:t>, obliczanie miąższości</w:t>
      </w:r>
      <w:r w:rsidR="0043375F" w:rsidRPr="00CD6F9B">
        <w:rPr>
          <w:rFonts w:ascii="Times New Roman" w:hAnsi="Times New Roman"/>
          <w:sz w:val="24"/>
          <w:szCs w:val="24"/>
        </w:rPr>
        <w:t xml:space="preserve"> i cechowanie </w:t>
      </w:r>
      <w:r w:rsidR="00937F36">
        <w:rPr>
          <w:rFonts w:ascii="Times New Roman" w:hAnsi="Times New Roman"/>
          <w:sz w:val="24"/>
          <w:szCs w:val="24"/>
        </w:rPr>
        <w:t xml:space="preserve">zgodnie z </w:t>
      </w:r>
      <w:r w:rsidR="00937F36" w:rsidRPr="00937F36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611592">
        <w:rPr>
          <w:i/>
        </w:rPr>
        <w:t>–</w:t>
      </w:r>
      <w:r w:rsidR="00937F36"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="00937F36"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="00937F36" w:rsidRPr="00937F36">
        <w:rPr>
          <w:rFonts w:ascii="Times New Roman" w:hAnsi="Times New Roman"/>
          <w:i/>
          <w:sz w:val="24"/>
          <w:szCs w:val="36"/>
        </w:rPr>
        <w:t>surowca drzewnego</w:t>
      </w:r>
      <w:r w:rsidR="005203F2">
        <w:rPr>
          <w:rFonts w:ascii="Times New Roman" w:hAnsi="Times New Roman"/>
          <w:sz w:val="24"/>
          <w:szCs w:val="24"/>
        </w:rPr>
        <w:t>.</w:t>
      </w:r>
      <w:r w:rsidR="00B32D04">
        <w:rPr>
          <w:rFonts w:ascii="Times New Roman" w:hAnsi="Times New Roman"/>
          <w:sz w:val="24"/>
          <w:szCs w:val="24"/>
        </w:rPr>
        <w:t xml:space="preserve"> </w:t>
      </w:r>
      <w:r w:rsidR="00672287">
        <w:rPr>
          <w:rFonts w:ascii="Times New Roman" w:hAnsi="Times New Roman"/>
          <w:sz w:val="24"/>
          <w:szCs w:val="24"/>
        </w:rPr>
        <w:t xml:space="preserve">Drewno WDP zaleca się układać na osobnej mygle. W przypadku, </w:t>
      </w:r>
      <w:r w:rsidR="00D106BF">
        <w:rPr>
          <w:rFonts w:ascii="Times New Roman" w:hAnsi="Times New Roman"/>
          <w:sz w:val="24"/>
          <w:szCs w:val="24"/>
        </w:rPr>
        <w:br/>
      </w:r>
      <w:r w:rsidR="00672287">
        <w:rPr>
          <w:rFonts w:ascii="Times New Roman" w:hAnsi="Times New Roman"/>
          <w:sz w:val="24"/>
          <w:szCs w:val="24"/>
        </w:rPr>
        <w:t>gdy w miejscu pomiaru średnicy występują odłupy, spłaszczenia lub inne uszkodzenia (ubytki) drewna</w:t>
      </w:r>
      <w:r w:rsidR="00611592">
        <w:rPr>
          <w:rFonts w:ascii="Times New Roman" w:hAnsi="Times New Roman"/>
          <w:sz w:val="24"/>
          <w:szCs w:val="24"/>
        </w:rPr>
        <w:t>,</w:t>
      </w:r>
      <w:r w:rsidR="00672287">
        <w:rPr>
          <w:rFonts w:ascii="Times New Roman" w:hAnsi="Times New Roman"/>
          <w:sz w:val="24"/>
          <w:szCs w:val="24"/>
        </w:rPr>
        <w:t xml:space="preserve"> należy dokonać pomiaru największej i najmniejszej średnicy w miejscu wystąpienia wady, a następnie obliczyć średnią arytmetyczną z tych pomiarów.</w:t>
      </w:r>
    </w:p>
    <w:p w:rsidR="00BB2349" w:rsidRDefault="00BB2349">
      <w:pPr>
        <w:spacing w:after="0" w:line="240" w:lineRule="auto"/>
        <w:jc w:val="right"/>
        <w:rPr>
          <w:rFonts w:eastAsia="Times New Roman" w:cs="Times New Roman"/>
          <w:color w:val="000000"/>
          <w:szCs w:val="24"/>
          <w:lang w:eastAsia="pl-PL"/>
        </w:rPr>
      </w:pPr>
      <w:r>
        <w:rPr>
          <w:szCs w:val="24"/>
        </w:rPr>
        <w:br w:type="page"/>
      </w:r>
    </w:p>
    <w:p w:rsidR="0043375F" w:rsidRDefault="009A2F99" w:rsidP="006D042A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6. </w:t>
      </w:r>
      <w:r w:rsidR="0043375F">
        <w:rPr>
          <w:rFonts w:ascii="Times New Roman" w:hAnsi="Times New Roman"/>
          <w:b/>
          <w:sz w:val="24"/>
          <w:szCs w:val="24"/>
        </w:rPr>
        <w:t>Kontrola jakości</w:t>
      </w:r>
    </w:p>
    <w:p w:rsidR="00B32D04" w:rsidRDefault="00672287" w:rsidP="00440E6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C75D0D">
        <w:rPr>
          <w:szCs w:val="24"/>
        </w:rPr>
        <w:t>Kontrolę przeprowadza się przez oględziny</w:t>
      </w:r>
      <w:r>
        <w:rPr>
          <w:szCs w:val="24"/>
        </w:rPr>
        <w:t xml:space="preserve"> zewnętrzne</w:t>
      </w:r>
      <w:r w:rsidR="00611592">
        <w:rPr>
          <w:szCs w:val="24"/>
        </w:rPr>
        <w:t>,</w:t>
      </w:r>
      <w:r>
        <w:rPr>
          <w:szCs w:val="24"/>
        </w:rPr>
        <w:t xml:space="preserve"> dokonując oceny każdej sztuki drewna z wymaganiami warunków technicznych.</w:t>
      </w:r>
    </w:p>
    <w:p w:rsidR="00672287" w:rsidRPr="00BB2349" w:rsidRDefault="00672287" w:rsidP="00672287"/>
    <w:tbl>
      <w:tblPr>
        <w:tblStyle w:val="Tabela-Siatka"/>
        <w:tblpPr w:leftFromText="141" w:rightFromText="141" w:vertAnchor="page" w:horzAnchor="margin" w:tblpY="3505"/>
        <w:tblW w:w="0" w:type="auto"/>
        <w:tblLook w:val="04A0" w:firstRow="1" w:lastRow="0" w:firstColumn="1" w:lastColumn="0" w:noHBand="0" w:noVBand="1"/>
      </w:tblPr>
      <w:tblGrid>
        <w:gridCol w:w="1248"/>
        <w:gridCol w:w="1614"/>
        <w:gridCol w:w="6200"/>
      </w:tblGrid>
      <w:tr w:rsidR="00BB2349" w:rsidTr="00BB2349">
        <w:tc>
          <w:tcPr>
            <w:tcW w:w="2862" w:type="dxa"/>
            <w:gridSpan w:val="2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rPr>
                <w:b/>
                <w:sz w:val="18"/>
              </w:rPr>
            </w:pPr>
            <w:r w:rsidRPr="00B10080">
              <w:rPr>
                <w:b/>
                <w:sz w:val="18"/>
              </w:rPr>
              <w:t>Nazwa wady lub cechy drewna</w:t>
            </w:r>
          </w:p>
        </w:tc>
        <w:tc>
          <w:tcPr>
            <w:tcW w:w="6200" w:type="dxa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jc w:val="center"/>
              <w:rPr>
                <w:b/>
                <w:sz w:val="18"/>
              </w:rPr>
            </w:pPr>
            <w:r w:rsidRPr="00B10080">
              <w:rPr>
                <w:b/>
                <w:sz w:val="18"/>
                <w:szCs w:val="18"/>
              </w:rPr>
              <w:t>Dopuszczalny rozmiar występowania wad lub cech drewna</w:t>
            </w:r>
            <w:r w:rsidRPr="00B10080">
              <w:rPr>
                <w:b/>
                <w:sz w:val="18"/>
                <w:szCs w:val="18"/>
                <w:vertAlign w:val="superscript"/>
              </w:rPr>
              <w:t>1)</w:t>
            </w:r>
          </w:p>
        </w:tc>
      </w:tr>
      <w:tr w:rsidR="00BB2349" w:rsidTr="00BB2349">
        <w:tc>
          <w:tcPr>
            <w:tcW w:w="2862" w:type="dxa"/>
            <w:gridSpan w:val="2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  <w:r w:rsidRPr="00B10080">
              <w:rPr>
                <w:b/>
                <w:sz w:val="18"/>
              </w:rPr>
              <w:t xml:space="preserve">Najmniejsza średnica górna </w:t>
            </w:r>
            <w:r w:rsidRPr="00B10080">
              <w:rPr>
                <w:b/>
                <w:sz w:val="18"/>
              </w:rPr>
              <w:br/>
              <w:t>bez kory</w:t>
            </w:r>
          </w:p>
        </w:tc>
        <w:tc>
          <w:tcPr>
            <w:tcW w:w="6200" w:type="dxa"/>
            <w:vAlign w:val="center"/>
          </w:tcPr>
          <w:p w:rsidR="00BB2349" w:rsidRPr="00B10080" w:rsidRDefault="00BB2349" w:rsidP="00BB2349">
            <w:pPr>
              <w:spacing w:after="0"/>
              <w:jc w:val="center"/>
              <w:rPr>
                <w:sz w:val="18"/>
              </w:rPr>
            </w:pPr>
            <w:r w:rsidRPr="00B10080">
              <w:rPr>
                <w:sz w:val="18"/>
              </w:rPr>
              <w:t>14 cm</w:t>
            </w:r>
          </w:p>
        </w:tc>
      </w:tr>
      <w:tr w:rsidR="00BB2349" w:rsidTr="00BB2349">
        <w:tc>
          <w:tcPr>
            <w:tcW w:w="2862" w:type="dxa"/>
            <w:gridSpan w:val="2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  <w:r w:rsidRPr="00B10080">
              <w:rPr>
                <w:b/>
                <w:sz w:val="18"/>
              </w:rPr>
              <w:t>Długość</w:t>
            </w:r>
          </w:p>
        </w:tc>
        <w:tc>
          <w:tcPr>
            <w:tcW w:w="6200" w:type="dxa"/>
            <w:vAlign w:val="center"/>
          </w:tcPr>
          <w:p w:rsidR="00BB2349" w:rsidRPr="00B10080" w:rsidRDefault="00BB2349" w:rsidP="00BB2349">
            <w:pPr>
              <w:spacing w:after="0"/>
              <w:jc w:val="center"/>
              <w:rPr>
                <w:sz w:val="18"/>
              </w:rPr>
            </w:pPr>
            <w:r w:rsidRPr="00B10080">
              <w:rPr>
                <w:sz w:val="18"/>
              </w:rPr>
              <w:t>od 2,5 m do 14 m</w:t>
            </w:r>
            <w:r w:rsidRPr="00B10080">
              <w:rPr>
                <w:sz w:val="18"/>
                <w:vertAlign w:val="superscript"/>
              </w:rPr>
              <w:t>2)</w:t>
            </w:r>
            <w:r w:rsidRPr="00B10080">
              <w:rPr>
                <w:sz w:val="18"/>
              </w:rPr>
              <w:t xml:space="preserve"> bez nadmiaru, z odstopniowaniem co 10 cm</w:t>
            </w:r>
          </w:p>
        </w:tc>
      </w:tr>
      <w:tr w:rsidR="00BB2349" w:rsidTr="00BB2349">
        <w:trPr>
          <w:trHeight w:val="336"/>
        </w:trPr>
        <w:tc>
          <w:tcPr>
            <w:tcW w:w="1248" w:type="dxa"/>
            <w:vMerge w:val="restart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  <w:r w:rsidRPr="00B10080">
              <w:rPr>
                <w:b/>
                <w:sz w:val="18"/>
              </w:rPr>
              <w:t>Krzywizna</w:t>
            </w:r>
          </w:p>
        </w:tc>
        <w:tc>
          <w:tcPr>
            <w:tcW w:w="1614" w:type="dxa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  <w:r w:rsidRPr="00B10080">
              <w:rPr>
                <w:b/>
                <w:sz w:val="18"/>
              </w:rPr>
              <w:t>jednostronna</w:t>
            </w:r>
          </w:p>
        </w:tc>
        <w:tc>
          <w:tcPr>
            <w:tcW w:w="6200" w:type="dxa"/>
            <w:vMerge w:val="restart"/>
            <w:vAlign w:val="center"/>
          </w:tcPr>
          <w:p w:rsidR="00BB2349" w:rsidRPr="00B10080" w:rsidRDefault="00BB2349" w:rsidP="00BB2349">
            <w:pPr>
              <w:spacing w:after="0"/>
              <w:jc w:val="center"/>
              <w:rPr>
                <w:sz w:val="18"/>
              </w:rPr>
            </w:pPr>
            <w:r w:rsidRPr="00B10080">
              <w:rPr>
                <w:sz w:val="18"/>
              </w:rPr>
              <w:t>dopuszczalna</w:t>
            </w:r>
          </w:p>
        </w:tc>
      </w:tr>
      <w:tr w:rsidR="00BB2349" w:rsidTr="00BB2349">
        <w:tc>
          <w:tcPr>
            <w:tcW w:w="1248" w:type="dxa"/>
            <w:vMerge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</w:p>
        </w:tc>
        <w:tc>
          <w:tcPr>
            <w:tcW w:w="1614" w:type="dxa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  <w:r w:rsidRPr="00B10080">
              <w:rPr>
                <w:b/>
                <w:sz w:val="18"/>
              </w:rPr>
              <w:t>wielostronna</w:t>
            </w:r>
          </w:p>
        </w:tc>
        <w:tc>
          <w:tcPr>
            <w:tcW w:w="6200" w:type="dxa"/>
            <w:vMerge/>
            <w:vAlign w:val="center"/>
          </w:tcPr>
          <w:p w:rsidR="00BB2349" w:rsidRPr="00B10080" w:rsidRDefault="00BB2349" w:rsidP="00BB2349">
            <w:pPr>
              <w:spacing w:after="0"/>
              <w:jc w:val="center"/>
              <w:rPr>
                <w:sz w:val="18"/>
              </w:rPr>
            </w:pPr>
          </w:p>
        </w:tc>
      </w:tr>
      <w:tr w:rsidR="00BB2349" w:rsidTr="00BB2349">
        <w:trPr>
          <w:trHeight w:val="198"/>
        </w:trPr>
        <w:tc>
          <w:tcPr>
            <w:tcW w:w="1248" w:type="dxa"/>
            <w:vMerge w:val="restart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  <w:r w:rsidRPr="00B10080">
              <w:rPr>
                <w:b/>
                <w:sz w:val="18"/>
              </w:rPr>
              <w:t xml:space="preserve">Zgnilizna </w:t>
            </w:r>
          </w:p>
        </w:tc>
        <w:tc>
          <w:tcPr>
            <w:tcW w:w="1614" w:type="dxa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  <w:r w:rsidRPr="00B10080">
              <w:rPr>
                <w:b/>
                <w:sz w:val="18"/>
              </w:rPr>
              <w:t>twarda</w:t>
            </w:r>
          </w:p>
        </w:tc>
        <w:tc>
          <w:tcPr>
            <w:tcW w:w="6200" w:type="dxa"/>
            <w:vAlign w:val="center"/>
          </w:tcPr>
          <w:p w:rsidR="00BB2349" w:rsidRPr="00B10080" w:rsidRDefault="00BB2349" w:rsidP="00BB2349">
            <w:pPr>
              <w:spacing w:after="0"/>
              <w:jc w:val="center"/>
              <w:rPr>
                <w:sz w:val="18"/>
              </w:rPr>
            </w:pPr>
            <w:r w:rsidRPr="00B10080">
              <w:rPr>
                <w:sz w:val="18"/>
              </w:rPr>
              <w:t>dopuszczalna</w:t>
            </w:r>
          </w:p>
        </w:tc>
      </w:tr>
      <w:tr w:rsidR="00BB2349" w:rsidTr="00BB2349">
        <w:trPr>
          <w:trHeight w:val="216"/>
        </w:trPr>
        <w:tc>
          <w:tcPr>
            <w:tcW w:w="1248" w:type="dxa"/>
            <w:vMerge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</w:p>
        </w:tc>
        <w:tc>
          <w:tcPr>
            <w:tcW w:w="1614" w:type="dxa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  <w:r w:rsidRPr="00B10080">
              <w:rPr>
                <w:b/>
                <w:sz w:val="18"/>
              </w:rPr>
              <w:t>miękka</w:t>
            </w:r>
          </w:p>
        </w:tc>
        <w:tc>
          <w:tcPr>
            <w:tcW w:w="6200" w:type="dxa"/>
            <w:vAlign w:val="center"/>
          </w:tcPr>
          <w:p w:rsidR="00BB2349" w:rsidRPr="00B10080" w:rsidRDefault="00BB2349" w:rsidP="00BB2349">
            <w:pPr>
              <w:spacing w:after="0"/>
              <w:jc w:val="center"/>
              <w:rPr>
                <w:sz w:val="18"/>
                <w:vertAlign w:val="superscript"/>
              </w:rPr>
            </w:pPr>
            <w:r w:rsidRPr="00B10080">
              <w:rPr>
                <w:sz w:val="18"/>
              </w:rPr>
              <w:t>dopuszczalna do 40% powierzchni czół</w:t>
            </w:r>
            <w:r w:rsidRPr="00B10080">
              <w:rPr>
                <w:sz w:val="18"/>
                <w:vertAlign w:val="superscript"/>
              </w:rPr>
              <w:t>3)</w:t>
            </w:r>
          </w:p>
        </w:tc>
      </w:tr>
      <w:tr w:rsidR="00BB2349" w:rsidTr="00BB2349">
        <w:trPr>
          <w:trHeight w:val="125"/>
        </w:trPr>
        <w:tc>
          <w:tcPr>
            <w:tcW w:w="2862" w:type="dxa"/>
            <w:gridSpan w:val="2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  <w:r w:rsidRPr="00B10080">
              <w:rPr>
                <w:b/>
                <w:sz w:val="18"/>
              </w:rPr>
              <w:t>Zabarwienia</w:t>
            </w:r>
          </w:p>
        </w:tc>
        <w:tc>
          <w:tcPr>
            <w:tcW w:w="6200" w:type="dxa"/>
            <w:vAlign w:val="center"/>
          </w:tcPr>
          <w:p w:rsidR="00BB2349" w:rsidRPr="00B10080" w:rsidRDefault="00BB2349" w:rsidP="00BB2349">
            <w:pPr>
              <w:spacing w:after="0"/>
              <w:jc w:val="center"/>
              <w:rPr>
                <w:sz w:val="18"/>
              </w:rPr>
            </w:pPr>
            <w:r w:rsidRPr="00B10080">
              <w:rPr>
                <w:sz w:val="18"/>
              </w:rPr>
              <w:t>dopuszczalne</w:t>
            </w:r>
          </w:p>
        </w:tc>
      </w:tr>
      <w:tr w:rsidR="00BB2349" w:rsidTr="00BB2349">
        <w:tc>
          <w:tcPr>
            <w:tcW w:w="2862" w:type="dxa"/>
            <w:gridSpan w:val="2"/>
            <w:shd w:val="clear" w:color="auto" w:fill="F2F2F2" w:themeFill="background1" w:themeFillShade="F2"/>
            <w:vAlign w:val="center"/>
          </w:tcPr>
          <w:p w:rsidR="00BB2349" w:rsidRPr="00B10080" w:rsidRDefault="00BB2349" w:rsidP="00BB2349">
            <w:pPr>
              <w:spacing w:after="0"/>
              <w:rPr>
                <w:b/>
                <w:sz w:val="18"/>
              </w:rPr>
            </w:pPr>
            <w:r w:rsidRPr="00B10080">
              <w:rPr>
                <w:b/>
                <w:sz w:val="18"/>
              </w:rPr>
              <w:t>Obecność ciał obcych</w:t>
            </w:r>
          </w:p>
        </w:tc>
        <w:tc>
          <w:tcPr>
            <w:tcW w:w="6200" w:type="dxa"/>
            <w:vAlign w:val="center"/>
          </w:tcPr>
          <w:p w:rsidR="00BB2349" w:rsidRPr="00B10080" w:rsidRDefault="00BB2349" w:rsidP="00BB2349">
            <w:pPr>
              <w:spacing w:after="0"/>
              <w:jc w:val="center"/>
              <w:rPr>
                <w:sz w:val="18"/>
              </w:rPr>
            </w:pPr>
            <w:r w:rsidRPr="00B10080">
              <w:rPr>
                <w:sz w:val="18"/>
              </w:rPr>
              <w:t>dopuszczalna</w:t>
            </w:r>
          </w:p>
        </w:tc>
      </w:tr>
      <w:tr w:rsidR="00BB2349" w:rsidTr="00BB2349">
        <w:tc>
          <w:tcPr>
            <w:tcW w:w="9062" w:type="dxa"/>
            <w:gridSpan w:val="3"/>
            <w:vAlign w:val="center"/>
          </w:tcPr>
          <w:p w:rsidR="00BB2349" w:rsidRPr="005846B9" w:rsidRDefault="00BB2349" w:rsidP="0095660C">
            <w:pPr>
              <w:pStyle w:val="Akapitzlist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sz w:val="18"/>
              </w:rPr>
            </w:pPr>
            <w:r w:rsidRPr="005846B9">
              <w:rPr>
                <w:sz w:val="18"/>
              </w:rPr>
              <w:t xml:space="preserve">Wad niewymienionych w </w:t>
            </w:r>
            <w:r w:rsidR="0095660C">
              <w:rPr>
                <w:sz w:val="18"/>
                <w:szCs w:val="18"/>
              </w:rPr>
              <w:t>tablicy</w:t>
            </w:r>
            <w:r w:rsidR="0095660C" w:rsidRPr="005846B9">
              <w:rPr>
                <w:sz w:val="18"/>
              </w:rPr>
              <w:t xml:space="preserve"> </w:t>
            </w:r>
            <w:r w:rsidRPr="005846B9">
              <w:rPr>
                <w:sz w:val="18"/>
              </w:rPr>
              <w:t>nie bierze się pod uwagę</w:t>
            </w:r>
            <w:r>
              <w:rPr>
                <w:sz w:val="18"/>
              </w:rPr>
              <w:t>.</w:t>
            </w:r>
          </w:p>
        </w:tc>
      </w:tr>
      <w:tr w:rsidR="00BB2349" w:rsidTr="00BB2349">
        <w:tc>
          <w:tcPr>
            <w:tcW w:w="9062" w:type="dxa"/>
            <w:gridSpan w:val="3"/>
            <w:vAlign w:val="center"/>
          </w:tcPr>
          <w:p w:rsidR="00BB2349" w:rsidRPr="005846B9" w:rsidRDefault="00BB2349" w:rsidP="00BB2349">
            <w:pPr>
              <w:pStyle w:val="Akapitzlist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sz w:val="18"/>
              </w:rPr>
            </w:pPr>
            <w:r w:rsidRPr="005846B9">
              <w:rPr>
                <w:sz w:val="18"/>
              </w:rPr>
              <w:t>Za zgodą stron dopuszcza się wyrabianie dłużyc o długości większej niż 14 m</w:t>
            </w:r>
            <w:r>
              <w:rPr>
                <w:sz w:val="18"/>
              </w:rPr>
              <w:t>.</w:t>
            </w:r>
          </w:p>
        </w:tc>
      </w:tr>
      <w:tr w:rsidR="00BB2349" w:rsidTr="00BB2349">
        <w:tc>
          <w:tcPr>
            <w:tcW w:w="9062" w:type="dxa"/>
            <w:gridSpan w:val="3"/>
            <w:vAlign w:val="center"/>
          </w:tcPr>
          <w:p w:rsidR="00BB2349" w:rsidRPr="005846B9" w:rsidRDefault="00BB2349" w:rsidP="00BB2349">
            <w:pPr>
              <w:pStyle w:val="Akapitzlist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sz w:val="18"/>
              </w:rPr>
            </w:pPr>
            <w:r w:rsidRPr="005846B9">
              <w:rPr>
                <w:sz w:val="18"/>
                <w:szCs w:val="20"/>
              </w:rPr>
              <w:t xml:space="preserve">W drewnie dębowym, jesionowym i wiązowym ponadto dopuszcza się zmniejszenie średnicy drewna  </w:t>
            </w:r>
            <w:r w:rsidRPr="005846B9">
              <w:rPr>
                <w:sz w:val="18"/>
                <w:szCs w:val="20"/>
              </w:rPr>
              <w:br/>
              <w:t>o pierścień zgniłego biel</w:t>
            </w:r>
            <w:r w:rsidR="00611592">
              <w:rPr>
                <w:sz w:val="18"/>
                <w:szCs w:val="20"/>
              </w:rPr>
              <w:t>u – w</w:t>
            </w:r>
            <w:r w:rsidRPr="005846B9">
              <w:rPr>
                <w:sz w:val="18"/>
                <w:szCs w:val="20"/>
              </w:rPr>
              <w:t>ówczas zgniliznę występującą w bielu pomija się podczas określania rozmiaru wady</w:t>
            </w:r>
            <w:r>
              <w:rPr>
                <w:sz w:val="18"/>
                <w:szCs w:val="20"/>
              </w:rPr>
              <w:t>.</w:t>
            </w:r>
          </w:p>
        </w:tc>
      </w:tr>
    </w:tbl>
    <w:p w:rsidR="00672287" w:rsidRPr="00EB6C7F" w:rsidRDefault="00672287" w:rsidP="00672287">
      <w:pPr>
        <w:rPr>
          <w:b/>
          <w:sz w:val="22"/>
        </w:rPr>
      </w:pPr>
      <w:r w:rsidRPr="00EB6C7F">
        <w:rPr>
          <w:b/>
          <w:sz w:val="22"/>
        </w:rPr>
        <w:t>Tablic</w:t>
      </w:r>
      <w:r w:rsidR="00611592">
        <w:rPr>
          <w:b/>
          <w:sz w:val="22"/>
        </w:rPr>
        <w:t>a – D</w:t>
      </w:r>
      <w:r w:rsidRPr="00EB6C7F">
        <w:rPr>
          <w:b/>
          <w:sz w:val="22"/>
        </w:rPr>
        <w:t xml:space="preserve">rewno wielkowymiarowe liściaste </w:t>
      </w:r>
      <w:r>
        <w:rPr>
          <w:b/>
          <w:sz w:val="22"/>
        </w:rPr>
        <w:t>o obniżonej jakości (</w:t>
      </w:r>
      <w:r w:rsidRPr="00EB6C7F">
        <w:rPr>
          <w:b/>
          <w:sz w:val="22"/>
        </w:rPr>
        <w:t>pozaklasowe</w:t>
      </w:r>
      <w:r>
        <w:rPr>
          <w:b/>
          <w:sz w:val="22"/>
        </w:rPr>
        <w:t>)</w:t>
      </w:r>
      <w:r w:rsidRPr="00EB6C7F">
        <w:rPr>
          <w:b/>
          <w:sz w:val="22"/>
        </w:rPr>
        <w:t xml:space="preserve">. Wymagania jakościowo-wymiarowe </w:t>
      </w:r>
    </w:p>
    <w:sectPr w:rsidR="00672287" w:rsidRPr="00EB6C7F" w:rsidSect="004E2AC5"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EA8" w:rsidRDefault="00FF0EA8" w:rsidP="00937F36">
      <w:pPr>
        <w:spacing w:after="0" w:line="240" w:lineRule="auto"/>
      </w:pPr>
      <w:r>
        <w:separator/>
      </w:r>
    </w:p>
  </w:endnote>
  <w:endnote w:type="continuationSeparator" w:id="0">
    <w:p w:rsidR="00FF0EA8" w:rsidRDefault="00FF0EA8" w:rsidP="0093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EA8" w:rsidRDefault="00FF0EA8" w:rsidP="00937F36">
      <w:pPr>
        <w:spacing w:after="0" w:line="240" w:lineRule="auto"/>
      </w:pPr>
      <w:r>
        <w:separator/>
      </w:r>
    </w:p>
  </w:footnote>
  <w:footnote w:type="continuationSeparator" w:id="0">
    <w:p w:rsidR="00FF0EA8" w:rsidRDefault="00FF0EA8" w:rsidP="0093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A04D9"/>
    <w:multiLevelType w:val="hybridMultilevel"/>
    <w:tmpl w:val="46FCB140"/>
    <w:lvl w:ilvl="0" w:tplc="6BB8F05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93BB1"/>
    <w:multiLevelType w:val="hybridMultilevel"/>
    <w:tmpl w:val="E1D07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C2554"/>
    <w:multiLevelType w:val="hybridMultilevel"/>
    <w:tmpl w:val="672EE774"/>
    <w:lvl w:ilvl="0" w:tplc="197852C2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D58CA"/>
    <w:multiLevelType w:val="multilevel"/>
    <w:tmpl w:val="CECE743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645533D"/>
    <w:multiLevelType w:val="multilevel"/>
    <w:tmpl w:val="817E4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5D09675D"/>
    <w:multiLevelType w:val="hybridMultilevel"/>
    <w:tmpl w:val="9162DF0C"/>
    <w:lvl w:ilvl="0" w:tplc="56B4C29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E4419"/>
    <w:multiLevelType w:val="hybridMultilevel"/>
    <w:tmpl w:val="AA342CEE"/>
    <w:lvl w:ilvl="0" w:tplc="14E63C6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F3A56"/>
    <w:multiLevelType w:val="multilevel"/>
    <w:tmpl w:val="D37E0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5C4D"/>
        <w:sz w:val="3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="Times New Roman" w:hint="default"/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FFB"/>
    <w:rsid w:val="0002604B"/>
    <w:rsid w:val="000378D4"/>
    <w:rsid w:val="000652DC"/>
    <w:rsid w:val="00080612"/>
    <w:rsid w:val="000A546A"/>
    <w:rsid w:val="000B4855"/>
    <w:rsid w:val="000D1829"/>
    <w:rsid w:val="000D6938"/>
    <w:rsid w:val="001262FE"/>
    <w:rsid w:val="00141E2A"/>
    <w:rsid w:val="001601C4"/>
    <w:rsid w:val="001C1C77"/>
    <w:rsid w:val="001E0D44"/>
    <w:rsid w:val="0020226A"/>
    <w:rsid w:val="00203C1B"/>
    <w:rsid w:val="002050F5"/>
    <w:rsid w:val="00210307"/>
    <w:rsid w:val="002173C0"/>
    <w:rsid w:val="00232292"/>
    <w:rsid w:val="002765CE"/>
    <w:rsid w:val="00297E7B"/>
    <w:rsid w:val="002C77DB"/>
    <w:rsid w:val="002D624F"/>
    <w:rsid w:val="002F0B40"/>
    <w:rsid w:val="003364B3"/>
    <w:rsid w:val="003428A6"/>
    <w:rsid w:val="003430EB"/>
    <w:rsid w:val="003556C0"/>
    <w:rsid w:val="003921FF"/>
    <w:rsid w:val="00396A56"/>
    <w:rsid w:val="003D234C"/>
    <w:rsid w:val="0040298F"/>
    <w:rsid w:val="0043375F"/>
    <w:rsid w:val="00440E67"/>
    <w:rsid w:val="00441822"/>
    <w:rsid w:val="0046040B"/>
    <w:rsid w:val="00472815"/>
    <w:rsid w:val="0048570A"/>
    <w:rsid w:val="004B637C"/>
    <w:rsid w:val="004C6D5E"/>
    <w:rsid w:val="004D35CB"/>
    <w:rsid w:val="004E2AC5"/>
    <w:rsid w:val="004E343D"/>
    <w:rsid w:val="004F2376"/>
    <w:rsid w:val="004F7ED5"/>
    <w:rsid w:val="005203F2"/>
    <w:rsid w:val="005427EA"/>
    <w:rsid w:val="0057141E"/>
    <w:rsid w:val="00571D3D"/>
    <w:rsid w:val="005A3E36"/>
    <w:rsid w:val="005E0472"/>
    <w:rsid w:val="006065E9"/>
    <w:rsid w:val="0060750B"/>
    <w:rsid w:val="00611592"/>
    <w:rsid w:val="00627261"/>
    <w:rsid w:val="00645C47"/>
    <w:rsid w:val="0066601E"/>
    <w:rsid w:val="00672287"/>
    <w:rsid w:val="006A06A2"/>
    <w:rsid w:val="006A1F67"/>
    <w:rsid w:val="006B79DC"/>
    <w:rsid w:val="006C7B8C"/>
    <w:rsid w:val="006D042A"/>
    <w:rsid w:val="006D3B67"/>
    <w:rsid w:val="006E7131"/>
    <w:rsid w:val="0070107F"/>
    <w:rsid w:val="00755A5A"/>
    <w:rsid w:val="0080522A"/>
    <w:rsid w:val="00810566"/>
    <w:rsid w:val="008551C6"/>
    <w:rsid w:val="00872907"/>
    <w:rsid w:val="008729B8"/>
    <w:rsid w:val="008750DA"/>
    <w:rsid w:val="00875F93"/>
    <w:rsid w:val="008B2FBA"/>
    <w:rsid w:val="008F5D1D"/>
    <w:rsid w:val="008F5F9B"/>
    <w:rsid w:val="00926DBC"/>
    <w:rsid w:val="0092741B"/>
    <w:rsid w:val="00936137"/>
    <w:rsid w:val="00937F36"/>
    <w:rsid w:val="0095660C"/>
    <w:rsid w:val="0097072B"/>
    <w:rsid w:val="00975D12"/>
    <w:rsid w:val="00981645"/>
    <w:rsid w:val="00996AF3"/>
    <w:rsid w:val="0099779F"/>
    <w:rsid w:val="009A2F99"/>
    <w:rsid w:val="009C61ED"/>
    <w:rsid w:val="00A314B4"/>
    <w:rsid w:val="00A31E50"/>
    <w:rsid w:val="00A80353"/>
    <w:rsid w:val="00A963B0"/>
    <w:rsid w:val="00AC56F8"/>
    <w:rsid w:val="00B0079C"/>
    <w:rsid w:val="00B10080"/>
    <w:rsid w:val="00B15FE6"/>
    <w:rsid w:val="00B20FBE"/>
    <w:rsid w:val="00B32D04"/>
    <w:rsid w:val="00B767AF"/>
    <w:rsid w:val="00BA395D"/>
    <w:rsid w:val="00BB155C"/>
    <w:rsid w:val="00BB2349"/>
    <w:rsid w:val="00BC0816"/>
    <w:rsid w:val="00BC222E"/>
    <w:rsid w:val="00BD3117"/>
    <w:rsid w:val="00BD77C3"/>
    <w:rsid w:val="00BF3612"/>
    <w:rsid w:val="00C048E6"/>
    <w:rsid w:val="00C05364"/>
    <w:rsid w:val="00C05FF8"/>
    <w:rsid w:val="00C17BB2"/>
    <w:rsid w:val="00C27641"/>
    <w:rsid w:val="00C63EB7"/>
    <w:rsid w:val="00C74857"/>
    <w:rsid w:val="00C975F4"/>
    <w:rsid w:val="00CA6EAD"/>
    <w:rsid w:val="00CB265A"/>
    <w:rsid w:val="00CB6C95"/>
    <w:rsid w:val="00CD1E41"/>
    <w:rsid w:val="00CE08F9"/>
    <w:rsid w:val="00CF6ABE"/>
    <w:rsid w:val="00D106BF"/>
    <w:rsid w:val="00D14EBC"/>
    <w:rsid w:val="00D32966"/>
    <w:rsid w:val="00D66D5B"/>
    <w:rsid w:val="00D72AA3"/>
    <w:rsid w:val="00D74398"/>
    <w:rsid w:val="00D93B1C"/>
    <w:rsid w:val="00DB3E7E"/>
    <w:rsid w:val="00DE7C62"/>
    <w:rsid w:val="00E043B5"/>
    <w:rsid w:val="00E16E6E"/>
    <w:rsid w:val="00E2651D"/>
    <w:rsid w:val="00E62897"/>
    <w:rsid w:val="00E86FDC"/>
    <w:rsid w:val="00EA667B"/>
    <w:rsid w:val="00ED491D"/>
    <w:rsid w:val="00EE68EF"/>
    <w:rsid w:val="00F04625"/>
    <w:rsid w:val="00F070FA"/>
    <w:rsid w:val="00F10DA2"/>
    <w:rsid w:val="00F16314"/>
    <w:rsid w:val="00F30791"/>
    <w:rsid w:val="00F434D6"/>
    <w:rsid w:val="00F45C4C"/>
    <w:rsid w:val="00F526CA"/>
    <w:rsid w:val="00F64C51"/>
    <w:rsid w:val="00F7304C"/>
    <w:rsid w:val="00FA1EB7"/>
    <w:rsid w:val="00FF0EA8"/>
    <w:rsid w:val="00FF743E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EFECA-8703-46ED-93C9-A2FBFBB9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75F"/>
    <w:pPr>
      <w:spacing w:after="160" w:line="259" w:lineRule="auto"/>
      <w:jc w:val="left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375F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3375F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43375F"/>
    <w:rPr>
      <w:color w:val="0563C1" w:themeColor="hyperlink"/>
      <w:u w:val="single"/>
    </w:rPr>
  </w:style>
  <w:style w:type="paragraph" w:styleId="NormalnyWeb">
    <w:name w:val="Normal (Web)"/>
    <w:basedOn w:val="Normalny"/>
    <w:rsid w:val="0043375F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color w:val="000000"/>
      <w:sz w:val="22"/>
      <w:lang w:eastAsia="pl-PL"/>
    </w:rPr>
  </w:style>
  <w:style w:type="paragraph" w:styleId="Tekstpodstawowywcity">
    <w:name w:val="Body Text Indent"/>
    <w:basedOn w:val="Normalny"/>
    <w:link w:val="TekstpodstawowywcityZnak"/>
    <w:rsid w:val="0043375F"/>
    <w:pPr>
      <w:spacing w:after="0" w:line="240" w:lineRule="auto"/>
      <w:ind w:left="360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37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F3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F3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3D234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C47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C4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72287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2287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672287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D273E-D354-4531-8A31-1AC2A36C2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Majerowski</dc:creator>
  <cp:keywords/>
  <dc:description/>
  <cp:lastModifiedBy>Tomasz Majerowski</cp:lastModifiedBy>
  <cp:revision>22</cp:revision>
  <cp:lastPrinted>2019-09-30T11:27:00Z</cp:lastPrinted>
  <dcterms:created xsi:type="dcterms:W3CDTF">2019-09-18T07:05:00Z</dcterms:created>
  <dcterms:modified xsi:type="dcterms:W3CDTF">2019-09-30T12:29:00Z</dcterms:modified>
</cp:coreProperties>
</file>