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991311">
            <w:pPr>
              <w:rPr>
                <w:rFonts w:cs="Times New Roman"/>
                <w:b/>
                <w:sz w:val="21"/>
                <w:szCs w:val="21"/>
              </w:rPr>
            </w:pPr>
            <w:bookmarkStart w:id="0" w:name="_Hlk12607021"/>
            <w:r w:rsidRPr="00483ED3">
              <w:rPr>
                <w:rFonts w:cs="Times New Roman"/>
                <w:b/>
                <w:sz w:val="21"/>
                <w:szCs w:val="21"/>
              </w:rPr>
              <w:t>ZP/220/</w:t>
            </w:r>
            <w:r w:rsidR="00991311">
              <w:rPr>
                <w:rFonts w:cs="Times New Roman"/>
                <w:b/>
                <w:sz w:val="21"/>
                <w:szCs w:val="21"/>
              </w:rPr>
              <w:t>51</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123314" w:rsidRDefault="00991311" w:rsidP="00883CDE">
      <w:pPr>
        <w:spacing w:line="240" w:lineRule="auto"/>
        <w:ind w:right="284"/>
        <w:jc w:val="both"/>
        <w:rPr>
          <w:rFonts w:cs="Times New Roman"/>
          <w:i/>
          <w:sz w:val="20"/>
          <w:szCs w:val="20"/>
        </w:rPr>
      </w:pPr>
      <w:r w:rsidRPr="00B73534">
        <w:rPr>
          <w:i/>
        </w:rPr>
        <w:t xml:space="preserve">Dotyczy: postępowania o udzielenie zamówienia publicznego na </w:t>
      </w:r>
      <w:r w:rsidRPr="00B73534">
        <w:rPr>
          <w:bCs/>
          <w:i/>
        </w:rPr>
        <w:t>stworzenie oprogramowania komputerowego do obsługi Krajowego Rejestru Operacji Naczyniowych wraz z usługą rocznego serwisu i nadzoru autorskiego.</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p>
    <w:p w:rsidR="00340C62" w:rsidRPr="00483ED3" w:rsidRDefault="00340C62" w:rsidP="00483ED3">
      <w:pPr>
        <w:spacing w:line="240" w:lineRule="auto"/>
        <w:jc w:val="both"/>
        <w:rPr>
          <w:rFonts w:cs="Times New Roman"/>
          <w:sz w:val="21"/>
          <w:szCs w:val="21"/>
        </w:rPr>
      </w:pPr>
    </w:p>
    <w:p w:rsidR="00FF0107" w:rsidRPr="00FB470B" w:rsidRDefault="00883CDE" w:rsidP="00FB470B">
      <w:pPr>
        <w:spacing w:line="240" w:lineRule="auto"/>
        <w:jc w:val="both"/>
        <w:rPr>
          <w:rFonts w:cs="Times New Roman"/>
          <w:sz w:val="21"/>
          <w:szCs w:val="21"/>
        </w:rPr>
        <w:sectPr w:rsidR="00FF0107" w:rsidRPr="00FB470B"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B470B">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FB470B">
        <w:rPr>
          <w:rFonts w:cs="Times New Roman"/>
          <w:sz w:val="21"/>
          <w:szCs w:val="21"/>
        </w:rPr>
        <w:t xml:space="preserve">udziela następujących </w:t>
      </w:r>
      <w:r w:rsidR="007116F9" w:rsidRPr="00FB470B">
        <w:rPr>
          <w:rFonts w:cs="Times New Roman"/>
          <w:sz w:val="21"/>
          <w:szCs w:val="21"/>
        </w:rPr>
        <w:t>wyjaśnień:</w:t>
      </w:r>
    </w:p>
    <w:p w:rsidR="00483ED3" w:rsidRPr="00FB470B" w:rsidRDefault="00483ED3" w:rsidP="00FB470B">
      <w:pPr>
        <w:autoSpaceDE w:val="0"/>
        <w:spacing w:line="240" w:lineRule="auto"/>
        <w:jc w:val="both"/>
        <w:rPr>
          <w:rFonts w:cs="Times New Roman"/>
          <w:b/>
          <w:bCs/>
          <w:sz w:val="21"/>
          <w:szCs w:val="21"/>
        </w:rPr>
      </w:pPr>
      <w:bookmarkStart w:id="2" w:name="_Hlk12607031"/>
    </w:p>
    <w:p w:rsidR="00991311" w:rsidRPr="00B73534" w:rsidRDefault="00991311" w:rsidP="00991311">
      <w:pPr>
        <w:autoSpaceDE w:val="0"/>
        <w:spacing w:line="240" w:lineRule="auto"/>
        <w:jc w:val="both"/>
        <w:rPr>
          <w:sz w:val="21"/>
          <w:szCs w:val="21"/>
        </w:rPr>
      </w:pPr>
      <w:r w:rsidRPr="00B73534">
        <w:rPr>
          <w:b/>
          <w:bCs/>
          <w:sz w:val="21"/>
          <w:szCs w:val="21"/>
        </w:rPr>
        <w:t>Pytanie 1</w:t>
      </w:r>
    </w:p>
    <w:p w:rsidR="00991311" w:rsidRPr="00B73534" w:rsidRDefault="00991311" w:rsidP="00991311">
      <w:pPr>
        <w:autoSpaceDE w:val="0"/>
        <w:spacing w:line="240" w:lineRule="auto"/>
        <w:jc w:val="both"/>
        <w:rPr>
          <w:sz w:val="21"/>
          <w:szCs w:val="21"/>
        </w:rPr>
      </w:pPr>
      <w:r w:rsidRPr="00B73534">
        <w:rPr>
          <w:sz w:val="21"/>
          <w:szCs w:val="21"/>
        </w:rPr>
        <w:t>Czy zapis z pkt. IV Opis części technicznej systemu pkt: 25 OPZ. "System nie może wymagać płatnych licencji, np. Windows Server, Oracle DB" oznacza, że przedmiotem oferty nie może być system działający na platformie serwerowej Windows Server i bezpłatnej wersji serwera bazy danych Microsoft SQL Server?</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991311" w:rsidRPr="00991311" w:rsidRDefault="00991311" w:rsidP="00991311">
      <w:pPr>
        <w:autoSpaceDE w:val="0"/>
        <w:spacing w:line="240" w:lineRule="auto"/>
        <w:jc w:val="both"/>
        <w:rPr>
          <w:bCs/>
          <w:sz w:val="21"/>
          <w:szCs w:val="21"/>
        </w:rPr>
      </w:pPr>
      <w:r w:rsidRPr="00B73534">
        <w:rPr>
          <w:sz w:val="21"/>
          <w:szCs w:val="21"/>
        </w:rPr>
        <w:t>Zamawiający podtrzymuje zapis pkt 25. tzn., że przedmiot oferty nie może być działający na platformie serwerowej Windows Server.</w:t>
      </w:r>
    </w:p>
    <w:p w:rsidR="00991311" w:rsidRPr="00B73534" w:rsidRDefault="00991311" w:rsidP="00991311">
      <w:pPr>
        <w:autoSpaceDE w:val="0"/>
        <w:spacing w:line="240" w:lineRule="auto"/>
        <w:jc w:val="both"/>
        <w:rPr>
          <w:sz w:val="21"/>
          <w:szCs w:val="21"/>
        </w:rPr>
      </w:pPr>
      <w:r w:rsidRPr="00B73534">
        <w:rPr>
          <w:b/>
          <w:bCs/>
          <w:sz w:val="21"/>
          <w:szCs w:val="21"/>
        </w:rPr>
        <w:t>Pytanie 2</w:t>
      </w:r>
    </w:p>
    <w:p w:rsidR="00991311" w:rsidRPr="00B73534" w:rsidRDefault="00991311" w:rsidP="00991311">
      <w:pPr>
        <w:pStyle w:val="Default"/>
        <w:jc w:val="both"/>
        <w:rPr>
          <w:rFonts w:asciiTheme="minorHAnsi" w:hAnsiTheme="minorHAnsi"/>
          <w:sz w:val="21"/>
          <w:szCs w:val="21"/>
        </w:rPr>
      </w:pPr>
      <w:r w:rsidRPr="00B73534">
        <w:rPr>
          <w:rFonts w:asciiTheme="minorHAnsi" w:hAnsiTheme="minorHAnsi"/>
          <w:sz w:val="21"/>
          <w:szCs w:val="21"/>
          <w:lang w:eastAsia="pl-PL"/>
        </w:rPr>
        <w:t>Czy zamawiający dopuszcza żeby zgłoszenia awarii odbywały się wyłącznie przez system do zgłoszeń przy zachowaniu czasów reakcji określonych w SIWZ?</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991311" w:rsidRPr="00B73534" w:rsidRDefault="00991311" w:rsidP="00991311">
      <w:pPr>
        <w:spacing w:line="240" w:lineRule="auto"/>
        <w:jc w:val="both"/>
        <w:rPr>
          <w:sz w:val="21"/>
          <w:szCs w:val="21"/>
        </w:rPr>
      </w:pPr>
      <w:r w:rsidRPr="00B73534">
        <w:rPr>
          <w:rFonts w:eastAsia="Times New Roman" w:cs="Times New Roman"/>
          <w:sz w:val="21"/>
          <w:szCs w:val="21"/>
          <w:lang w:eastAsia="pl-PL"/>
        </w:rPr>
        <w:t>Zamawiający wymaga aby użytkownicy systemu mieli kontakt telefoniczny z obsługą serwisową.</w:t>
      </w:r>
    </w:p>
    <w:p w:rsidR="00991311" w:rsidRPr="00B73534" w:rsidRDefault="00991311" w:rsidP="00991311">
      <w:pPr>
        <w:autoSpaceDE w:val="0"/>
        <w:spacing w:line="240" w:lineRule="auto"/>
        <w:jc w:val="both"/>
        <w:rPr>
          <w:sz w:val="21"/>
          <w:szCs w:val="21"/>
        </w:rPr>
      </w:pPr>
      <w:r w:rsidRPr="00B73534">
        <w:rPr>
          <w:b/>
          <w:bCs/>
          <w:sz w:val="21"/>
          <w:szCs w:val="21"/>
        </w:rPr>
        <w:t>Pytanie 3</w:t>
      </w:r>
    </w:p>
    <w:p w:rsidR="00991311" w:rsidRPr="00B73534" w:rsidRDefault="00991311" w:rsidP="00991311">
      <w:pPr>
        <w:autoSpaceDE w:val="0"/>
        <w:autoSpaceDN w:val="0"/>
        <w:adjustRightInd w:val="0"/>
        <w:spacing w:line="240" w:lineRule="auto"/>
        <w:jc w:val="both"/>
        <w:rPr>
          <w:b/>
          <w:bCs/>
          <w:sz w:val="21"/>
          <w:szCs w:val="21"/>
        </w:rPr>
      </w:pPr>
      <w:r w:rsidRPr="00B73534">
        <w:rPr>
          <w:b/>
          <w:bCs/>
          <w:sz w:val="21"/>
          <w:szCs w:val="21"/>
        </w:rPr>
        <w:t xml:space="preserve">W ROZDZIALE I Dział VII pkt. 1 ppkt. </w:t>
      </w:r>
      <w:r w:rsidRPr="00B73534">
        <w:rPr>
          <w:sz w:val="21"/>
          <w:szCs w:val="21"/>
        </w:rPr>
        <w:t>1.3</w:t>
      </w:r>
      <w:r w:rsidRPr="00B73534">
        <w:rPr>
          <w:b/>
          <w:bCs/>
          <w:sz w:val="21"/>
          <w:szCs w:val="21"/>
        </w:rPr>
        <w:t xml:space="preserve"> Zamawiający zawarł zapis:</w:t>
      </w:r>
    </w:p>
    <w:p w:rsidR="00991311" w:rsidRPr="00B73534" w:rsidRDefault="00991311" w:rsidP="00991311">
      <w:pPr>
        <w:tabs>
          <w:tab w:val="left" w:pos="1800"/>
        </w:tabs>
        <w:autoSpaceDE w:val="0"/>
        <w:autoSpaceDN w:val="0"/>
        <w:adjustRightInd w:val="0"/>
        <w:spacing w:line="240" w:lineRule="auto"/>
        <w:jc w:val="both"/>
        <w:rPr>
          <w:b/>
          <w:bCs/>
          <w:sz w:val="21"/>
          <w:szCs w:val="21"/>
        </w:rPr>
      </w:pPr>
      <w:r w:rsidRPr="00B73534">
        <w:rPr>
          <w:b/>
          <w:bCs/>
          <w:sz w:val="21"/>
          <w:szCs w:val="21"/>
        </w:rPr>
        <w:t>„1.3.2.</w:t>
      </w:r>
      <w:r w:rsidRPr="00B73534">
        <w:rPr>
          <w:sz w:val="21"/>
          <w:szCs w:val="21"/>
        </w:rPr>
        <w:t xml:space="preserve"> </w:t>
      </w:r>
      <w:r w:rsidRPr="00B73534">
        <w:rPr>
          <w:b/>
          <w:bCs/>
          <w:sz w:val="21"/>
          <w:szCs w:val="21"/>
        </w:rPr>
        <w:t xml:space="preserve">dysponują lub będą dysponowali potencjałem technicznym </w:t>
      </w:r>
      <w:r w:rsidRPr="00B73534">
        <w:rPr>
          <w:sz w:val="21"/>
          <w:szCs w:val="21"/>
        </w:rPr>
        <w:t>w postaci osób (wyznaczonych imiennie do realizacji zamówienia), legitymujących się co najmniej kwalifikacjami zawodowymi i doświadczeniem odpowiednim do stanowisk, jakie zostaną im powierzone,</w:t>
      </w:r>
      <w:r w:rsidRPr="00B73534">
        <w:rPr>
          <w:b/>
          <w:bCs/>
          <w:sz w:val="21"/>
          <w:szCs w:val="21"/>
        </w:rPr>
        <w:t xml:space="preserve"> </w:t>
      </w:r>
      <w:r w:rsidRPr="00B73534">
        <w:rPr>
          <w:sz w:val="21"/>
          <w:szCs w:val="21"/>
        </w:rPr>
        <w:t xml:space="preserve">tj. dysponują lub będą dysponowali co najmniej jedną osobą pełniącą </w:t>
      </w:r>
      <w:r w:rsidRPr="00B73534">
        <w:rPr>
          <w:b/>
          <w:bCs/>
          <w:sz w:val="21"/>
          <w:szCs w:val="21"/>
        </w:rPr>
        <w:t>funkcję specjalisty w dziedzinie Chirurgii Naczyniowej jako konsultanta przy wykonywaniu rejestru.”</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sz w:val="21"/>
          <w:szCs w:val="21"/>
        </w:rPr>
        <w:t>Czy Zamawiający dopuszcza zmianę przywołanej treści poprzez nadanie jej brzmienia:</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b/>
          <w:bCs/>
          <w:sz w:val="21"/>
          <w:szCs w:val="21"/>
        </w:rPr>
        <w:t>„1.3.2.</w:t>
      </w:r>
      <w:r w:rsidRPr="00B73534">
        <w:rPr>
          <w:sz w:val="21"/>
          <w:szCs w:val="21"/>
        </w:rPr>
        <w:t xml:space="preserve"> </w:t>
      </w:r>
      <w:r w:rsidRPr="00B73534">
        <w:rPr>
          <w:b/>
          <w:bCs/>
          <w:sz w:val="21"/>
          <w:szCs w:val="21"/>
        </w:rPr>
        <w:t xml:space="preserve">dysponują lub będą dysponowali potencjałem technicznym </w:t>
      </w:r>
      <w:r w:rsidRPr="00B73534">
        <w:rPr>
          <w:sz w:val="21"/>
          <w:szCs w:val="21"/>
        </w:rPr>
        <w:t>w postaci osób (wyznaczonych imiennie do realizacji zamówienia), legitymujących się co najmniej kwalifikacjami zawodowymi i doświadczeniem odpowiednim do stanowisk, jakie zostaną im powierzone w kontekście wykonania przedmiotu zamówienia, przy jednoczesnym udziale Zamawiającego, pełniącego rolę konsultanta merytorycznego w kontekście Przedmiotu Zamówienia.”</w:t>
      </w:r>
    </w:p>
    <w:p w:rsidR="00991311" w:rsidRPr="00B73534" w:rsidRDefault="00991311" w:rsidP="00991311">
      <w:pPr>
        <w:tabs>
          <w:tab w:val="left" w:pos="1800"/>
        </w:tabs>
        <w:autoSpaceDE w:val="0"/>
        <w:autoSpaceDN w:val="0"/>
        <w:adjustRightInd w:val="0"/>
        <w:spacing w:line="240" w:lineRule="auto"/>
        <w:jc w:val="both"/>
        <w:rPr>
          <w:sz w:val="21"/>
          <w:szCs w:val="21"/>
        </w:rPr>
      </w:pPr>
    </w:p>
    <w:p w:rsidR="00991311" w:rsidRPr="00B73534" w:rsidRDefault="00991311" w:rsidP="00991311">
      <w:pPr>
        <w:spacing w:line="240" w:lineRule="auto"/>
        <w:jc w:val="both"/>
        <w:rPr>
          <w:b/>
          <w:color w:val="000000"/>
          <w:sz w:val="21"/>
          <w:szCs w:val="21"/>
        </w:rPr>
      </w:pPr>
      <w:r w:rsidRPr="00B73534">
        <w:rPr>
          <w:sz w:val="21"/>
          <w:szCs w:val="21"/>
        </w:rPr>
        <w:t xml:space="preserve">Zdaniem Wykonawcy udział merytoryczny Zamawiającego jest wymagany do realizacji Przedmiotu zamówienia ze względu na jego dziedzinowość. Wykonawca tym samym wskazuje zapisy świadczące o tym z: Załącznik numer 1 do SIWZ II. </w:t>
      </w:r>
      <w:r w:rsidRPr="00B73534">
        <w:rPr>
          <w:b/>
          <w:color w:val="000000"/>
          <w:sz w:val="21"/>
          <w:szCs w:val="21"/>
        </w:rPr>
        <w:t>Część funkcjonalna opisu systemu:</w:t>
      </w:r>
    </w:p>
    <w:tbl>
      <w:tblPr>
        <w:tblStyle w:val="Tabela-Siatka"/>
        <w:tblW w:w="9322" w:type="dxa"/>
        <w:tblLayout w:type="fixed"/>
        <w:tblLook w:val="04A0" w:firstRow="1" w:lastRow="0" w:firstColumn="1" w:lastColumn="0" w:noHBand="0" w:noVBand="1"/>
      </w:tblPr>
      <w:tblGrid>
        <w:gridCol w:w="534"/>
        <w:gridCol w:w="1984"/>
        <w:gridCol w:w="6804"/>
      </w:tblGrid>
      <w:tr w:rsidR="00991311" w:rsidRPr="00B73534" w:rsidTr="00EF5228">
        <w:tc>
          <w:tcPr>
            <w:tcW w:w="534" w:type="dxa"/>
            <w:tcBorders>
              <w:top w:val="single" w:sz="4" w:space="0" w:color="auto"/>
              <w:left w:val="single" w:sz="4" w:space="0" w:color="auto"/>
              <w:bottom w:val="single" w:sz="4" w:space="0" w:color="auto"/>
              <w:right w:val="single" w:sz="4" w:space="0" w:color="auto"/>
            </w:tcBorders>
            <w:hideMark/>
          </w:tcPr>
          <w:p w:rsidR="00991311" w:rsidRPr="00B73534" w:rsidRDefault="00991311" w:rsidP="00EF5228">
            <w:pPr>
              <w:jc w:val="both"/>
              <w:rPr>
                <w:sz w:val="21"/>
                <w:szCs w:val="21"/>
              </w:rPr>
            </w:pPr>
            <w:r w:rsidRPr="00B73534">
              <w:rPr>
                <w:sz w:val="21"/>
                <w:szCs w:val="21"/>
              </w:rPr>
              <w:t>18</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Rozpoznanie</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rozpoznania pacjenta.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19</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Skale kliniczne</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Formularz dotyczący skali klinicznych</w:t>
            </w:r>
          </w:p>
          <w:p w:rsidR="00991311" w:rsidRPr="00B73534" w:rsidRDefault="00991311" w:rsidP="00EF5228">
            <w:pPr>
              <w:pStyle w:val="Teksttreci0"/>
              <w:shd w:val="clear" w:color="auto" w:fill="auto"/>
              <w:spacing w:line="240" w:lineRule="auto"/>
              <w:ind w:firstLine="0"/>
              <w:jc w:val="both"/>
              <w:rPr>
                <w:rFonts w:asciiTheme="minorHAnsi" w:hAnsiTheme="minorHAnsi" w:cs="Times New Roman"/>
                <w:u w:val="single"/>
              </w:rPr>
            </w:pPr>
            <w:r w:rsidRPr="00B73534">
              <w:rPr>
                <w:rStyle w:val="TeksttreciCalibri"/>
                <w:rFonts w:asciiTheme="minorHAnsi" w:hAnsiTheme="minorHAnsi" w:cs="Times New Roman"/>
                <w:sz w:val="21"/>
                <w:szCs w:val="21"/>
                <w:u w:val="single"/>
              </w:rPr>
              <w:t>Formularz będzie doprecyzowany podczas analizy</w:t>
            </w:r>
          </w:p>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u w:val="single"/>
              </w:rPr>
              <w:t>przedwdrożeniowej</w:t>
            </w:r>
            <w:r w:rsidRPr="00B73534">
              <w:rPr>
                <w:rStyle w:val="TeksttreciCalibri"/>
                <w:rFonts w:asciiTheme="minorHAnsi" w:hAnsiTheme="minorHAnsi" w:cs="Times New Roman"/>
                <w:sz w:val="21"/>
                <w:szCs w:val="21"/>
              </w:rPr>
              <w:t>.</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20</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Czynniki ryzyka</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czynników ryzyka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21</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Przewidywane ryzyko</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przewidywanego ryzyka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22</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w:t>
            </w:r>
          </w:p>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Leczenie</w:t>
            </w:r>
          </w:p>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endowaskularne</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u w:val="single"/>
              </w:rPr>
            </w:pPr>
            <w:r w:rsidRPr="00B73534">
              <w:rPr>
                <w:rStyle w:val="TeksttreciCalibri"/>
                <w:rFonts w:asciiTheme="minorHAnsi" w:hAnsiTheme="minorHAnsi" w:cs="Times New Roman"/>
                <w:sz w:val="21"/>
                <w:szCs w:val="21"/>
                <w:u w:val="single"/>
              </w:rPr>
              <w:t>Formularz dotyczący leczenia endowaskularnego 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23</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Leczenie operacyjne</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leczenia operacyjnego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24</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Leczenie</w:t>
            </w:r>
          </w:p>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zachowawcze/inne</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leczenia zachowawczego/innego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25</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Leczenie ambulatoryjne</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leczenia ambulatoryjnego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26</w:t>
            </w:r>
          </w:p>
        </w:tc>
        <w:tc>
          <w:tcPr>
            <w:tcW w:w="198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Wynik wczesny</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wyniku wczesnego </w:t>
            </w:r>
            <w:r w:rsidRPr="00B73534">
              <w:rPr>
                <w:rStyle w:val="TeksttreciCalibri"/>
                <w:rFonts w:asciiTheme="minorHAnsi" w:hAnsiTheme="minorHAnsi" w:cs="Times New Roman"/>
                <w:sz w:val="21"/>
                <w:szCs w:val="21"/>
                <w:u w:val="single"/>
              </w:rPr>
              <w:t>Formularz będzie doprecyzowany podczas analizy przedwdrożeniowej.</w:t>
            </w:r>
          </w:p>
        </w:tc>
      </w:tr>
      <w:tr w:rsidR="00991311" w:rsidRPr="00B73534" w:rsidTr="00EF5228">
        <w:tc>
          <w:tcPr>
            <w:tcW w:w="534" w:type="dxa"/>
            <w:hideMark/>
          </w:tcPr>
          <w:p w:rsidR="00991311" w:rsidRPr="00B73534" w:rsidRDefault="00991311" w:rsidP="00EF5228">
            <w:pPr>
              <w:jc w:val="both"/>
              <w:rPr>
                <w:sz w:val="21"/>
                <w:szCs w:val="21"/>
              </w:rPr>
            </w:pPr>
            <w:r w:rsidRPr="00B73534">
              <w:rPr>
                <w:sz w:val="21"/>
                <w:szCs w:val="21"/>
              </w:rPr>
              <w:t>27</w:t>
            </w:r>
          </w:p>
        </w:tc>
        <w:tc>
          <w:tcPr>
            <w:tcW w:w="1984" w:type="dxa"/>
            <w:hideMark/>
          </w:tcPr>
          <w:p w:rsidR="00991311" w:rsidRPr="00B73534" w:rsidRDefault="00991311" w:rsidP="00EF5228">
            <w:pPr>
              <w:pStyle w:val="Teksttreci0"/>
              <w:shd w:val="clear" w:color="auto" w:fill="auto"/>
              <w:spacing w:after="120"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Hospitalizacja - Follow-</w:t>
            </w:r>
          </w:p>
          <w:p w:rsidR="00991311" w:rsidRPr="00B73534" w:rsidRDefault="00991311" w:rsidP="00EF5228">
            <w:pPr>
              <w:pStyle w:val="Teksttreci0"/>
              <w:shd w:val="clear" w:color="auto" w:fill="auto"/>
              <w:spacing w:before="120"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up</w:t>
            </w:r>
          </w:p>
        </w:tc>
        <w:tc>
          <w:tcPr>
            <w:tcW w:w="6804" w:type="dxa"/>
            <w:hideMark/>
          </w:tcPr>
          <w:p w:rsidR="00991311" w:rsidRPr="00B73534" w:rsidRDefault="00991311" w:rsidP="00EF5228">
            <w:pPr>
              <w:pStyle w:val="Teksttreci0"/>
              <w:shd w:val="clear" w:color="auto" w:fill="auto"/>
              <w:spacing w:line="240" w:lineRule="auto"/>
              <w:ind w:firstLine="0"/>
              <w:jc w:val="both"/>
              <w:rPr>
                <w:rFonts w:asciiTheme="minorHAnsi" w:hAnsiTheme="minorHAnsi" w:cs="Times New Roman"/>
              </w:rPr>
            </w:pPr>
            <w:r w:rsidRPr="00B73534">
              <w:rPr>
                <w:rStyle w:val="TeksttreciCalibri"/>
                <w:rFonts w:asciiTheme="minorHAnsi" w:hAnsiTheme="minorHAnsi" w:cs="Times New Roman"/>
                <w:sz w:val="21"/>
                <w:szCs w:val="21"/>
              </w:rPr>
              <w:t xml:space="preserve">Formularz dotyczący wyników kontroli pacjenta </w:t>
            </w:r>
            <w:r w:rsidRPr="00B73534">
              <w:rPr>
                <w:rStyle w:val="TeksttreciCalibri"/>
                <w:rFonts w:asciiTheme="minorHAnsi" w:hAnsiTheme="minorHAnsi" w:cs="Times New Roman"/>
                <w:sz w:val="21"/>
                <w:szCs w:val="21"/>
                <w:u w:val="single"/>
              </w:rPr>
              <w:t>Formularz będzie doprecyzowany podczas analizy przedwdrożeniowej.</w:t>
            </w:r>
          </w:p>
        </w:tc>
      </w:tr>
    </w:tbl>
    <w:p w:rsidR="00991311" w:rsidRPr="00B73534" w:rsidRDefault="00991311" w:rsidP="00991311">
      <w:pPr>
        <w:autoSpaceDE w:val="0"/>
        <w:spacing w:line="240" w:lineRule="auto"/>
        <w:jc w:val="both"/>
        <w:rPr>
          <w:sz w:val="21"/>
          <w:szCs w:val="21"/>
        </w:rPr>
      </w:pPr>
      <w:r w:rsidRPr="00B73534">
        <w:rPr>
          <w:sz w:val="21"/>
          <w:szCs w:val="21"/>
        </w:rPr>
        <w:t xml:space="preserve"> W których Zamawiający wskazuje wykaz prac, które będą doprecyzowane podczas analizy przedwdrożeniowej.  Pozwala to sądzić Wykonawcy, że Zamawiający samodzielnie mógłby pełnić </w:t>
      </w:r>
      <w:r w:rsidRPr="00B73534">
        <w:rPr>
          <w:b/>
          <w:bCs/>
          <w:sz w:val="21"/>
          <w:szCs w:val="21"/>
        </w:rPr>
        <w:t xml:space="preserve">funkcję specjalisty w dziedzinie Chirurgii Naczyniowej jako konsultanta przy wykonywaniu rejestru </w:t>
      </w:r>
      <w:r w:rsidRPr="00B73534">
        <w:rPr>
          <w:sz w:val="21"/>
          <w:szCs w:val="21"/>
        </w:rPr>
        <w:t>co niewątpliwie przyczyniłoby się do wytworzenia oprogramowania zgodnie z oczekiwaniami Zamawiającego.</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991311" w:rsidRPr="00991311" w:rsidRDefault="00991311" w:rsidP="00991311">
      <w:pPr>
        <w:autoSpaceDE w:val="0"/>
        <w:spacing w:line="240" w:lineRule="auto"/>
        <w:jc w:val="both"/>
        <w:rPr>
          <w:bCs/>
          <w:sz w:val="21"/>
          <w:szCs w:val="21"/>
        </w:rPr>
      </w:pPr>
      <w:r w:rsidRPr="00B73534">
        <w:rPr>
          <w:sz w:val="21"/>
          <w:szCs w:val="21"/>
        </w:rPr>
        <w:t>Nie zgodnie z SIWZ.</w:t>
      </w:r>
      <w:r w:rsidRPr="00B73534">
        <w:rPr>
          <w:b/>
          <w:bCs/>
          <w:color w:val="FF0000"/>
          <w:sz w:val="21"/>
          <w:szCs w:val="21"/>
        </w:rPr>
        <w:t xml:space="preserve"> </w:t>
      </w:r>
      <w:r w:rsidRPr="00B73534">
        <w:rPr>
          <w:bCs/>
          <w:sz w:val="21"/>
          <w:szCs w:val="21"/>
        </w:rPr>
        <w:t>Zamawiający nie ogranicza Wykonawcy co do wyboru konsultanta wliczając w to personelu jednostki Zamawiającego. Zamawiający nie będzie pośredniczył w ewentualnych umowach czy też wynagrodzeniach z tytułu konsultacji czy innych umów z tytułu podwykonawstwa.</w:t>
      </w:r>
    </w:p>
    <w:p w:rsidR="00991311" w:rsidRPr="00B73534" w:rsidRDefault="00991311" w:rsidP="00991311">
      <w:pPr>
        <w:autoSpaceDE w:val="0"/>
        <w:spacing w:line="240" w:lineRule="auto"/>
        <w:jc w:val="both"/>
        <w:rPr>
          <w:sz w:val="21"/>
          <w:szCs w:val="21"/>
        </w:rPr>
      </w:pPr>
      <w:r w:rsidRPr="00B73534">
        <w:rPr>
          <w:b/>
          <w:bCs/>
          <w:sz w:val="21"/>
          <w:szCs w:val="21"/>
        </w:rPr>
        <w:t>Pytanie 4</w:t>
      </w:r>
    </w:p>
    <w:p w:rsidR="00991311" w:rsidRPr="00B73534" w:rsidRDefault="00991311" w:rsidP="00991311">
      <w:pPr>
        <w:pStyle w:val="Default"/>
        <w:jc w:val="both"/>
        <w:rPr>
          <w:rFonts w:asciiTheme="minorHAnsi" w:hAnsiTheme="minorHAnsi"/>
          <w:sz w:val="21"/>
          <w:szCs w:val="21"/>
        </w:rPr>
      </w:pPr>
      <w:r w:rsidRPr="00B73534">
        <w:rPr>
          <w:rFonts w:asciiTheme="minorHAnsi" w:hAnsiTheme="minorHAnsi"/>
          <w:sz w:val="21"/>
          <w:szCs w:val="21"/>
        </w:rPr>
        <w:t xml:space="preserve">Jeżeli w Pytaniu numer 3 Zamawiający zaakceptował propozycję Wykonawcy, Wykonawca prosi o udzielenie odpowiedzi na poniższe pytanie. </w:t>
      </w:r>
    </w:p>
    <w:p w:rsidR="00991311" w:rsidRPr="00B73534" w:rsidRDefault="00991311" w:rsidP="00991311">
      <w:pPr>
        <w:autoSpaceDE w:val="0"/>
        <w:autoSpaceDN w:val="0"/>
        <w:adjustRightInd w:val="0"/>
        <w:spacing w:line="240" w:lineRule="auto"/>
        <w:jc w:val="both"/>
        <w:rPr>
          <w:b/>
          <w:bCs/>
          <w:sz w:val="21"/>
          <w:szCs w:val="21"/>
        </w:rPr>
      </w:pPr>
      <w:r w:rsidRPr="00B73534">
        <w:rPr>
          <w:b/>
          <w:bCs/>
          <w:sz w:val="21"/>
          <w:szCs w:val="21"/>
        </w:rPr>
        <w:t xml:space="preserve">W ROZDZIALE I Dział VII pkt. 1 ppkt. </w:t>
      </w:r>
      <w:r w:rsidRPr="00B73534">
        <w:rPr>
          <w:sz w:val="21"/>
          <w:szCs w:val="21"/>
        </w:rPr>
        <w:t>1.3</w:t>
      </w:r>
      <w:r w:rsidRPr="00B73534">
        <w:rPr>
          <w:b/>
          <w:bCs/>
          <w:sz w:val="21"/>
          <w:szCs w:val="21"/>
        </w:rPr>
        <w:t xml:space="preserve"> Zamawiający zawarł zapis:</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b/>
          <w:bCs/>
          <w:sz w:val="21"/>
          <w:szCs w:val="21"/>
        </w:rPr>
        <w:t>„1.3.1. posiadają doświadczenie w realizacji usługi</w:t>
      </w:r>
      <w:r w:rsidRPr="00B73534">
        <w:rPr>
          <w:sz w:val="21"/>
          <w:szCs w:val="21"/>
        </w:rPr>
        <w:t>, tj. co najmniej jednego zamówienia podobnego polegającego na wykonaniu co najmniej jednego rejestru/oprogramowania komputerowego o podobnym charakterze w okresie ostatnich 36 miesiącach;”</w:t>
      </w:r>
    </w:p>
    <w:p w:rsidR="00991311" w:rsidRPr="00B73534" w:rsidRDefault="00991311" w:rsidP="00991311">
      <w:pPr>
        <w:pStyle w:val="Default"/>
        <w:jc w:val="both"/>
        <w:rPr>
          <w:rFonts w:asciiTheme="minorHAnsi" w:hAnsiTheme="minorHAnsi"/>
          <w:sz w:val="21"/>
          <w:szCs w:val="21"/>
        </w:rPr>
      </w:pPr>
      <w:r w:rsidRPr="00B73534">
        <w:rPr>
          <w:rFonts w:asciiTheme="minorHAnsi" w:hAnsiTheme="minorHAnsi"/>
          <w:sz w:val="21"/>
          <w:szCs w:val="21"/>
        </w:rPr>
        <w:t>Czy Zamawiający dopuszcza wykazanie co najmniej jednego zamówienia, polegającego na wykonaniu co najmniej jednego rejestru/oprogramowania komputerowego o nieco innym charakterze np. dla instytucji z sektora publicznego?</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991311" w:rsidRPr="00B73534" w:rsidRDefault="00991311" w:rsidP="00991311">
      <w:pPr>
        <w:autoSpaceDE w:val="0"/>
        <w:spacing w:line="240" w:lineRule="auto"/>
        <w:jc w:val="both"/>
        <w:rPr>
          <w:bCs/>
          <w:sz w:val="21"/>
          <w:szCs w:val="21"/>
        </w:rPr>
      </w:pPr>
      <w:r w:rsidRPr="00B73534">
        <w:rPr>
          <w:sz w:val="21"/>
          <w:szCs w:val="21"/>
        </w:rPr>
        <w:t>Nie zgodnie z SIWZ. Zamawiający nie zaakceptował propozycji z pytania powyżej.</w:t>
      </w:r>
    </w:p>
    <w:p w:rsidR="00991311" w:rsidRPr="00B73534" w:rsidRDefault="00991311" w:rsidP="00991311">
      <w:pPr>
        <w:autoSpaceDE w:val="0"/>
        <w:spacing w:line="240" w:lineRule="auto"/>
        <w:jc w:val="both"/>
        <w:rPr>
          <w:sz w:val="21"/>
          <w:szCs w:val="21"/>
        </w:rPr>
      </w:pPr>
      <w:r w:rsidRPr="00B73534">
        <w:rPr>
          <w:b/>
          <w:bCs/>
          <w:sz w:val="21"/>
          <w:szCs w:val="21"/>
        </w:rPr>
        <w:t>Pytanie 5</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sz w:val="21"/>
          <w:szCs w:val="21"/>
        </w:rPr>
        <w:t xml:space="preserve">Jeżeli w Pytaniu numer 4 Zamawiający udzielił odpowiedzi negatywnej, Wykonawca prosi o udzielenie odpowiedzi na poniższe pytanie. </w:t>
      </w:r>
    </w:p>
    <w:p w:rsidR="00991311" w:rsidRPr="00B73534" w:rsidRDefault="00991311" w:rsidP="00991311">
      <w:pPr>
        <w:autoSpaceDE w:val="0"/>
        <w:autoSpaceDN w:val="0"/>
        <w:adjustRightInd w:val="0"/>
        <w:spacing w:line="240" w:lineRule="auto"/>
        <w:jc w:val="both"/>
        <w:rPr>
          <w:b/>
          <w:bCs/>
          <w:sz w:val="21"/>
          <w:szCs w:val="21"/>
        </w:rPr>
      </w:pPr>
      <w:r w:rsidRPr="00B73534">
        <w:rPr>
          <w:b/>
          <w:bCs/>
          <w:sz w:val="21"/>
          <w:szCs w:val="21"/>
        </w:rPr>
        <w:t xml:space="preserve">W ROZDZIALE I Dział VII pkt. 1 ppkt. </w:t>
      </w:r>
      <w:r w:rsidRPr="00B73534">
        <w:rPr>
          <w:sz w:val="21"/>
          <w:szCs w:val="21"/>
        </w:rPr>
        <w:t>1.3</w:t>
      </w:r>
      <w:r w:rsidRPr="00B73534">
        <w:rPr>
          <w:b/>
          <w:bCs/>
          <w:sz w:val="21"/>
          <w:szCs w:val="21"/>
        </w:rPr>
        <w:t xml:space="preserve"> Zamawiający zawarł zapis:</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b/>
          <w:bCs/>
          <w:sz w:val="21"/>
          <w:szCs w:val="21"/>
        </w:rPr>
        <w:t>„1.3.1. posiadają doświadczenie w realizacji usługi</w:t>
      </w:r>
      <w:r w:rsidRPr="00B73534">
        <w:rPr>
          <w:sz w:val="21"/>
          <w:szCs w:val="21"/>
        </w:rPr>
        <w:t>, tj. co najmniej jednego zamówienia podobnego polegającego na wykonaniu co najmniej jednego rejestru/oprogramowania komputerowego o podobnym charakterze w okresie ostatnich 36 miesiącach;”</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sz w:val="21"/>
          <w:szCs w:val="21"/>
        </w:rPr>
        <w:t>Czy Zamawiający dopuszcza zmianę przywołanej treści poprzez nadanie jej brzmienia:</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b/>
          <w:bCs/>
          <w:sz w:val="21"/>
          <w:szCs w:val="21"/>
        </w:rPr>
        <w:t>„1.3.1. posiadają doświadczenie w realizacji usługi</w:t>
      </w:r>
      <w:r w:rsidRPr="00B73534">
        <w:rPr>
          <w:sz w:val="21"/>
          <w:szCs w:val="21"/>
        </w:rPr>
        <w:t>, tj. co najmniej jednego zamówienia polegającego na wykonaniu co najmniej jednego rejestru/wykazu/oprogramowania komputerowego w okresie ostatnich 36 miesiącach;”</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991311" w:rsidRPr="00991311" w:rsidRDefault="00991311" w:rsidP="00991311">
      <w:pPr>
        <w:autoSpaceDE w:val="0"/>
        <w:spacing w:line="240" w:lineRule="auto"/>
        <w:jc w:val="both"/>
        <w:rPr>
          <w:bCs/>
          <w:sz w:val="21"/>
          <w:szCs w:val="21"/>
        </w:rPr>
      </w:pPr>
      <w:r w:rsidRPr="00B73534">
        <w:rPr>
          <w:sz w:val="21"/>
          <w:szCs w:val="21"/>
        </w:rPr>
        <w:t>NIE zgodnie z SIWZ, podobny charakter rejestru świadczy o zbliżonej funkcjonalności, zarządzaniem rolami użytkowników, możliwością zasilania i pobierania danych i zasięgu na skalę całego kraju.</w:t>
      </w:r>
    </w:p>
    <w:p w:rsidR="00991311" w:rsidRPr="00B73534" w:rsidRDefault="00991311" w:rsidP="00991311">
      <w:pPr>
        <w:autoSpaceDE w:val="0"/>
        <w:spacing w:line="240" w:lineRule="auto"/>
        <w:jc w:val="both"/>
        <w:rPr>
          <w:sz w:val="21"/>
          <w:szCs w:val="21"/>
        </w:rPr>
      </w:pPr>
      <w:r w:rsidRPr="00B73534">
        <w:rPr>
          <w:b/>
          <w:bCs/>
          <w:sz w:val="21"/>
          <w:szCs w:val="21"/>
        </w:rPr>
        <w:t>Pytanie 6</w:t>
      </w:r>
    </w:p>
    <w:p w:rsidR="00991311" w:rsidRPr="00B73534" w:rsidRDefault="00991311" w:rsidP="00991311">
      <w:pPr>
        <w:tabs>
          <w:tab w:val="left" w:pos="1800"/>
        </w:tabs>
        <w:autoSpaceDE w:val="0"/>
        <w:autoSpaceDN w:val="0"/>
        <w:adjustRightInd w:val="0"/>
        <w:spacing w:line="240" w:lineRule="auto"/>
        <w:jc w:val="both"/>
        <w:rPr>
          <w:sz w:val="21"/>
          <w:szCs w:val="21"/>
        </w:rPr>
      </w:pPr>
      <w:r w:rsidRPr="00B73534">
        <w:rPr>
          <w:sz w:val="21"/>
          <w:szCs w:val="21"/>
        </w:rPr>
        <w:t>Czy w związku z zadanymi pytaniami Zamawiający dopuszcza przesunięcie terminu przedstawienia ofert?</w:t>
      </w:r>
    </w:p>
    <w:p w:rsidR="00991311" w:rsidRPr="00B73534" w:rsidRDefault="00991311" w:rsidP="00991311">
      <w:pPr>
        <w:pStyle w:val="Default"/>
        <w:jc w:val="both"/>
        <w:rPr>
          <w:rFonts w:asciiTheme="minorHAnsi" w:hAnsiTheme="minorHAnsi"/>
          <w:sz w:val="21"/>
          <w:szCs w:val="21"/>
        </w:rPr>
      </w:pPr>
      <w:r w:rsidRPr="00B73534">
        <w:rPr>
          <w:rFonts w:asciiTheme="minorHAnsi" w:hAnsiTheme="minorHAnsi"/>
          <w:sz w:val="21"/>
          <w:szCs w:val="21"/>
        </w:rPr>
        <w:t xml:space="preserve">Jeżeli Zamawiający udzieli odpowiedzi twierdzącej to Wykonawca prosi o przesunięcie terminu umożliwiającego zapoznanie się z odpowiedziami Zamawiającego oraz przygotowanie odpowiedniej oferty. </w:t>
      </w:r>
    </w:p>
    <w:p w:rsidR="00991311" w:rsidRPr="00B73534" w:rsidRDefault="00991311" w:rsidP="00991311">
      <w:pPr>
        <w:autoSpaceDE w:val="0"/>
        <w:spacing w:line="240" w:lineRule="auto"/>
        <w:jc w:val="both"/>
        <w:rPr>
          <w:bCs/>
          <w:sz w:val="21"/>
          <w:szCs w:val="21"/>
        </w:rPr>
      </w:pPr>
      <w:r w:rsidRPr="00B73534">
        <w:rPr>
          <w:b/>
          <w:bCs/>
          <w:sz w:val="21"/>
          <w:szCs w:val="21"/>
        </w:rPr>
        <w:t>Odpowiedź:</w:t>
      </w:r>
    </w:p>
    <w:p w:rsidR="00FB470B" w:rsidRPr="00254013" w:rsidRDefault="00991311" w:rsidP="00991311">
      <w:pPr>
        <w:spacing w:line="240" w:lineRule="auto"/>
        <w:jc w:val="both"/>
        <w:rPr>
          <w:rFonts w:cs="Times New Roman"/>
          <w:sz w:val="21"/>
          <w:szCs w:val="21"/>
          <w:lang w:eastAsia="pl-PL"/>
        </w:rPr>
      </w:pPr>
      <w:r w:rsidRPr="00B73534">
        <w:rPr>
          <w:sz w:val="21"/>
          <w:szCs w:val="21"/>
        </w:rPr>
        <w:t>Zamawiający przesuwa termin składania i otwarcia ofert.</w:t>
      </w:r>
    </w:p>
    <w:p w:rsidR="006048CF" w:rsidRDefault="006048CF" w:rsidP="00991311">
      <w:pPr>
        <w:spacing w:line="240" w:lineRule="auto"/>
        <w:jc w:val="both"/>
        <w:rPr>
          <w:rFonts w:cs="Times New Roman"/>
          <w:b/>
          <w:bCs/>
          <w:sz w:val="21"/>
          <w:szCs w:val="21"/>
        </w:rPr>
      </w:pPr>
    </w:p>
    <w:p w:rsidR="00991311" w:rsidRPr="004C1E9E" w:rsidRDefault="00991311" w:rsidP="00991311">
      <w:pPr>
        <w:spacing w:line="240" w:lineRule="auto"/>
        <w:jc w:val="both"/>
        <w:rPr>
          <w:rFonts w:cs="Times New Roman"/>
          <w:b/>
          <w:bCs/>
          <w:sz w:val="21"/>
          <w:szCs w:val="21"/>
        </w:rPr>
      </w:pPr>
      <w:r w:rsidRPr="004C1E9E">
        <w:rPr>
          <w:rFonts w:cs="Times New Roman"/>
          <w:b/>
          <w:bCs/>
          <w:sz w:val="21"/>
          <w:szCs w:val="21"/>
        </w:rPr>
        <w:t>Zamawiający wyznacza nowy termin składania i otwarcia ofert:</w:t>
      </w:r>
    </w:p>
    <w:p w:rsidR="00991311" w:rsidRPr="004C1E9E" w:rsidRDefault="00991311" w:rsidP="00991311">
      <w:pPr>
        <w:spacing w:line="240" w:lineRule="auto"/>
        <w:jc w:val="both"/>
        <w:rPr>
          <w:rFonts w:cs="Times New Roman"/>
          <w:bCs/>
          <w:sz w:val="21"/>
          <w:szCs w:val="21"/>
        </w:rPr>
      </w:pPr>
      <w:r w:rsidRPr="004C1E9E">
        <w:rPr>
          <w:rFonts w:cs="Times New Roman"/>
          <w:bCs/>
          <w:sz w:val="21"/>
          <w:szCs w:val="21"/>
        </w:rPr>
        <w:t xml:space="preserve">- składanie ofert do </w:t>
      </w:r>
      <w:r w:rsidR="006048CF">
        <w:rPr>
          <w:rFonts w:cs="Times New Roman"/>
          <w:b/>
          <w:bCs/>
          <w:sz w:val="21"/>
          <w:szCs w:val="21"/>
        </w:rPr>
        <w:t>06</w:t>
      </w:r>
      <w:r w:rsidRPr="004C1E9E">
        <w:rPr>
          <w:rFonts w:cs="Times New Roman"/>
          <w:b/>
          <w:bCs/>
          <w:sz w:val="21"/>
          <w:szCs w:val="21"/>
        </w:rPr>
        <w:t>-</w:t>
      </w:r>
      <w:r w:rsidR="006048CF">
        <w:rPr>
          <w:rFonts w:cs="Times New Roman"/>
          <w:b/>
          <w:bCs/>
          <w:sz w:val="21"/>
          <w:szCs w:val="21"/>
        </w:rPr>
        <w:t>1</w:t>
      </w:r>
      <w:r w:rsidRPr="004C1E9E">
        <w:rPr>
          <w:rFonts w:cs="Times New Roman"/>
          <w:b/>
          <w:bCs/>
          <w:sz w:val="21"/>
          <w:szCs w:val="21"/>
        </w:rPr>
        <w:t>0-2020 r.</w:t>
      </w:r>
      <w:r w:rsidRPr="004C1E9E">
        <w:rPr>
          <w:rFonts w:cs="Times New Roman"/>
          <w:bCs/>
          <w:sz w:val="21"/>
          <w:szCs w:val="21"/>
        </w:rPr>
        <w:t xml:space="preserve"> do godz. 09.30,</w:t>
      </w:r>
    </w:p>
    <w:p w:rsidR="00991311" w:rsidRPr="004C1E9E" w:rsidRDefault="00991311" w:rsidP="00991311">
      <w:pPr>
        <w:spacing w:line="240" w:lineRule="auto"/>
        <w:jc w:val="both"/>
        <w:rPr>
          <w:rFonts w:cs="Times New Roman"/>
          <w:b/>
          <w:bCs/>
          <w:sz w:val="21"/>
          <w:szCs w:val="21"/>
          <w:u w:val="single"/>
        </w:rPr>
      </w:pPr>
      <w:r w:rsidRPr="004C1E9E">
        <w:rPr>
          <w:rFonts w:cs="Times New Roman"/>
          <w:bCs/>
          <w:sz w:val="21"/>
          <w:szCs w:val="21"/>
        </w:rPr>
        <w:t xml:space="preserve">- otwarcie ofert: </w:t>
      </w:r>
      <w:r w:rsidR="006048CF">
        <w:rPr>
          <w:rFonts w:cs="Times New Roman"/>
          <w:b/>
          <w:bCs/>
          <w:sz w:val="21"/>
          <w:szCs w:val="21"/>
        </w:rPr>
        <w:t>06</w:t>
      </w:r>
      <w:bookmarkStart w:id="3" w:name="_GoBack"/>
      <w:bookmarkEnd w:id="3"/>
      <w:r w:rsidRPr="004C1E9E">
        <w:rPr>
          <w:rFonts w:cs="Times New Roman"/>
          <w:b/>
          <w:bCs/>
          <w:sz w:val="21"/>
          <w:szCs w:val="21"/>
        </w:rPr>
        <w:t>-</w:t>
      </w:r>
      <w:r w:rsidR="006048CF">
        <w:rPr>
          <w:rFonts w:cs="Times New Roman"/>
          <w:b/>
          <w:bCs/>
          <w:sz w:val="21"/>
          <w:szCs w:val="21"/>
        </w:rPr>
        <w:t>1</w:t>
      </w:r>
      <w:r w:rsidRPr="004C1E9E">
        <w:rPr>
          <w:rFonts w:cs="Times New Roman"/>
          <w:b/>
          <w:bCs/>
          <w:sz w:val="21"/>
          <w:szCs w:val="21"/>
        </w:rPr>
        <w:t>0-2020 r</w:t>
      </w:r>
      <w:r w:rsidRPr="004C1E9E">
        <w:rPr>
          <w:rFonts w:cs="Times New Roman"/>
          <w:bCs/>
          <w:sz w:val="21"/>
          <w:szCs w:val="21"/>
        </w:rPr>
        <w:t xml:space="preserve">. </w:t>
      </w:r>
      <w:r w:rsidRPr="004C1E9E">
        <w:rPr>
          <w:rFonts w:cs="Times New Roman"/>
          <w:b/>
          <w:bCs/>
          <w:sz w:val="21"/>
          <w:szCs w:val="21"/>
          <w:u w:val="single"/>
        </w:rPr>
        <w:t>o godz. 10.00.</w:t>
      </w:r>
    </w:p>
    <w:p w:rsidR="00991311" w:rsidRPr="004C1E9E" w:rsidRDefault="00991311" w:rsidP="00991311">
      <w:pPr>
        <w:spacing w:line="240" w:lineRule="auto"/>
        <w:jc w:val="both"/>
        <w:rPr>
          <w:rFonts w:cs="Times New Roman"/>
          <w:bCs/>
          <w:sz w:val="21"/>
          <w:szCs w:val="21"/>
        </w:rPr>
      </w:pPr>
      <w:r w:rsidRPr="004C1E9E">
        <w:rPr>
          <w:rFonts w:cs="Times New Roman"/>
          <w:bCs/>
          <w:sz w:val="21"/>
          <w:szCs w:val="21"/>
        </w:rPr>
        <w:t>Miejsce składania i otwarcia ofert pozostają bez zmian.</w:t>
      </w:r>
    </w:p>
    <w:p w:rsidR="00991311" w:rsidRDefault="00991311" w:rsidP="00483ED3">
      <w:pPr>
        <w:spacing w:line="240" w:lineRule="auto"/>
        <w:jc w:val="both"/>
        <w:rPr>
          <w:rFonts w:cs="Times New Roman"/>
          <w:sz w:val="21"/>
          <w:szCs w:val="21"/>
          <w:lang w:eastAsia="pl-PL"/>
        </w:rPr>
      </w:pP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C52EBD"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r w:rsidRPr="00483ED3">
        <w:rPr>
          <w:rFonts w:cs="Times New Roman"/>
          <w:sz w:val="21"/>
          <w:szCs w:val="21"/>
        </w:rPr>
        <w:t>PODPIS W ORYGINALE</w:t>
      </w: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6048CF">
      <w:rPr>
        <w:b/>
        <w:bCs/>
        <w:noProof/>
      </w:rPr>
      <w:t>3</w:t>
    </w:r>
    <w:r w:rsidRPr="006E69D8">
      <w:rPr>
        <w:b/>
        <w:bCs/>
      </w:rPr>
      <w:fldChar w:fldCharType="end"/>
    </w:r>
    <w:r w:rsidR="006E69D8" w:rsidRPr="006E69D8">
      <w:t xml:space="preserve"> / </w:t>
    </w:r>
    <w:r w:rsidR="006048CF">
      <w:fldChar w:fldCharType="begin"/>
    </w:r>
    <w:r w:rsidR="006048CF">
      <w:instrText>NUMPAGES  \* Arabic  \* MERGEFORMAT</w:instrText>
    </w:r>
    <w:r w:rsidR="006048CF">
      <w:fldChar w:fldCharType="separate"/>
    </w:r>
    <w:r w:rsidR="006048CF">
      <w:rPr>
        <w:noProof/>
      </w:rPr>
      <w:t>3</w:t>
    </w:r>
    <w:r w:rsidR="006048C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991311">
      <w:rPr>
        <w:rFonts w:cstheme="minorHAnsi"/>
      </w:rPr>
      <w:t>30</w:t>
    </w:r>
    <w:r w:rsidR="00182086">
      <w:rPr>
        <w:rFonts w:cstheme="minorHAnsi"/>
      </w:rPr>
      <w:t>-</w:t>
    </w:r>
    <w:r w:rsidR="00D73922">
      <w:rPr>
        <w:rFonts w:cstheme="minorHAnsi"/>
      </w:rPr>
      <w:t>0</w:t>
    </w:r>
    <w:r w:rsidR="00C52EBD">
      <w:rPr>
        <w:rFonts w:cstheme="minorHAnsi"/>
      </w:rPr>
      <w:t>9</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4B93"/>
    <w:rsid w:val="00253567"/>
    <w:rsid w:val="00254013"/>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048CF"/>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91311"/>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2EBD"/>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character" w:customStyle="1" w:styleId="Teksttreci">
    <w:name w:val="Tekst treści_"/>
    <w:link w:val="Teksttreci0"/>
    <w:locked/>
    <w:rsid w:val="00991311"/>
    <w:rPr>
      <w:rFonts w:ascii="Microsoft Sans Serif" w:eastAsia="Microsoft Sans Serif" w:hAnsi="Microsoft Sans Serif" w:cs="Microsoft Sans Serif"/>
      <w:sz w:val="21"/>
      <w:szCs w:val="21"/>
      <w:shd w:val="clear" w:color="auto" w:fill="FFFFFF"/>
    </w:rPr>
  </w:style>
  <w:style w:type="paragraph" w:customStyle="1" w:styleId="Teksttreci0">
    <w:name w:val="Tekst treści"/>
    <w:basedOn w:val="Normalny"/>
    <w:link w:val="Teksttreci"/>
    <w:rsid w:val="00991311"/>
    <w:pPr>
      <w:widowControl w:val="0"/>
      <w:shd w:val="clear" w:color="auto" w:fill="FFFFFF"/>
      <w:spacing w:after="0" w:line="250" w:lineRule="exact"/>
      <w:ind w:hanging="340"/>
    </w:pPr>
    <w:rPr>
      <w:rFonts w:ascii="Microsoft Sans Serif" w:eastAsia="Microsoft Sans Serif" w:hAnsi="Microsoft Sans Serif" w:cs="Microsoft Sans Serif"/>
      <w:sz w:val="21"/>
      <w:szCs w:val="21"/>
    </w:rPr>
  </w:style>
  <w:style w:type="character" w:customStyle="1" w:styleId="TeksttreciCalibri">
    <w:name w:val="Tekst treści + Calibri"/>
    <w:aliases w:val="10 pt"/>
    <w:rsid w:val="00991311"/>
    <w:rPr>
      <w:rFonts w:ascii="Calibri" w:eastAsia="Calibri" w:hAnsi="Calibri" w:cs="Calibri"/>
      <w:color w:val="000000"/>
      <w:spacing w:val="0"/>
      <w:w w:val="100"/>
      <w:position w:val="0"/>
      <w:sz w:val="20"/>
      <w:szCs w:val="20"/>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1B95-2A0D-4705-92A4-0DAA857A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1023</Words>
  <Characters>6141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25</cp:revision>
  <cp:lastPrinted>2020-07-15T11:46:00Z</cp:lastPrinted>
  <dcterms:created xsi:type="dcterms:W3CDTF">2020-04-01T07:46:00Z</dcterms:created>
  <dcterms:modified xsi:type="dcterms:W3CDTF">2020-09-30T11:18:00Z</dcterms:modified>
</cp:coreProperties>
</file>