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2AA4" w14:textId="77777777" w:rsidR="007F2EC9" w:rsidRDefault="00954459">
      <w:pPr>
        <w:spacing w:after="63" w:line="259" w:lineRule="auto"/>
        <w:ind w:left="268" w:right="0" w:firstLine="0"/>
      </w:pPr>
      <w:r>
        <w:rPr>
          <w:b/>
          <w:sz w:val="21"/>
        </w:rPr>
        <w:t xml:space="preserve">     </w:t>
      </w:r>
    </w:p>
    <w:p w14:paraId="2D94B6E9" w14:textId="16CFDB7F" w:rsidR="007F2EC9" w:rsidRDefault="00954459">
      <w:pPr>
        <w:spacing w:after="0" w:line="259" w:lineRule="auto"/>
        <w:ind w:left="268" w:right="0" w:firstLine="0"/>
      </w:pPr>
      <w:r>
        <w:rPr>
          <w:b/>
          <w:sz w:val="21"/>
        </w:rPr>
        <w:t xml:space="preserve">                                                              </w:t>
      </w:r>
      <w:r>
        <w:rPr>
          <w:b/>
          <w:sz w:val="26"/>
        </w:rPr>
        <w:t>B</w:t>
      </w:r>
      <w:r>
        <w:rPr>
          <w:b/>
          <w:sz w:val="26"/>
        </w:rPr>
        <w:t xml:space="preserve"> -09</w:t>
      </w:r>
    </w:p>
    <w:p w14:paraId="3D39E09C" w14:textId="77777777" w:rsidR="007F2EC9" w:rsidRDefault="00954459">
      <w:pPr>
        <w:pStyle w:val="Nagwek1"/>
      </w:pPr>
      <w:r>
        <w:t xml:space="preserve">                                 SZCZEGÓŁOWA SPECYFIKACJA TECHNICZNA</w:t>
      </w:r>
    </w:p>
    <w:p w14:paraId="706AA3F3" w14:textId="77777777" w:rsidR="007F2EC9" w:rsidRDefault="00954459">
      <w:pPr>
        <w:spacing w:after="0" w:line="241" w:lineRule="auto"/>
        <w:ind w:left="268" w:right="4600" w:firstLine="0"/>
        <w:jc w:val="both"/>
      </w:pPr>
      <w:r>
        <w:rPr>
          <w:b/>
          <w:sz w:val="21"/>
        </w:rPr>
        <w:t xml:space="preserve">                         </w:t>
      </w:r>
      <w:r>
        <w:rPr>
          <w:b/>
        </w:rPr>
        <w:t xml:space="preserve">       DACH        kod CPV 45260000-7                                 KONSTRUKCJA DREWNIANA                                 ROBOTY POKRYWCZE.</w:t>
      </w:r>
    </w:p>
    <w:p w14:paraId="462094F7" w14:textId="77777777" w:rsidR="007F2EC9" w:rsidRDefault="00954459">
      <w:pPr>
        <w:pStyle w:val="Nagwek2"/>
        <w:tabs>
          <w:tab w:val="center" w:pos="351"/>
          <w:tab w:val="center" w:pos="1010"/>
        </w:tabs>
        <w:ind w:left="0" w:righ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 </w:t>
      </w:r>
      <w:r>
        <w:tab/>
        <w:t>Wstęp</w:t>
      </w:r>
    </w:p>
    <w:p w14:paraId="6AFFB2F3" w14:textId="77777777" w:rsidR="007F2EC9" w:rsidRDefault="00954459">
      <w:pPr>
        <w:ind w:left="261" w:right="85"/>
      </w:pPr>
      <w:r>
        <w:rPr>
          <w:u w:val="single" w:color="000000"/>
        </w:rPr>
        <w:t xml:space="preserve"> 1.1.  Przedmiot SST</w:t>
      </w:r>
    </w:p>
    <w:p w14:paraId="6E8111B4" w14:textId="77777777" w:rsidR="007F2EC9" w:rsidRDefault="00954459">
      <w:pPr>
        <w:ind w:left="261"/>
      </w:pPr>
      <w:r>
        <w:t>Przedmiotem niniejszej szczegółowej specyfikacji technicznej są wymagania dotycząc</w:t>
      </w:r>
      <w:r>
        <w:t>e wykonania i odbioru konstrukcji  dachowych drewnianych i stalowych, pokryć dachowych z blachy wraz z obróbkami blacharskimi w zadaniu pod nazwą.:</w:t>
      </w:r>
    </w:p>
    <w:p w14:paraId="6891294A" w14:textId="77777777" w:rsidR="007F2EC9" w:rsidRDefault="00954459">
      <w:pPr>
        <w:pStyle w:val="Nagwek2"/>
        <w:ind w:left="720" w:right="0"/>
      </w:pPr>
      <w:r>
        <w:t>PRZEBUDOWA  I ZMIANA SPOSOBU  UŻYTKOWANIA  BUDYNKU GMINNEGO  NA BUDYNEK MIESZKALNY  ( 4 LOKALE  MIESZKALNE )</w:t>
      </w:r>
      <w:r>
        <w:t xml:space="preserve"> I ZAPLECZE SPORTOWE DLA </w:t>
      </w:r>
    </w:p>
    <w:p w14:paraId="23E9E250" w14:textId="77777777" w:rsidR="007F2EC9" w:rsidRDefault="00954459">
      <w:pPr>
        <w:spacing w:after="4" w:line="250" w:lineRule="auto"/>
        <w:ind w:left="0" w:right="0" w:firstLine="710"/>
      </w:pPr>
      <w:r>
        <w:rPr>
          <w:b/>
        </w:rPr>
        <w:t>ISTNIEJĄCEGO BOISKA SPORTOWEGO WRAZ Z BUDOWĄ  SZCZELNEGO  ZBIORNIKA ŚCIEKÓW .</w:t>
      </w:r>
    </w:p>
    <w:p w14:paraId="5E9BD627" w14:textId="77777777" w:rsidR="007F2EC9" w:rsidRDefault="00954459">
      <w:pPr>
        <w:spacing w:after="4" w:line="250" w:lineRule="auto"/>
        <w:ind w:left="720" w:right="0" w:hanging="10"/>
      </w:pPr>
      <w:r>
        <w:rPr>
          <w:b/>
        </w:rPr>
        <w:t xml:space="preserve">SZUFNAROWA     -    dz.  nr 2071/5.  </w:t>
      </w:r>
    </w:p>
    <w:p w14:paraId="1B736DC3" w14:textId="77777777" w:rsidR="007F2EC9" w:rsidRDefault="00954459">
      <w:pPr>
        <w:ind w:left="261" w:right="85"/>
      </w:pPr>
      <w:r>
        <w:rPr>
          <w:u w:val="single" w:color="000000"/>
        </w:rPr>
        <w:t xml:space="preserve"> 1.2.  Zakres stosowania SST</w:t>
      </w:r>
    </w:p>
    <w:p w14:paraId="36469247" w14:textId="77777777" w:rsidR="007F2EC9" w:rsidRDefault="00954459">
      <w:pPr>
        <w:ind w:left="261" w:right="0"/>
      </w:pPr>
      <w:r>
        <w:t>Szczegółowa specyfikacja techniczna jest stosowana jako dokument przetargowy i kontraktowy przy zlecaniu i realizacji robót wymienionych w pkt. 1.1.</w:t>
      </w:r>
    </w:p>
    <w:p w14:paraId="4C668FB9" w14:textId="77777777" w:rsidR="007F2EC9" w:rsidRDefault="00954459">
      <w:pPr>
        <w:ind w:left="261" w:right="85"/>
      </w:pPr>
      <w:r>
        <w:rPr>
          <w:u w:val="single" w:color="000000"/>
        </w:rPr>
        <w:t xml:space="preserve"> 1.3.  Zakres robót objętych SST</w:t>
      </w:r>
    </w:p>
    <w:p w14:paraId="15A4958F" w14:textId="77777777" w:rsidR="007F2EC9" w:rsidRDefault="00954459">
      <w:pPr>
        <w:spacing w:after="247"/>
        <w:ind w:left="261" w:right="0"/>
      </w:pPr>
      <w:r>
        <w:t>Roboty, których dotyczy specyfikacja, obejmują wszystkie czynności umożliw</w:t>
      </w:r>
      <w:r>
        <w:t xml:space="preserve">iające i mające na celu wykonanie konstrukcji drewnianej  , pokryć dachowych  z blachy wraz z obróbkami blacharskimi i elementami wystającymi ponad dach budynku </w:t>
      </w:r>
    </w:p>
    <w:p w14:paraId="660A5142" w14:textId="77777777" w:rsidR="007F2EC9" w:rsidRDefault="00954459">
      <w:pPr>
        <w:spacing w:after="77" w:line="259" w:lineRule="auto"/>
        <w:ind w:left="0" w:right="0" w:firstLine="0"/>
      </w:pPr>
      <w:r>
        <w:rPr>
          <w:rFonts w:ascii="Tahoma" w:eastAsia="Tahoma" w:hAnsi="Tahoma" w:cs="Tahoma"/>
          <w:b/>
        </w:rPr>
        <w:t>Przebudowa istniejącego dachu</w:t>
      </w:r>
    </w:p>
    <w:p w14:paraId="34DC47AA" w14:textId="77777777" w:rsidR="007F2EC9" w:rsidRDefault="00954459">
      <w:pPr>
        <w:numPr>
          <w:ilvl w:val="0"/>
          <w:numId w:val="1"/>
        </w:numPr>
        <w:ind w:right="0" w:hanging="178"/>
      </w:pPr>
      <w:r>
        <w:t>demontaż istniejącego przykrycia</w:t>
      </w:r>
    </w:p>
    <w:p w14:paraId="01B613D0" w14:textId="77777777" w:rsidR="007F2EC9" w:rsidRDefault="00954459">
      <w:pPr>
        <w:numPr>
          <w:ilvl w:val="0"/>
          <w:numId w:val="1"/>
        </w:numPr>
        <w:ind w:right="0" w:hanging="178"/>
      </w:pPr>
      <w:r>
        <w:t>demontaż konstrukcji drewnianej</w:t>
      </w:r>
      <w:r>
        <w:tab/>
      </w:r>
      <w:r>
        <w:rPr>
          <w:rFonts w:ascii="Times New Roman" w:eastAsia="Times New Roman" w:hAnsi="Times New Roman" w:cs="Times New Roman"/>
          <w:color w:val="333333"/>
        </w:rPr>
        <w:t xml:space="preserve">   </w:t>
      </w:r>
    </w:p>
    <w:p w14:paraId="4122B7E1" w14:textId="77777777" w:rsidR="007F2EC9" w:rsidRDefault="00954459">
      <w:pPr>
        <w:spacing w:after="95" w:line="259" w:lineRule="auto"/>
        <w:ind w:left="-5" w:right="0" w:hanging="10"/>
      </w:pPr>
      <w:r>
        <w:rPr>
          <w:b/>
          <w:color w:val="333333"/>
        </w:rPr>
        <w:t xml:space="preserve">Dach </w:t>
      </w:r>
    </w:p>
    <w:p w14:paraId="6BF4F7BF" w14:textId="77777777" w:rsidR="007F2EC9" w:rsidRDefault="00954459">
      <w:pPr>
        <w:spacing w:after="3" w:line="259" w:lineRule="auto"/>
        <w:ind w:left="10" w:right="0" w:hanging="10"/>
        <w:jc w:val="both"/>
      </w:pPr>
      <w:r>
        <w:rPr>
          <w:color w:val="333333"/>
        </w:rPr>
        <w:t>Dach istniejący dwuspadowy o różnych kątach nachylenia;</w:t>
      </w:r>
      <w:r>
        <w:rPr>
          <w:color w:val="FF6600"/>
        </w:rPr>
        <w:t xml:space="preserve"> </w:t>
      </w:r>
      <w:r>
        <w:rPr>
          <w:color w:val="333333"/>
        </w:rPr>
        <w:t>dwuspadowy o kącie nachylenia połaci dachowych</w:t>
      </w:r>
    </w:p>
    <w:p w14:paraId="2FD15665" w14:textId="77777777" w:rsidR="007F2EC9" w:rsidRDefault="00954459">
      <w:pPr>
        <w:spacing w:after="132" w:line="259" w:lineRule="auto"/>
        <w:ind w:left="10" w:right="0" w:hanging="10"/>
        <w:jc w:val="both"/>
      </w:pPr>
      <w:r>
        <w:rPr>
          <w:color w:val="333333"/>
        </w:rPr>
        <w:t>11</w:t>
      </w:r>
      <w:r>
        <w:rPr>
          <w:color w:val="333333"/>
          <w:sz w:val="18"/>
          <w:vertAlign w:val="superscript"/>
        </w:rPr>
        <w:t>0</w:t>
      </w:r>
      <w:r>
        <w:rPr>
          <w:color w:val="333333"/>
        </w:rPr>
        <w:t>, nad wiatrołapem jednospadowy  o kącie nachylenia połaci dachowych 1,75</w:t>
      </w:r>
      <w:r>
        <w:rPr>
          <w:color w:val="333333"/>
          <w:sz w:val="18"/>
          <w:vertAlign w:val="superscript"/>
        </w:rPr>
        <w:t>0</w:t>
      </w:r>
    </w:p>
    <w:p w14:paraId="0CEC2BD9" w14:textId="77777777" w:rsidR="007F2EC9" w:rsidRDefault="00954459">
      <w:pPr>
        <w:spacing w:after="99" w:line="259" w:lineRule="auto"/>
        <w:ind w:left="-698" w:right="0" w:hanging="10"/>
        <w:jc w:val="both"/>
      </w:pPr>
      <w:r>
        <w:rPr>
          <w:color w:val="333333"/>
        </w:rPr>
        <w:t xml:space="preserve">             W  związku ze złym stanem technicznym więźby, projek</w:t>
      </w:r>
      <w:r>
        <w:rPr>
          <w:color w:val="333333"/>
        </w:rPr>
        <w:t xml:space="preserve">tuje się  wymianę więźby  i pokrycia dachowego .   Warstwy dachowe projektowanej więźby : </w:t>
      </w:r>
    </w:p>
    <w:p w14:paraId="5B5ADE6D" w14:textId="77777777" w:rsidR="007F2EC9" w:rsidRDefault="00954459">
      <w:pPr>
        <w:numPr>
          <w:ilvl w:val="0"/>
          <w:numId w:val="2"/>
        </w:numPr>
        <w:spacing w:after="3" w:line="259" w:lineRule="auto"/>
        <w:ind w:right="0" w:hanging="1186"/>
        <w:jc w:val="both"/>
      </w:pPr>
      <w:r>
        <w:rPr>
          <w:color w:val="333333"/>
        </w:rPr>
        <w:t>blachodachówka</w:t>
      </w:r>
    </w:p>
    <w:p w14:paraId="4813D716" w14:textId="77777777" w:rsidR="007F2EC9" w:rsidRDefault="00954459">
      <w:pPr>
        <w:numPr>
          <w:ilvl w:val="0"/>
          <w:numId w:val="2"/>
        </w:numPr>
        <w:spacing w:after="3" w:line="259" w:lineRule="auto"/>
        <w:ind w:right="0" w:hanging="1186"/>
        <w:jc w:val="both"/>
      </w:pPr>
      <w:r>
        <w:rPr>
          <w:color w:val="333333"/>
        </w:rPr>
        <w:t>łaty</w:t>
      </w:r>
    </w:p>
    <w:p w14:paraId="3C2F3884" w14:textId="77777777" w:rsidR="007F2EC9" w:rsidRDefault="00954459">
      <w:pPr>
        <w:numPr>
          <w:ilvl w:val="0"/>
          <w:numId w:val="2"/>
        </w:numPr>
        <w:spacing w:after="3" w:line="259" w:lineRule="auto"/>
        <w:ind w:right="0" w:hanging="1186"/>
        <w:jc w:val="both"/>
      </w:pPr>
      <w:proofErr w:type="spellStart"/>
      <w:r>
        <w:rPr>
          <w:color w:val="333333"/>
        </w:rPr>
        <w:t>kontrłaty</w:t>
      </w:r>
      <w:proofErr w:type="spellEnd"/>
    </w:p>
    <w:p w14:paraId="7A97EB67" w14:textId="77777777" w:rsidR="007F2EC9" w:rsidRDefault="00954459">
      <w:pPr>
        <w:numPr>
          <w:ilvl w:val="0"/>
          <w:numId w:val="2"/>
        </w:numPr>
        <w:spacing w:after="3" w:line="259" w:lineRule="auto"/>
        <w:ind w:right="0" w:hanging="1186"/>
        <w:jc w:val="both"/>
      </w:pPr>
      <w:r>
        <w:rPr>
          <w:color w:val="333333"/>
        </w:rPr>
        <w:t>folia paroprzepuszczalna (</w:t>
      </w:r>
      <w:proofErr w:type="spellStart"/>
      <w:r>
        <w:rPr>
          <w:color w:val="333333"/>
        </w:rPr>
        <w:t>wiatroizolacja</w:t>
      </w:r>
      <w:proofErr w:type="spellEnd"/>
      <w:r>
        <w:rPr>
          <w:color w:val="333333"/>
        </w:rPr>
        <w:t>)</w:t>
      </w:r>
    </w:p>
    <w:p w14:paraId="312ECB40" w14:textId="77777777" w:rsidR="007F2EC9" w:rsidRDefault="00954459">
      <w:pPr>
        <w:numPr>
          <w:ilvl w:val="0"/>
          <w:numId w:val="2"/>
        </w:numPr>
        <w:spacing w:after="3" w:line="259" w:lineRule="auto"/>
        <w:ind w:right="0" w:hanging="1186"/>
        <w:jc w:val="both"/>
      </w:pPr>
      <w:r>
        <w:rPr>
          <w:color w:val="333333"/>
        </w:rPr>
        <w:t>krokiew 8x16 cm</w:t>
      </w:r>
    </w:p>
    <w:p w14:paraId="6B382167" w14:textId="77777777" w:rsidR="007F2EC9" w:rsidRDefault="00954459">
      <w:pPr>
        <w:numPr>
          <w:ilvl w:val="0"/>
          <w:numId w:val="2"/>
        </w:numPr>
        <w:spacing w:after="3" w:line="259" w:lineRule="auto"/>
        <w:ind w:right="0" w:hanging="1186"/>
        <w:jc w:val="both"/>
      </w:pPr>
      <w:r>
        <w:rPr>
          <w:color w:val="333333"/>
        </w:rPr>
        <w:t>wełna mineralna układana pomiędzy krokwiami</w:t>
      </w:r>
    </w:p>
    <w:p w14:paraId="63664D60" w14:textId="77777777" w:rsidR="007F2EC9" w:rsidRDefault="00954459">
      <w:pPr>
        <w:numPr>
          <w:ilvl w:val="0"/>
          <w:numId w:val="2"/>
        </w:numPr>
        <w:spacing w:after="3" w:line="259" w:lineRule="auto"/>
        <w:ind w:right="0" w:hanging="1186"/>
        <w:jc w:val="both"/>
      </w:pPr>
      <w:r>
        <w:rPr>
          <w:color w:val="333333"/>
        </w:rPr>
        <w:t>folia paroszczelna</w:t>
      </w:r>
    </w:p>
    <w:p w14:paraId="66B33783" w14:textId="77777777" w:rsidR="007F2EC9" w:rsidRDefault="00954459">
      <w:pPr>
        <w:numPr>
          <w:ilvl w:val="0"/>
          <w:numId w:val="2"/>
        </w:numPr>
        <w:spacing w:after="197" w:line="259" w:lineRule="auto"/>
        <w:ind w:right="0" w:hanging="1186"/>
        <w:jc w:val="both"/>
      </w:pPr>
      <w:r>
        <w:rPr>
          <w:color w:val="333333"/>
        </w:rPr>
        <w:t>sufit podwieszany (płyta G-K na systemowym ruszcie aluminiowym</w:t>
      </w:r>
    </w:p>
    <w:p w14:paraId="04657C0D" w14:textId="77777777" w:rsidR="007F2EC9" w:rsidRDefault="00954459">
      <w:pPr>
        <w:spacing w:after="3" w:line="259" w:lineRule="auto"/>
        <w:ind w:left="379" w:right="0" w:hanging="10"/>
        <w:jc w:val="both"/>
      </w:pPr>
      <w:r>
        <w:rPr>
          <w:color w:val="333333"/>
        </w:rPr>
        <w:t>Dach o konstrukcji drewnianej – drewno klasy C24, sosna.</w:t>
      </w:r>
    </w:p>
    <w:p w14:paraId="4454C1EF" w14:textId="77777777" w:rsidR="007F2EC9" w:rsidRDefault="00954459">
      <w:pPr>
        <w:spacing w:after="3" w:line="259" w:lineRule="auto"/>
        <w:ind w:left="379" w:right="0" w:hanging="10"/>
        <w:jc w:val="both"/>
      </w:pPr>
      <w:r>
        <w:rPr>
          <w:color w:val="333333"/>
        </w:rPr>
        <w:t>Pokrycie dachowe: blachodachówka ułożona na łatach drewnianych wym. 50x40</w:t>
      </w:r>
      <w:r>
        <w:rPr>
          <w:color w:val="333333"/>
        </w:rPr>
        <w:t xml:space="preserve"> mm w rozstawie co 50 cm, </w:t>
      </w:r>
    </w:p>
    <w:p w14:paraId="02A0C50B" w14:textId="77777777" w:rsidR="007F2EC9" w:rsidRDefault="00954459">
      <w:pPr>
        <w:spacing w:after="3" w:line="259" w:lineRule="auto"/>
        <w:ind w:left="379" w:right="0" w:hanging="10"/>
        <w:jc w:val="both"/>
      </w:pPr>
      <w:r>
        <w:rPr>
          <w:color w:val="333333"/>
        </w:rPr>
        <w:t xml:space="preserve">Obróbki blacharskie z blachy powlekanej gr. 0,5 mm w kolorze dachu. </w:t>
      </w:r>
    </w:p>
    <w:p w14:paraId="6CB3FAF4" w14:textId="77777777" w:rsidR="007F2EC9" w:rsidRDefault="00954459">
      <w:pPr>
        <w:spacing w:after="3" w:line="259" w:lineRule="auto"/>
        <w:ind w:left="379" w:right="0" w:hanging="10"/>
        <w:jc w:val="both"/>
      </w:pPr>
      <w:r>
        <w:rPr>
          <w:color w:val="333333"/>
        </w:rPr>
        <w:t xml:space="preserve">Ułożenie foli paroprzepuszczalnej, przymocowanie jej </w:t>
      </w:r>
      <w:proofErr w:type="spellStart"/>
      <w:r>
        <w:rPr>
          <w:color w:val="333333"/>
        </w:rPr>
        <w:t>kontrłatami</w:t>
      </w:r>
      <w:proofErr w:type="spellEnd"/>
      <w:r>
        <w:rPr>
          <w:color w:val="333333"/>
        </w:rPr>
        <w:t>.</w:t>
      </w:r>
    </w:p>
    <w:p w14:paraId="4FAF592E" w14:textId="77777777" w:rsidR="007F2EC9" w:rsidRDefault="00954459">
      <w:pPr>
        <w:spacing w:after="3" w:line="259" w:lineRule="auto"/>
        <w:ind w:left="379" w:right="0" w:hanging="10"/>
        <w:jc w:val="both"/>
      </w:pPr>
      <w:r>
        <w:rPr>
          <w:color w:val="333333"/>
        </w:rPr>
        <w:t>Zaleca się  zastosowanie  obróbek dachowych  systemowych lub  można  wykonać indywidualnie z b</w:t>
      </w:r>
      <w:r>
        <w:rPr>
          <w:color w:val="333333"/>
        </w:rPr>
        <w:t xml:space="preserve">lachy stalowej ocynkowanej.  </w:t>
      </w:r>
    </w:p>
    <w:p w14:paraId="14FD11E8" w14:textId="77777777" w:rsidR="007F2EC9" w:rsidRDefault="00954459">
      <w:pPr>
        <w:spacing w:after="203" w:line="259" w:lineRule="auto"/>
        <w:ind w:left="379" w:right="3820" w:hanging="10"/>
        <w:jc w:val="both"/>
      </w:pPr>
      <w:r>
        <w:rPr>
          <w:color w:val="333333"/>
        </w:rPr>
        <w:t xml:space="preserve">Rury i rynny spustowe wg rozwiązań systemowych  zgodnych z katalogiem wybranej firmy. </w:t>
      </w:r>
    </w:p>
    <w:p w14:paraId="4BA49CBD" w14:textId="77777777" w:rsidR="007F2EC9" w:rsidRDefault="00954459">
      <w:pPr>
        <w:spacing w:after="3" w:line="259" w:lineRule="auto"/>
        <w:ind w:right="0" w:hanging="10"/>
        <w:jc w:val="both"/>
      </w:pPr>
      <w:r>
        <w:rPr>
          <w:color w:val="333333"/>
        </w:rPr>
        <w:t>Zaprojektowaną z drewna konstrukcję dachu  należy zabezpieczyć atestowanym środkiem ogniochronnym do stopnia trudno zapalności (konstrukcja</w:t>
      </w:r>
      <w:r>
        <w:rPr>
          <w:color w:val="333333"/>
        </w:rPr>
        <w:t xml:space="preserve"> zabezpieczona w  ten sposób spełni nośność ogniową elementów  drewnianych</w:t>
      </w:r>
    </w:p>
    <w:p w14:paraId="051DE5FD" w14:textId="77777777" w:rsidR="007F2EC9" w:rsidRDefault="00954459">
      <w:pPr>
        <w:spacing w:after="3" w:line="259" w:lineRule="auto"/>
        <w:ind w:right="0" w:hanging="10"/>
        <w:jc w:val="both"/>
      </w:pPr>
      <w:r>
        <w:rPr>
          <w:color w:val="333333"/>
        </w:rPr>
        <w:t>R15) dopuszczonym do stosowania w budownictwie  prze jednostkę certyfikującą wyroby. Minimalne zużycie preparatu wynosi 0,2 kg na 1 m2 drewna impregnowanego powierzchniowo i 40 kg n</w:t>
      </w:r>
      <w:r>
        <w:rPr>
          <w:color w:val="333333"/>
        </w:rPr>
        <w:t xml:space="preserve">a 1 m3 drewna impregnowanego metodą wgłębną (próżniowo-ciśnieniową). </w:t>
      </w:r>
    </w:p>
    <w:p w14:paraId="670CE0E4" w14:textId="77777777" w:rsidR="007F2EC9" w:rsidRDefault="00954459">
      <w:pPr>
        <w:spacing w:after="3" w:line="259" w:lineRule="auto"/>
        <w:ind w:right="0" w:hanging="10"/>
        <w:jc w:val="both"/>
      </w:pPr>
      <w:r>
        <w:rPr>
          <w:color w:val="333333"/>
        </w:rPr>
        <w:lastRenderedPageBreak/>
        <w:t xml:space="preserve">Tak wykonana impregnacja  pozwala uzyskać materiał klasyfikowany jako </w:t>
      </w:r>
      <w:r>
        <w:rPr>
          <w:color w:val="333333"/>
          <w:u w:val="single" w:color="333333"/>
        </w:rPr>
        <w:t>niezapalny</w:t>
      </w:r>
      <w:r>
        <w:rPr>
          <w:color w:val="333333"/>
        </w:rPr>
        <w:t xml:space="preserve"> .</w:t>
      </w:r>
    </w:p>
    <w:p w14:paraId="741C7DB1" w14:textId="77777777" w:rsidR="007F2EC9" w:rsidRDefault="00954459">
      <w:pPr>
        <w:spacing w:after="95" w:line="259" w:lineRule="auto"/>
        <w:ind w:left="-5" w:right="0" w:hanging="10"/>
      </w:pPr>
      <w:r>
        <w:rPr>
          <w:b/>
          <w:i/>
          <w:color w:val="333333"/>
        </w:rPr>
        <w:t xml:space="preserve">   </w:t>
      </w:r>
      <w:r>
        <w:rPr>
          <w:b/>
          <w:color w:val="333333"/>
        </w:rPr>
        <w:t xml:space="preserve">  Daszki nad wejściami</w:t>
      </w:r>
    </w:p>
    <w:p w14:paraId="040EDA9A" w14:textId="77777777" w:rsidR="007F2EC9" w:rsidRDefault="00954459">
      <w:pPr>
        <w:ind w:left="708" w:right="0" w:hanging="360"/>
      </w:pPr>
      <w:r>
        <w:t xml:space="preserve">Konstrukcja  stalowa wykonana z </w:t>
      </w:r>
      <w:proofErr w:type="spellStart"/>
      <w:r>
        <w:t>profila</w:t>
      </w:r>
      <w:proofErr w:type="spellEnd"/>
      <w:r>
        <w:t xml:space="preserve"> kwadratowego zamkniętego wym. przekroju 40x40x4 mm, przykrycie  poliwęglanem pięcio-komorowym..</w:t>
      </w:r>
    </w:p>
    <w:p w14:paraId="48E4FD9E" w14:textId="77777777" w:rsidR="007F2EC9" w:rsidRDefault="00954459">
      <w:pPr>
        <w:spacing w:after="163"/>
        <w:ind w:left="356" w:right="0"/>
      </w:pPr>
      <w:r>
        <w:t xml:space="preserve">    Daszek zamocowany do projektowanej ściany za pomocą prętów gwintowanych </w:t>
      </w:r>
      <w:r>
        <w:rPr>
          <w:rFonts w:ascii="Lucida Sans Unicode" w:eastAsia="Lucida Sans Unicode" w:hAnsi="Lucida Sans Unicode" w:cs="Lucida Sans Unicode"/>
        </w:rPr>
        <w:t>∅</w:t>
      </w:r>
      <w:r>
        <w:t>14 KL.5.8.</w:t>
      </w:r>
    </w:p>
    <w:p w14:paraId="13E26EAB" w14:textId="77777777" w:rsidR="007F2EC9" w:rsidRDefault="00954459">
      <w:pPr>
        <w:ind w:left="261" w:right="85"/>
      </w:pPr>
      <w:r>
        <w:rPr>
          <w:u w:val="single" w:color="000000"/>
        </w:rPr>
        <w:t xml:space="preserve"> 1.4.  Określenia podstawowe</w:t>
      </w:r>
    </w:p>
    <w:p w14:paraId="70BC488C" w14:textId="77777777" w:rsidR="007F2EC9" w:rsidRDefault="00954459">
      <w:pPr>
        <w:ind w:left="261" w:right="0"/>
      </w:pPr>
      <w:r>
        <w:t>Okr</w:t>
      </w:r>
      <w:r>
        <w:t>eślenia podane w niniejszej SST są zgodne z obowiązującymi odpowiednimi normami.</w:t>
      </w:r>
    </w:p>
    <w:p w14:paraId="02380612" w14:textId="77777777" w:rsidR="007F2EC9" w:rsidRDefault="00954459">
      <w:pPr>
        <w:ind w:left="261" w:right="85"/>
      </w:pPr>
      <w:r>
        <w:rPr>
          <w:u w:val="single" w:color="000000"/>
        </w:rPr>
        <w:t xml:space="preserve"> 1.5.  Ogólne wymagania dotyczące robót</w:t>
      </w:r>
    </w:p>
    <w:p w14:paraId="3A4D8089" w14:textId="77777777" w:rsidR="007F2EC9" w:rsidRDefault="00954459">
      <w:pPr>
        <w:ind w:left="261" w:right="0"/>
      </w:pPr>
      <w:r>
        <w:t>Wykonawca robót jest odpowiedzialny za jakość ich wykonania oraz za zgodność z dokumentacją projektową, SST i poleceniami Inżyniera.</w:t>
      </w:r>
    </w:p>
    <w:p w14:paraId="4A48D0C0" w14:textId="77777777" w:rsidR="007F2EC9" w:rsidRDefault="00954459">
      <w:pPr>
        <w:pStyle w:val="Nagwek2"/>
        <w:spacing w:after="145"/>
        <w:ind w:left="263" w:right="0"/>
      </w:pPr>
      <w:r>
        <w:rPr>
          <w:rFonts w:ascii="Segoe UI Symbol" w:eastAsia="Segoe UI Symbol" w:hAnsi="Segoe UI Symbol" w:cs="Segoe UI Symbol"/>
          <w:b w:val="0"/>
          <w:sz w:val="18"/>
        </w:rPr>
        <w:t>2.</w:t>
      </w:r>
      <w:r>
        <w:rPr>
          <w:rFonts w:ascii="Segoe UI Symbol" w:eastAsia="Segoe UI Symbol" w:hAnsi="Segoe UI Symbol" w:cs="Segoe UI Symbol"/>
          <w:b w:val="0"/>
          <w:sz w:val="18"/>
        </w:rPr>
        <w:t xml:space="preserve"> </w:t>
      </w:r>
      <w:r>
        <w:t>Materiały</w:t>
      </w:r>
    </w:p>
    <w:p w14:paraId="667D4371" w14:textId="77777777" w:rsidR="007F2EC9" w:rsidRDefault="00954459">
      <w:pPr>
        <w:ind w:left="261" w:right="85"/>
      </w:pPr>
      <w:r>
        <w:rPr>
          <w:u w:val="single" w:color="000000"/>
        </w:rPr>
        <w:t>Dla robót  rozbiórkowych   materiały nie występują</w:t>
      </w:r>
    </w:p>
    <w:p w14:paraId="6E914341" w14:textId="77777777" w:rsidR="007F2EC9" w:rsidRDefault="00954459">
      <w:pPr>
        <w:ind w:left="261" w:right="85"/>
      </w:pPr>
      <w:r>
        <w:rPr>
          <w:u w:val="single" w:color="000000"/>
        </w:rPr>
        <w:t xml:space="preserve"> 2.1.  Drewno</w:t>
      </w:r>
    </w:p>
    <w:p w14:paraId="55CE0275" w14:textId="77777777" w:rsidR="007F2EC9" w:rsidRDefault="00954459">
      <w:pPr>
        <w:ind w:left="261" w:right="0"/>
      </w:pPr>
      <w:r>
        <w:t>Do konstrukcji drewnianych stosuje się drewno iglaste zabezpieczone przed szkodnikami biologicznymi i ogniem.</w:t>
      </w:r>
    </w:p>
    <w:p w14:paraId="5B41276E" w14:textId="77777777" w:rsidR="007F2EC9" w:rsidRDefault="00954459">
      <w:pPr>
        <w:ind w:left="261" w:right="411"/>
      </w:pPr>
      <w:r>
        <w:t>Preparaty do nasycania drewna należy stosować zgodnie z instrukcją ITB</w:t>
      </w:r>
      <w:r>
        <w:t xml:space="preserve"> – Instrukcja techniczna w sprawie powierzchniowego zabezpieczenia drewna budowlanego przed szkodnikami biologicznymi i ogniem.</w:t>
      </w:r>
    </w:p>
    <w:p w14:paraId="6D929A7F" w14:textId="77777777" w:rsidR="007F2EC9" w:rsidRDefault="00954459">
      <w:pPr>
        <w:ind w:left="261" w:right="1717"/>
      </w:pPr>
      <w:r>
        <w:t>Dla robót wymienionych w pozycji 1.3. stosuje się drewno klasy K27 i  klasy K33 według następujących norm państwowych:</w:t>
      </w:r>
    </w:p>
    <w:p w14:paraId="2C3DFDCA" w14:textId="77777777" w:rsidR="007F2EC9" w:rsidRDefault="00954459">
      <w:pPr>
        <w:ind w:left="261" w:right="0"/>
      </w:pPr>
      <w:r>
        <w:t>–  PN-82/</w:t>
      </w:r>
      <w:r>
        <w:t>D-94021 Tarcica iglasta sortowana metodami wytrzymałościowymi.</w:t>
      </w:r>
    </w:p>
    <w:p w14:paraId="613DE767" w14:textId="77777777" w:rsidR="007F2EC9" w:rsidRDefault="00954459">
      <w:pPr>
        <w:tabs>
          <w:tab w:val="center" w:pos="317"/>
          <w:tab w:val="center" w:pos="462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</w:t>
      </w:r>
      <w:r>
        <w:rPr>
          <w:rFonts w:ascii="Segoe UI Symbol" w:eastAsia="Segoe UI Symbol" w:hAnsi="Segoe UI Symbol" w:cs="Segoe UI Symbol"/>
          <w:sz w:val="18"/>
        </w:rPr>
        <w:tab/>
      </w:r>
      <w:r>
        <w:t>PN-B-03150:2000/Az1:2001. Konstrukcje drewniane. Obliczenia statyczne i projektowanie.</w:t>
      </w:r>
    </w:p>
    <w:p w14:paraId="1EE33D07" w14:textId="77777777" w:rsidR="007F2EC9" w:rsidRDefault="00954459">
      <w:pPr>
        <w:ind w:left="261" w:right="0"/>
      </w:pPr>
      <w:r>
        <w:t xml:space="preserve">2.1.1. </w:t>
      </w:r>
      <w:r>
        <w:t xml:space="preserve">Wytrzymałości charakterystyczne drewna iglastego w </w:t>
      </w:r>
      <w:proofErr w:type="spellStart"/>
      <w:r>
        <w:t>MPa</w:t>
      </w:r>
      <w:proofErr w:type="spellEnd"/>
      <w:r>
        <w:t xml:space="preserve"> (</w:t>
      </w:r>
      <w:proofErr w:type="spellStart"/>
      <w:r>
        <w:t>megapaskale</w:t>
      </w:r>
      <w:proofErr w:type="spellEnd"/>
      <w:r>
        <w:t>) podaje poniższa tabela.</w:t>
      </w:r>
    </w:p>
    <w:p w14:paraId="6E54FA72" w14:textId="77777777" w:rsidR="00954459" w:rsidRDefault="00954459">
      <w:pPr>
        <w:pStyle w:val="Nagwek2"/>
        <w:ind w:left="263" w:right="5017"/>
      </w:pPr>
      <w:r>
        <w:t>Oznaczenie                         Klasy drewna                                                  K27</w:t>
      </w:r>
      <w:r>
        <w:tab/>
        <w:t>K33</w:t>
      </w:r>
    </w:p>
    <w:p w14:paraId="0EA8EA85" w14:textId="3F244AC3" w:rsidR="007F2EC9" w:rsidRDefault="00954459">
      <w:pPr>
        <w:pStyle w:val="Nagwek2"/>
        <w:ind w:left="263" w:right="5017"/>
      </w:pPr>
      <w:r>
        <w:t xml:space="preserve"> </w:t>
      </w:r>
      <w:r>
        <w:rPr>
          <w:b w:val="0"/>
        </w:rPr>
        <w:t xml:space="preserve">Zginanie </w:t>
      </w:r>
      <w:r>
        <w:rPr>
          <w:b w:val="0"/>
        </w:rPr>
        <w:tab/>
        <w:t xml:space="preserve">                                     27</w:t>
      </w:r>
      <w:r>
        <w:rPr>
          <w:b w:val="0"/>
        </w:rPr>
        <w:tab/>
        <w:t xml:space="preserve">  33</w:t>
      </w:r>
    </w:p>
    <w:p w14:paraId="0139B3E8" w14:textId="77777777" w:rsidR="007F2EC9" w:rsidRDefault="00954459">
      <w:pPr>
        <w:tabs>
          <w:tab w:val="center" w:pos="1497"/>
          <w:tab w:val="center" w:pos="3740"/>
          <w:tab w:val="center" w:pos="4531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Rozciąganie wzdłuż włókien </w:t>
      </w:r>
      <w:r>
        <w:tab/>
        <w:t>0,75</w:t>
      </w:r>
      <w:r>
        <w:tab/>
        <w:t xml:space="preserve">   0,75</w:t>
      </w:r>
    </w:p>
    <w:p w14:paraId="1DB7789E" w14:textId="77777777" w:rsidR="007F2EC9" w:rsidRDefault="00954459">
      <w:pPr>
        <w:tabs>
          <w:tab w:val="center" w:pos="1379"/>
          <w:tab w:val="center" w:pos="3251"/>
          <w:tab w:val="center" w:pos="4392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Ściskanie wzdłuż włókien</w:t>
      </w:r>
      <w:r>
        <w:tab/>
        <w:t xml:space="preserve">           20</w:t>
      </w:r>
      <w:r>
        <w:tab/>
        <w:t xml:space="preserve"> 24</w:t>
      </w:r>
    </w:p>
    <w:p w14:paraId="229AF4C2" w14:textId="77777777" w:rsidR="007F2EC9" w:rsidRDefault="00954459">
      <w:pPr>
        <w:tabs>
          <w:tab w:val="center" w:pos="1533"/>
          <w:tab w:val="center" w:pos="401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Ściskanie</w:t>
      </w:r>
      <w:r>
        <w:t xml:space="preserve"> w poprzek włókien </w:t>
      </w:r>
      <w:r>
        <w:tab/>
        <w:t>7             7</w:t>
      </w:r>
    </w:p>
    <w:p w14:paraId="2DAC6DAA" w14:textId="77777777" w:rsidR="007F2EC9" w:rsidRDefault="00954459">
      <w:pPr>
        <w:tabs>
          <w:tab w:val="center" w:pos="1333"/>
          <w:tab w:val="center" w:pos="3223"/>
          <w:tab w:val="center" w:pos="4365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Ścinanie wzdłuż włókien </w:t>
      </w:r>
      <w:r>
        <w:tab/>
        <w:t xml:space="preserve">            3</w:t>
      </w:r>
      <w:r>
        <w:tab/>
        <w:t xml:space="preserve">  3</w:t>
      </w:r>
    </w:p>
    <w:p w14:paraId="4AF7D0E9" w14:textId="77777777" w:rsidR="007F2EC9" w:rsidRDefault="00954459">
      <w:pPr>
        <w:tabs>
          <w:tab w:val="center" w:pos="1994"/>
          <w:tab w:val="center" w:pos="4447"/>
        </w:tabs>
        <w:spacing w:after="209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Ścinanie w poprzek włókien            1,5</w:t>
      </w:r>
      <w:r>
        <w:tab/>
        <w:t xml:space="preserve">  1,5</w:t>
      </w:r>
    </w:p>
    <w:p w14:paraId="20165B0B" w14:textId="77777777" w:rsidR="007F2EC9" w:rsidRDefault="00954459">
      <w:pPr>
        <w:ind w:left="261" w:right="0"/>
      </w:pPr>
      <w:r>
        <w:t>2.1.2. Dopuszczalne wady tarcicy</w:t>
      </w:r>
    </w:p>
    <w:p w14:paraId="14AF6F71" w14:textId="77777777" w:rsidR="007F2EC9" w:rsidRDefault="00954459">
      <w:pPr>
        <w:pStyle w:val="Nagwek2"/>
        <w:tabs>
          <w:tab w:val="center" w:pos="2089"/>
          <w:tab w:val="center" w:pos="4437"/>
        </w:tabs>
        <w:ind w:left="0" w:righ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Wady                                               K33</w:t>
      </w:r>
      <w:r>
        <w:tab/>
        <w:t>K27</w:t>
      </w:r>
    </w:p>
    <w:p w14:paraId="29530F9A" w14:textId="77777777" w:rsidR="007F2EC9" w:rsidRDefault="00954459">
      <w:pPr>
        <w:tabs>
          <w:tab w:val="center" w:pos="1403"/>
          <w:tab w:val="center" w:pos="3305"/>
          <w:tab w:val="center" w:pos="4696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Sęki w strefie marginalnej </w:t>
      </w:r>
      <w:r>
        <w:tab/>
        <w:t xml:space="preserve">     </w:t>
      </w:r>
      <w:r>
        <w:t xml:space="preserve">  do 1/4</w:t>
      </w:r>
      <w:r>
        <w:tab/>
        <w:t>1/4 do 1/2</w:t>
      </w:r>
    </w:p>
    <w:p w14:paraId="728A60B5" w14:textId="77777777" w:rsidR="007F2EC9" w:rsidRDefault="00954459">
      <w:pPr>
        <w:tabs>
          <w:tab w:val="center" w:pos="1323"/>
          <w:tab w:val="center" w:pos="3305"/>
          <w:tab w:val="center" w:pos="4696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Sęki na całym przekroju </w:t>
      </w:r>
      <w:r>
        <w:tab/>
        <w:t xml:space="preserve">       do 1/4</w:t>
      </w:r>
      <w:r>
        <w:tab/>
        <w:t>1/4 do 1/3</w:t>
      </w:r>
    </w:p>
    <w:p w14:paraId="41ACF0D2" w14:textId="77777777" w:rsidR="007F2EC9" w:rsidRDefault="00954459">
      <w:pPr>
        <w:ind w:left="261" w:right="3788"/>
      </w:pPr>
      <w:r>
        <w:t>Skręt włókien                                 do 7%</w:t>
      </w:r>
      <w:r>
        <w:tab/>
        <w:t>do 10% Pęknięcia, pęcherze, zakorki i zbitki:</w:t>
      </w:r>
    </w:p>
    <w:p w14:paraId="229F85E0" w14:textId="77777777" w:rsidR="007F2EC9" w:rsidRDefault="00954459">
      <w:pPr>
        <w:numPr>
          <w:ilvl w:val="0"/>
          <w:numId w:val="3"/>
        </w:numPr>
        <w:ind w:right="0" w:hanging="232"/>
      </w:pPr>
      <w:r>
        <w:t>głębokie                                  1/3               1/2</w:t>
      </w:r>
    </w:p>
    <w:p w14:paraId="5CDFB731" w14:textId="77777777" w:rsidR="007F2EC9" w:rsidRDefault="00954459">
      <w:pPr>
        <w:numPr>
          <w:ilvl w:val="0"/>
          <w:numId w:val="3"/>
        </w:numPr>
        <w:spacing w:after="203"/>
        <w:ind w:right="0" w:hanging="232"/>
      </w:pPr>
      <w:r>
        <w:t xml:space="preserve">czołowe                                   1/1              1/1 </w:t>
      </w:r>
    </w:p>
    <w:p w14:paraId="0D83C452" w14:textId="77777777" w:rsidR="007F2EC9" w:rsidRDefault="00954459">
      <w:pPr>
        <w:ind w:left="261" w:right="0"/>
      </w:pPr>
      <w:r>
        <w:t xml:space="preserve">Zgnilizna                     </w:t>
      </w:r>
      <w:r>
        <w:t xml:space="preserve">                                                                                   niedopuszczalna</w:t>
      </w:r>
    </w:p>
    <w:p w14:paraId="130F3863" w14:textId="77777777" w:rsidR="007F2EC9" w:rsidRDefault="00954459">
      <w:pPr>
        <w:ind w:left="261" w:right="0"/>
      </w:pPr>
      <w:r>
        <w:t>Chodniki owadzie                                                                                           niedopuszczalne</w:t>
      </w:r>
    </w:p>
    <w:p w14:paraId="49F2E317" w14:textId="77777777" w:rsidR="007F2EC9" w:rsidRDefault="00954459">
      <w:pPr>
        <w:tabs>
          <w:tab w:val="center" w:pos="1037"/>
          <w:tab w:val="center" w:pos="2378"/>
          <w:tab w:val="center" w:pos="3087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Szerokość słojów </w:t>
      </w:r>
      <w:r>
        <w:tab/>
        <w:t>4 mm</w:t>
      </w:r>
      <w:r>
        <w:tab/>
        <w:t>6 mm</w:t>
      </w:r>
    </w:p>
    <w:p w14:paraId="05FEBAE2" w14:textId="77777777" w:rsidR="007F2EC9" w:rsidRDefault="00954459">
      <w:pPr>
        <w:tabs>
          <w:tab w:val="center" w:pos="554"/>
          <w:tab w:val="center" w:pos="5011"/>
        </w:tabs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Obli</w:t>
      </w:r>
      <w:r>
        <w:t xml:space="preserve">na </w:t>
      </w:r>
      <w:r>
        <w:tab/>
        <w:t>dopuszczalna na długości dwu krawędzi zajmująca do 1/4 szerokości lub długości</w:t>
      </w:r>
    </w:p>
    <w:p w14:paraId="18541532" w14:textId="77777777" w:rsidR="007F2EC9" w:rsidRDefault="00954459">
      <w:pPr>
        <w:ind w:left="261" w:right="0"/>
      </w:pPr>
      <w:r>
        <w:t>Krzywizna podłużna</w:t>
      </w:r>
    </w:p>
    <w:p w14:paraId="6CBDCF44" w14:textId="77777777" w:rsidR="007F2EC9" w:rsidRDefault="00954459">
      <w:pPr>
        <w:numPr>
          <w:ilvl w:val="0"/>
          <w:numId w:val="4"/>
        </w:numPr>
        <w:ind w:right="0" w:hanging="232"/>
      </w:pPr>
      <w:r>
        <w:t xml:space="preserve">płaszczyzn </w:t>
      </w:r>
      <w:r>
        <w:tab/>
        <w:t>30 mm – dla grubości do 38 mm</w:t>
      </w:r>
    </w:p>
    <w:p w14:paraId="48C55512" w14:textId="77777777" w:rsidR="007F2EC9" w:rsidRDefault="00954459">
      <w:pPr>
        <w:spacing w:after="0" w:line="259" w:lineRule="auto"/>
        <w:ind w:left="0" w:right="812" w:firstLine="0"/>
        <w:jc w:val="center"/>
      </w:pPr>
      <w:r>
        <w:t>10 mm – dla grubości do 75 mm</w:t>
      </w:r>
    </w:p>
    <w:p w14:paraId="555D66A2" w14:textId="77777777" w:rsidR="007F2EC9" w:rsidRDefault="00954459">
      <w:pPr>
        <w:numPr>
          <w:ilvl w:val="0"/>
          <w:numId w:val="4"/>
        </w:numPr>
        <w:ind w:right="0" w:hanging="232"/>
      </w:pPr>
      <w:r>
        <w:t>boków                                 10 mm – dla szerokości do 75 mm</w:t>
      </w:r>
    </w:p>
    <w:p w14:paraId="7B373F8C" w14:textId="77777777" w:rsidR="007F2EC9" w:rsidRDefault="00954459">
      <w:pPr>
        <w:ind w:left="261" w:right="0"/>
      </w:pPr>
      <w:r>
        <w:t>5 mm – dla szerokości &gt; 250 mm</w:t>
      </w:r>
    </w:p>
    <w:p w14:paraId="118DD0E1" w14:textId="77777777" w:rsidR="007F2EC9" w:rsidRDefault="00954459">
      <w:pPr>
        <w:ind w:left="261" w:right="4476"/>
      </w:pPr>
      <w:r>
        <w:t xml:space="preserve">Wichrowatość </w:t>
      </w:r>
      <w:r>
        <w:tab/>
        <w:t>6% szerokości Krzywizna poprzeczna</w:t>
      </w:r>
      <w:r>
        <w:tab/>
        <w:t>4% szerokości</w:t>
      </w:r>
    </w:p>
    <w:p w14:paraId="0892F453" w14:textId="77777777" w:rsidR="007F2EC9" w:rsidRDefault="00954459">
      <w:pPr>
        <w:ind w:left="261" w:right="0"/>
      </w:pPr>
      <w:r>
        <w:t>Rysy, falistość rzazu dopuszczalna w granicach odchyłek grubości i szerokości elementu.</w:t>
      </w:r>
    </w:p>
    <w:p w14:paraId="08B3CA8E" w14:textId="77777777" w:rsidR="007F2EC9" w:rsidRDefault="00954459">
      <w:pPr>
        <w:ind w:left="261" w:right="0"/>
      </w:pPr>
      <w:r>
        <w:t>Nierówność płaszczyzn – płaszczyzny powinny być wzajemnie równoległe, boki</w:t>
      </w:r>
      <w:r>
        <w:t xml:space="preserve"> prostopadłe, odchylenia w granicach odchyłek.</w:t>
      </w:r>
    </w:p>
    <w:p w14:paraId="746E581D" w14:textId="77777777" w:rsidR="007F2EC9" w:rsidRDefault="00954459">
      <w:pPr>
        <w:ind w:left="261" w:right="0"/>
      </w:pPr>
      <w:r>
        <w:t>Nieprostopadłość niedopuszczalna.</w:t>
      </w:r>
    </w:p>
    <w:p w14:paraId="48374905" w14:textId="77777777" w:rsidR="007F2EC9" w:rsidRDefault="00954459">
      <w:pPr>
        <w:ind w:left="261" w:right="0"/>
      </w:pPr>
      <w:r>
        <w:t>2.1.3. Wilgotność drewna stosowanego na elementy konstrukcyjne powinna wynosić nie więcej niż:</w:t>
      </w:r>
    </w:p>
    <w:p w14:paraId="0BF921A8" w14:textId="77777777" w:rsidR="007F2EC9" w:rsidRDefault="00954459">
      <w:pPr>
        <w:numPr>
          <w:ilvl w:val="0"/>
          <w:numId w:val="5"/>
        </w:numPr>
        <w:ind w:right="0" w:hanging="2284"/>
      </w:pPr>
      <w:r>
        <w:t>dla konstrukcji na wolnym powietrzu – 23%</w:t>
      </w:r>
    </w:p>
    <w:p w14:paraId="6F8CDF87" w14:textId="77777777" w:rsidR="007F2EC9" w:rsidRDefault="00954459">
      <w:pPr>
        <w:numPr>
          <w:ilvl w:val="0"/>
          <w:numId w:val="5"/>
        </w:numPr>
        <w:ind w:right="0" w:hanging="2284"/>
      </w:pPr>
      <w:r>
        <w:lastRenderedPageBreak/>
        <w:t>dla konstrukcji chronionych przed zawi</w:t>
      </w:r>
      <w:r>
        <w:t>lgoceniem – 20%.</w:t>
      </w:r>
    </w:p>
    <w:p w14:paraId="0A683269" w14:textId="77777777" w:rsidR="007F2EC9" w:rsidRDefault="00954459">
      <w:pPr>
        <w:ind w:left="261" w:right="0"/>
      </w:pPr>
      <w:r>
        <w:t>2.1.4. Tolerancje wymiarowe tarcicy</w:t>
      </w:r>
    </w:p>
    <w:p w14:paraId="5A629D11" w14:textId="77777777" w:rsidR="007F2EC9" w:rsidRDefault="00954459">
      <w:pPr>
        <w:ind w:left="261" w:right="0"/>
      </w:pPr>
      <w:r>
        <w:t>a) odchyłki wymiarowe desek powinny być nie większe:</w:t>
      </w:r>
    </w:p>
    <w:p w14:paraId="1430747D" w14:textId="77777777" w:rsidR="007F2EC9" w:rsidRDefault="00954459">
      <w:pPr>
        <w:numPr>
          <w:ilvl w:val="0"/>
          <w:numId w:val="6"/>
        </w:numPr>
        <w:ind w:right="0" w:hanging="164"/>
      </w:pPr>
      <w:r>
        <w:t xml:space="preserve">w długości: </w:t>
      </w:r>
      <w:r>
        <w:tab/>
        <w:t>do + 50 mm lub do –20 mm dla 20% ilości</w:t>
      </w:r>
    </w:p>
    <w:p w14:paraId="21F194B0" w14:textId="77777777" w:rsidR="007F2EC9" w:rsidRDefault="00954459">
      <w:pPr>
        <w:numPr>
          <w:ilvl w:val="0"/>
          <w:numId w:val="6"/>
        </w:numPr>
        <w:ind w:right="0" w:hanging="164"/>
      </w:pPr>
      <w:r>
        <w:t xml:space="preserve">w szerokości: </w:t>
      </w:r>
      <w:r>
        <w:tab/>
        <w:t>do +3 mm lub do –1mm</w:t>
      </w:r>
    </w:p>
    <w:p w14:paraId="4BE1DD08" w14:textId="77777777" w:rsidR="007F2EC9" w:rsidRDefault="00954459">
      <w:pPr>
        <w:numPr>
          <w:ilvl w:val="0"/>
          <w:numId w:val="6"/>
        </w:numPr>
        <w:ind w:right="0" w:hanging="164"/>
      </w:pPr>
      <w:r>
        <w:t xml:space="preserve">w grubości: </w:t>
      </w:r>
      <w:r>
        <w:tab/>
        <w:t>do +1 mm lub do –1 mm</w:t>
      </w:r>
    </w:p>
    <w:p w14:paraId="32E9657B" w14:textId="77777777" w:rsidR="007F2EC9" w:rsidRDefault="00954459">
      <w:pPr>
        <w:numPr>
          <w:ilvl w:val="0"/>
          <w:numId w:val="7"/>
        </w:numPr>
        <w:ind w:right="0" w:hanging="232"/>
      </w:pPr>
      <w:r>
        <w:t>odchyłki wymiarowe bali jak dla desek</w:t>
      </w:r>
    </w:p>
    <w:p w14:paraId="3EE6F6E7" w14:textId="77777777" w:rsidR="007F2EC9" w:rsidRDefault="00954459">
      <w:pPr>
        <w:numPr>
          <w:ilvl w:val="0"/>
          <w:numId w:val="7"/>
        </w:numPr>
        <w:ind w:right="0" w:hanging="232"/>
      </w:pPr>
      <w:r>
        <w:t>odchyłki wymiarowe łat nie powinny być większe:</w:t>
      </w:r>
    </w:p>
    <w:p w14:paraId="3D9ABFE1" w14:textId="77777777" w:rsidR="007F2EC9" w:rsidRDefault="00954459">
      <w:pPr>
        <w:ind w:left="261" w:right="0"/>
      </w:pPr>
      <w:r>
        <w:t>·dla łat o grubości do 50 mm:</w:t>
      </w:r>
    </w:p>
    <w:p w14:paraId="74BFEAE9" w14:textId="77777777" w:rsidR="007F2EC9" w:rsidRDefault="00954459">
      <w:pPr>
        <w:numPr>
          <w:ilvl w:val="0"/>
          <w:numId w:val="8"/>
        </w:numPr>
        <w:ind w:right="0" w:hanging="166"/>
      </w:pPr>
      <w:r>
        <w:t xml:space="preserve">w grubości: </w:t>
      </w:r>
      <w:r>
        <w:tab/>
        <w:t>+1 mm i –1 mm dla 20% ilości – w szerokości:</w:t>
      </w:r>
      <w:r>
        <w:tab/>
        <w:t>+2 mm i –1 mm dla 20% ilości</w:t>
      </w:r>
    </w:p>
    <w:p w14:paraId="01A3D420" w14:textId="77777777" w:rsidR="007F2EC9" w:rsidRDefault="00954459">
      <w:pPr>
        <w:ind w:left="261" w:right="0"/>
      </w:pPr>
      <w:r>
        <w:t>·dla łat o grubości powyżej 50 mm:</w:t>
      </w:r>
    </w:p>
    <w:p w14:paraId="050D7D43" w14:textId="77777777" w:rsidR="007F2EC9" w:rsidRDefault="00954459">
      <w:pPr>
        <w:numPr>
          <w:ilvl w:val="0"/>
          <w:numId w:val="8"/>
        </w:numPr>
        <w:ind w:right="0" w:hanging="166"/>
      </w:pPr>
      <w:r>
        <w:t>w szerokości:</w:t>
      </w:r>
      <w:r>
        <w:tab/>
        <w:t>+2 m</w:t>
      </w:r>
      <w:r>
        <w:t>m i –1 mm dla 20% ilości</w:t>
      </w:r>
    </w:p>
    <w:p w14:paraId="718B1834" w14:textId="77777777" w:rsidR="007F2EC9" w:rsidRDefault="00954459">
      <w:pPr>
        <w:numPr>
          <w:ilvl w:val="0"/>
          <w:numId w:val="8"/>
        </w:numPr>
        <w:ind w:right="0" w:hanging="166"/>
      </w:pPr>
      <w:r>
        <w:t xml:space="preserve">w grubości: </w:t>
      </w:r>
      <w:r>
        <w:tab/>
        <w:t>+2 mm i –1 mm dla 20% ilości</w:t>
      </w:r>
    </w:p>
    <w:p w14:paraId="002C7651" w14:textId="77777777" w:rsidR="007F2EC9" w:rsidRDefault="00954459">
      <w:pPr>
        <w:numPr>
          <w:ilvl w:val="0"/>
          <w:numId w:val="9"/>
        </w:numPr>
        <w:ind w:right="0" w:hanging="232"/>
      </w:pPr>
      <w:r>
        <w:t>odchyłki wymiarowe krawędziaków na grubości i szerokości nie powinny być większe niż +3 mm i –2 mm.</w:t>
      </w:r>
    </w:p>
    <w:p w14:paraId="44C3B98C" w14:textId="77777777" w:rsidR="007F2EC9" w:rsidRDefault="00954459">
      <w:pPr>
        <w:numPr>
          <w:ilvl w:val="0"/>
          <w:numId w:val="9"/>
        </w:numPr>
        <w:ind w:right="0" w:hanging="232"/>
      </w:pPr>
      <w:r>
        <w:t>odchyłki wymiarowe belek na grubości i szerokości nie powinny być większe niż +3 mm i –2 mm.</w:t>
      </w:r>
    </w:p>
    <w:p w14:paraId="23B20B93" w14:textId="77777777" w:rsidR="007F2EC9" w:rsidRDefault="00954459">
      <w:pPr>
        <w:ind w:left="261" w:right="85"/>
      </w:pPr>
      <w:r>
        <w:rPr>
          <w:u w:val="single" w:color="000000"/>
        </w:rPr>
        <w:t xml:space="preserve"> 2.2.  Łączniki</w:t>
      </w:r>
    </w:p>
    <w:p w14:paraId="0072D4DB" w14:textId="77777777" w:rsidR="007F2EC9" w:rsidRDefault="00954459">
      <w:pPr>
        <w:ind w:left="261" w:right="0"/>
      </w:pPr>
      <w:r>
        <w:t>2.2.1. Gwoździe</w:t>
      </w:r>
    </w:p>
    <w:p w14:paraId="505C8FDA" w14:textId="77777777" w:rsidR="007F2EC9" w:rsidRDefault="00954459">
      <w:pPr>
        <w:ind w:left="261" w:right="4039"/>
      </w:pPr>
      <w:r>
        <w:t>Należy stosować: gwoździe okrąg</w:t>
      </w:r>
      <w:r>
        <w:t>łe wg BN-70/5028-12 2.2.2. Śruby</w:t>
      </w:r>
    </w:p>
    <w:p w14:paraId="0A07842D" w14:textId="77777777" w:rsidR="007F2EC9" w:rsidRDefault="00954459">
      <w:pPr>
        <w:ind w:left="261" w:right="0"/>
      </w:pPr>
      <w:r>
        <w:t>Należy stosować:</w:t>
      </w:r>
    </w:p>
    <w:p w14:paraId="5D667974" w14:textId="77777777" w:rsidR="007F2EC9" w:rsidRDefault="00954459">
      <w:pPr>
        <w:ind w:left="261" w:right="0"/>
      </w:pPr>
      <w:r>
        <w:t>Śruby z łbem sześciokątnym wg PN-EN – ISO 4014:2002</w:t>
      </w:r>
    </w:p>
    <w:p w14:paraId="3F4E3F71" w14:textId="77777777" w:rsidR="007F2EC9" w:rsidRDefault="00954459">
      <w:pPr>
        <w:ind w:left="261" w:right="4683"/>
      </w:pPr>
      <w:r>
        <w:t>Śruby z łbem kwadratowym wg PN-88/M-82121 2.2.3. Nakrętki:</w:t>
      </w:r>
    </w:p>
    <w:p w14:paraId="37E4A5E5" w14:textId="77777777" w:rsidR="007F2EC9" w:rsidRDefault="00954459">
      <w:pPr>
        <w:ind w:left="261" w:right="0"/>
      </w:pPr>
      <w:r>
        <w:t>Należy stosować:</w:t>
      </w:r>
    </w:p>
    <w:p w14:paraId="59BD25D8" w14:textId="77777777" w:rsidR="007F2EC9" w:rsidRDefault="00954459">
      <w:pPr>
        <w:spacing w:after="0" w:line="231" w:lineRule="auto"/>
        <w:ind w:left="263" w:right="5041" w:hanging="10"/>
        <w:jc w:val="both"/>
      </w:pPr>
      <w:r>
        <w:t>Nakrętki sześciokątne wg PN-EN-ISO 4034:2002 Nakrętki kwadratowe wg PN-88/M-82</w:t>
      </w:r>
      <w:r>
        <w:t>151. 2.2.4. Podkładki pod śruby Należy stosować:</w:t>
      </w:r>
    </w:p>
    <w:p w14:paraId="4861BFA3" w14:textId="77777777" w:rsidR="007F2EC9" w:rsidRDefault="00954459">
      <w:pPr>
        <w:spacing w:after="0" w:line="231" w:lineRule="auto"/>
        <w:ind w:left="263" w:right="5620" w:hanging="10"/>
        <w:jc w:val="both"/>
      </w:pPr>
      <w:r>
        <w:t>Podkładki kwadratowe wg PN-59/M-82010 2.2.5. Wkręty do drewna Należy stosować:</w:t>
      </w:r>
    </w:p>
    <w:p w14:paraId="6901A6D4" w14:textId="77777777" w:rsidR="007F2EC9" w:rsidRDefault="00954459">
      <w:pPr>
        <w:ind w:left="261" w:right="0"/>
      </w:pPr>
      <w:r>
        <w:t>Wkręty do drewna z łbem sześciokątnym wg PN-85/M-82501</w:t>
      </w:r>
    </w:p>
    <w:p w14:paraId="7F6A1251" w14:textId="77777777" w:rsidR="007F2EC9" w:rsidRDefault="00954459">
      <w:pPr>
        <w:ind w:left="261" w:right="0"/>
      </w:pPr>
      <w:r>
        <w:t>Wkręty do drewna z łbem stożkowym wg PN-85/M-82503</w:t>
      </w:r>
    </w:p>
    <w:p w14:paraId="234D9E92" w14:textId="77777777" w:rsidR="007F2EC9" w:rsidRDefault="00954459">
      <w:pPr>
        <w:ind w:left="261" w:right="0"/>
      </w:pPr>
      <w:r>
        <w:t>Wkręty do drewna z łbe</w:t>
      </w:r>
      <w:r>
        <w:t>m kulistym wg PN-85/M-82505</w:t>
      </w:r>
    </w:p>
    <w:p w14:paraId="73C9054D" w14:textId="77777777" w:rsidR="007F2EC9" w:rsidRDefault="00954459">
      <w:pPr>
        <w:ind w:left="261" w:right="0"/>
      </w:pPr>
      <w:r>
        <w:t>2.2.6. Środki ochrony drewna</w:t>
      </w:r>
    </w:p>
    <w:p w14:paraId="01DD5902" w14:textId="77777777" w:rsidR="007F2EC9" w:rsidRDefault="00954459">
      <w:pPr>
        <w:ind w:left="261" w:right="157"/>
      </w:pPr>
      <w:r>
        <w:t>Do ochrony drewna przed grzybami, owadami oraz zabezpieczające przed działaniem ognia powinny być stosowane wyłącznie środki dopuszczone do stosowania decyzją nr 2/ITB-ITD/87 z 05.08.1989 r. a)</w:t>
      </w:r>
      <w:r>
        <w:tab/>
        <w:t>Środk</w:t>
      </w:r>
      <w:r>
        <w:t>i do ochrony przed grzybami i owadami</w:t>
      </w:r>
    </w:p>
    <w:p w14:paraId="23AC42EC" w14:textId="77777777" w:rsidR="007F2EC9" w:rsidRDefault="00954459">
      <w:pPr>
        <w:numPr>
          <w:ilvl w:val="0"/>
          <w:numId w:val="10"/>
        </w:numPr>
        <w:ind w:right="2255" w:hanging="1304"/>
      </w:pPr>
      <w:r>
        <w:t>Środki do zabezpieczenia przed sinizną i pleśnieniem</w:t>
      </w:r>
    </w:p>
    <w:p w14:paraId="22901D1F" w14:textId="77777777" w:rsidR="007F2EC9" w:rsidRDefault="00954459">
      <w:pPr>
        <w:numPr>
          <w:ilvl w:val="0"/>
          <w:numId w:val="10"/>
        </w:numPr>
        <w:ind w:right="2255" w:hanging="1304"/>
      </w:pPr>
      <w:r>
        <w:t xml:space="preserve">Środki zabezpieczające przed działaniem ognia. </w:t>
      </w:r>
      <w:r>
        <w:rPr>
          <w:u w:val="single" w:color="000000"/>
        </w:rPr>
        <w:t xml:space="preserve"> 2.3.  Składowanie materiałów i konstrukcji drewnianej</w:t>
      </w:r>
    </w:p>
    <w:p w14:paraId="0DBA0063" w14:textId="77777777" w:rsidR="007F2EC9" w:rsidRDefault="00954459">
      <w:pPr>
        <w:ind w:left="261" w:right="0"/>
      </w:pPr>
      <w:r>
        <w:t xml:space="preserve">2.3.1. </w:t>
      </w:r>
      <w:r>
        <w:tab/>
      </w:r>
      <w:r>
        <w:t>Materiały i elementy z drewna powinny być składowane na poziomym podłożu utwardzonym lub odizolowanym od elementów warstwą folii.</w:t>
      </w:r>
    </w:p>
    <w:p w14:paraId="33AD8C70" w14:textId="77777777" w:rsidR="007F2EC9" w:rsidRDefault="00954459">
      <w:pPr>
        <w:ind w:left="261" w:right="0"/>
      </w:pPr>
      <w:r>
        <w:t>Elementy powinny być składowane w pozycji poziomej na podkładkach rozmieszczonych w taki sposób aby nie powodować ich deformac</w:t>
      </w:r>
      <w:r>
        <w:t>ji. Odległość składowanych elementów od podłoża nie powinna być mniejsza od 20 cm.</w:t>
      </w:r>
    </w:p>
    <w:p w14:paraId="4E2CF925" w14:textId="77777777" w:rsidR="00954459" w:rsidRDefault="00954459">
      <w:pPr>
        <w:ind w:left="261" w:right="319"/>
        <w:rPr>
          <w:u w:val="single" w:color="000000"/>
        </w:rPr>
      </w:pPr>
      <w:r>
        <w:t xml:space="preserve">2.3.2. </w:t>
      </w:r>
      <w:r>
        <w:tab/>
        <w:t>Łączniki i materiały do ochrony drewna należy składować w oryginalnych opakowaniach w zamkniętych pomieszczeniach magazynowych, zabezpieczających przed działaniem cz</w:t>
      </w:r>
      <w:r>
        <w:t xml:space="preserve">ynników atmosferycznych. </w:t>
      </w:r>
      <w:r>
        <w:rPr>
          <w:u w:val="single" w:color="000000"/>
        </w:rPr>
        <w:t xml:space="preserve"> </w:t>
      </w:r>
    </w:p>
    <w:p w14:paraId="0B89440F" w14:textId="77777777" w:rsidR="00954459" w:rsidRDefault="00954459">
      <w:pPr>
        <w:ind w:left="261" w:right="319"/>
        <w:rPr>
          <w:u w:val="single" w:color="000000"/>
        </w:rPr>
      </w:pPr>
    </w:p>
    <w:p w14:paraId="23F1808D" w14:textId="2E5EF27C" w:rsidR="007F2EC9" w:rsidRDefault="00954459">
      <w:pPr>
        <w:ind w:left="261" w:right="319"/>
      </w:pPr>
      <w:r>
        <w:rPr>
          <w:u w:val="single" w:color="000000"/>
        </w:rPr>
        <w:t>2.4.  Badania na budowie</w:t>
      </w:r>
    </w:p>
    <w:p w14:paraId="02DD6F3A" w14:textId="77777777" w:rsidR="007F2EC9" w:rsidRDefault="00954459">
      <w:pPr>
        <w:ind w:left="261" w:right="0"/>
      </w:pPr>
      <w:r>
        <w:t>Każda partia materiału dostarczona na budowę przed jej wbudowaniem musi uzyskać akceptację Inżyniera.</w:t>
      </w:r>
    </w:p>
    <w:p w14:paraId="0400BAEC" w14:textId="77777777" w:rsidR="007F2EC9" w:rsidRDefault="00954459">
      <w:pPr>
        <w:ind w:left="261" w:right="0"/>
      </w:pPr>
      <w:r>
        <w:t>Materiały uzyskane z rozbiórki przeznaczone do ponownego wbudowania kwalifikuje Inżynier.</w:t>
      </w:r>
    </w:p>
    <w:p w14:paraId="2B0FA1B7" w14:textId="77777777" w:rsidR="007F2EC9" w:rsidRDefault="00954459">
      <w:pPr>
        <w:ind w:left="261" w:right="0"/>
      </w:pPr>
      <w:r>
        <w:t>Odbiór materi</w:t>
      </w:r>
      <w:r>
        <w:t>ałów z ewentualnymi zaleceniami szczegółowymi potwierdza Inżynier wpisem do dziennika budowy.</w:t>
      </w:r>
    </w:p>
    <w:p w14:paraId="11BBB9DF" w14:textId="77777777" w:rsidR="007F2EC9" w:rsidRDefault="00954459">
      <w:pPr>
        <w:ind w:left="261" w:right="85"/>
      </w:pPr>
      <w:r>
        <w:rPr>
          <w:u w:val="single" w:color="000000"/>
        </w:rPr>
        <w:t xml:space="preserve"> 2.3.  Blacha stalowa powlekana   wg PN-61/B-10245, PN-EN 10203:1998</w:t>
      </w:r>
    </w:p>
    <w:p w14:paraId="69D666C7" w14:textId="77777777" w:rsidR="007F2EC9" w:rsidRDefault="00954459">
      <w:pPr>
        <w:numPr>
          <w:ilvl w:val="0"/>
          <w:numId w:val="11"/>
        </w:numPr>
        <w:ind w:right="85" w:hanging="166"/>
      </w:pPr>
      <w:r>
        <w:rPr>
          <w:u w:val="single" w:color="000000"/>
        </w:rPr>
        <w:t xml:space="preserve">4.Blacha </w:t>
      </w:r>
      <w:proofErr w:type="spellStart"/>
      <w:r>
        <w:rPr>
          <w:u w:val="single" w:color="000000"/>
        </w:rPr>
        <w:t>dachówkopodobna</w:t>
      </w:r>
      <w:proofErr w:type="spellEnd"/>
    </w:p>
    <w:p w14:paraId="6131E2C7" w14:textId="77777777" w:rsidR="007F2EC9" w:rsidRDefault="00954459">
      <w:pPr>
        <w:ind w:left="261" w:right="0"/>
      </w:pPr>
      <w:r>
        <w:t xml:space="preserve">Profilowane arkusze blachy stalowej o grub. min. 0,5 mm obustronnie </w:t>
      </w:r>
      <w:r>
        <w:t>ocynkowanej. Grubość powłoki cynku wynosi min. 275 g/m</w:t>
      </w:r>
      <w:r>
        <w:rPr>
          <w:sz w:val="18"/>
          <w:vertAlign w:val="superscript"/>
        </w:rPr>
        <w:t>2</w:t>
      </w:r>
      <w:r>
        <w:t xml:space="preserve">. Cała powierzchnia płyt zabezpieczona jest obustronnie powłoką dekoracyjną </w:t>
      </w:r>
      <w:r>
        <w:lastRenderedPageBreak/>
        <w:t>akrylową lub poliestrowo-silikonową. Dopuszcza się posypkę zewnętrzną z piasku kwarcowego. Kolor określa projekt techniczny.</w:t>
      </w:r>
    </w:p>
    <w:p w14:paraId="51D5E5D3" w14:textId="77777777" w:rsidR="007F2EC9" w:rsidRDefault="00954459">
      <w:pPr>
        <w:ind w:left="261" w:right="0"/>
      </w:pPr>
      <w:r>
        <w:t>Jakość powłok akrylowych musi być zgodna normą PN-84/H-92126.</w:t>
      </w:r>
    </w:p>
    <w:p w14:paraId="15DEC152" w14:textId="77777777" w:rsidR="007F2EC9" w:rsidRDefault="00954459">
      <w:pPr>
        <w:ind w:left="261" w:right="0"/>
      </w:pPr>
      <w:r>
        <w:t>Płyty dachówkowe muszą posiadać aktualną decyzję ITB o dopuszczeniu do stosowania i pozytywną opinię Państwowego Zakładu Higieny.</w:t>
      </w:r>
    </w:p>
    <w:p w14:paraId="1DAB2F52" w14:textId="77777777" w:rsidR="007F2EC9" w:rsidRDefault="00954459">
      <w:pPr>
        <w:ind w:left="261" w:right="85"/>
      </w:pPr>
      <w:r>
        <w:rPr>
          <w:u w:val="single" w:color="000000"/>
        </w:rPr>
        <w:t>2.5. Łączniki</w:t>
      </w:r>
    </w:p>
    <w:p w14:paraId="4B433009" w14:textId="77777777" w:rsidR="007F2EC9" w:rsidRDefault="00954459">
      <w:pPr>
        <w:ind w:left="261" w:right="0"/>
      </w:pPr>
      <w:r>
        <w:t>Do mocowania  blaszanych stosować gwoździe lub wkr</w:t>
      </w:r>
      <w:r>
        <w:t>ęty ocynkowane wg wskazań producenta materiałów pokryciowych</w:t>
      </w:r>
    </w:p>
    <w:p w14:paraId="6B969B8A" w14:textId="77777777" w:rsidR="007F2EC9" w:rsidRDefault="00954459">
      <w:pPr>
        <w:pStyle w:val="Nagwek2"/>
        <w:tabs>
          <w:tab w:val="center" w:pos="351"/>
          <w:tab w:val="center" w:pos="1014"/>
        </w:tabs>
        <w:spacing w:after="210"/>
        <w:ind w:left="0" w:righ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3. </w:t>
      </w:r>
      <w:r>
        <w:tab/>
        <w:t>Sprzęt</w:t>
      </w:r>
    </w:p>
    <w:p w14:paraId="0BD9E7E9" w14:textId="77777777" w:rsidR="007F2EC9" w:rsidRDefault="00954459">
      <w:pPr>
        <w:ind w:left="261" w:right="0"/>
      </w:pPr>
      <w:r>
        <w:t>Do transportu i montażu konstrukcji drewna  należy używać dowolnego sprzętu.</w:t>
      </w:r>
    </w:p>
    <w:p w14:paraId="41A282FA" w14:textId="77777777" w:rsidR="007F2EC9" w:rsidRDefault="00954459">
      <w:pPr>
        <w:ind w:left="261" w:right="214"/>
      </w:pPr>
      <w:r>
        <w:t>–</w:t>
      </w:r>
      <w:r>
        <w:tab/>
        <w:t>sprzęt pomocniczy powinien być przechowywany w zamykanych pomieszczeniach. –</w:t>
      </w:r>
      <w:r>
        <w:tab/>
        <w:t xml:space="preserve">stanowisko robocze powinno </w:t>
      </w:r>
      <w:r>
        <w:t>być urządzone zgodnie z przepisami bhp i przeciwpożarowymi, zabezpieczone od wpływów atmosferycznych, oświetlone z dostateczną wentylacją.</w:t>
      </w:r>
    </w:p>
    <w:p w14:paraId="1287868B" w14:textId="77777777" w:rsidR="007F2EC9" w:rsidRDefault="00954459">
      <w:pPr>
        <w:ind w:left="261" w:right="0"/>
      </w:pPr>
      <w:r>
        <w:t>Stanowisko robocze powinno być odebrane przez Inżyniera.</w:t>
      </w:r>
    </w:p>
    <w:p w14:paraId="74412E2D" w14:textId="77777777" w:rsidR="007F2EC9" w:rsidRDefault="00954459">
      <w:pPr>
        <w:ind w:left="261" w:right="2862"/>
      </w:pPr>
      <w:r>
        <w:t xml:space="preserve">Roboty można wykonać ręcznie lub przy użyciu dowolnego typu sprzętu. </w:t>
      </w:r>
      <w:r>
        <w:rPr>
          <w:b/>
        </w:rPr>
        <w:t xml:space="preserve">4. </w:t>
      </w:r>
      <w:r>
        <w:rPr>
          <w:b/>
        </w:rPr>
        <w:tab/>
        <w:t>Transport</w:t>
      </w:r>
    </w:p>
    <w:p w14:paraId="03957095" w14:textId="77777777" w:rsidR="007F2EC9" w:rsidRDefault="00954459">
      <w:pPr>
        <w:ind w:left="261" w:right="0"/>
      </w:pPr>
      <w:r>
        <w:t>Materiały i elementy mogą być przewożone dowolnymi środkami transportu.</w:t>
      </w:r>
    </w:p>
    <w:p w14:paraId="170CBDE7" w14:textId="77777777" w:rsidR="007F2EC9" w:rsidRDefault="00954459">
      <w:pPr>
        <w:ind w:left="261" w:right="0"/>
      </w:pPr>
      <w:r>
        <w:t>Podczas transportu materiały i elementy konstrukcji powinny być zabezpieczone przed uszkodzeniami lub utratą stateczności.</w:t>
      </w:r>
    </w:p>
    <w:p w14:paraId="5EDDFC1E" w14:textId="77777777" w:rsidR="007F2EC9" w:rsidRDefault="00954459">
      <w:pPr>
        <w:pStyle w:val="Nagwek2"/>
        <w:tabs>
          <w:tab w:val="center" w:pos="351"/>
          <w:tab w:val="center" w:pos="1518"/>
        </w:tabs>
        <w:ind w:left="0" w:righ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5. </w:t>
      </w:r>
      <w:r>
        <w:tab/>
        <w:t>Wykonanie robót</w:t>
      </w:r>
    </w:p>
    <w:p w14:paraId="051DE365" w14:textId="77777777" w:rsidR="007F2EC9" w:rsidRDefault="00954459">
      <w:pPr>
        <w:pStyle w:val="Nagwek3"/>
      </w:pPr>
      <w:r>
        <w:t xml:space="preserve"> 5.1. Dach – więźba dachowa , pokrycie , obróbki</w:t>
      </w:r>
    </w:p>
    <w:p w14:paraId="66A93AA8" w14:textId="77777777" w:rsidR="007F2EC9" w:rsidRDefault="00954459">
      <w:pPr>
        <w:ind w:left="261" w:right="85"/>
      </w:pPr>
      <w:r>
        <w:rPr>
          <w:u w:val="single" w:color="000000"/>
        </w:rPr>
        <w:t xml:space="preserve">   Roboty należy prowadzić zgodnie z dokumentacją techniczną pr</w:t>
      </w:r>
      <w:r>
        <w:rPr>
          <w:u w:val="single" w:color="000000"/>
        </w:rPr>
        <w:t xml:space="preserve">zy  udziale środków, które zapewnią     osiągnięcie projektowanej wytrzymałości, układu geometrycznego i wymiarów konstrukcji. </w:t>
      </w:r>
      <w:r>
        <w:t xml:space="preserve">   Zaprojektowaną  z drewna konstrukcję dachu  należy zabezpieczyć atestowanym środkiem ogniochronnym   dopuszczonym do stosowani</w:t>
      </w:r>
      <w:r>
        <w:t xml:space="preserve">a w budownictwie  prze jednostkę certyfikującą wyroby . </w:t>
      </w:r>
      <w:r>
        <w:rPr>
          <w:b/>
        </w:rPr>
        <w:t xml:space="preserve">Tak wykonana impregnacja  pozwala uzyskać materiał klasyfikowany jako </w:t>
      </w:r>
      <w:r>
        <w:rPr>
          <w:b/>
          <w:u w:val="single" w:color="000000"/>
        </w:rPr>
        <w:t>niezapalny</w:t>
      </w:r>
      <w:r>
        <w:rPr>
          <w:b/>
        </w:rPr>
        <w:t xml:space="preserve"> .       </w:t>
      </w:r>
      <w:r>
        <w:t xml:space="preserve">  </w:t>
      </w:r>
    </w:p>
    <w:p w14:paraId="053C3C3E" w14:textId="77777777" w:rsidR="007F2EC9" w:rsidRDefault="00954459">
      <w:pPr>
        <w:ind w:left="261" w:right="85"/>
      </w:pPr>
      <w:r>
        <w:rPr>
          <w:u w:val="single" w:color="000000"/>
        </w:rPr>
        <w:t xml:space="preserve"> 5.1.    1.Więźba dachowa</w:t>
      </w:r>
    </w:p>
    <w:p w14:paraId="72DFB7A4" w14:textId="77777777" w:rsidR="007F2EC9" w:rsidRDefault="00954459">
      <w:pPr>
        <w:ind w:left="261" w:right="0"/>
      </w:pPr>
      <w:r>
        <w:t>5.1.2.  Przekroje i rozmieszczenie elementów powinno być zgodne z dokumentacją tec</w:t>
      </w:r>
      <w:r>
        <w:t>hniczną.</w:t>
      </w:r>
    </w:p>
    <w:p w14:paraId="0B94F35C" w14:textId="77777777" w:rsidR="007F2EC9" w:rsidRDefault="00954459">
      <w:pPr>
        <w:ind w:left="261" w:right="0"/>
      </w:pPr>
      <w:r>
        <w:t>5.1.3.  Przy wykonywaniu jednakowych elementów należy stosować wzorniki z ostruganych desek lub ze sklejki. Dokładność wykonania wzornika powinna wynosić do 1 mm.</w:t>
      </w:r>
    </w:p>
    <w:p w14:paraId="6C48CFBC" w14:textId="77777777" w:rsidR="007F2EC9" w:rsidRDefault="00954459">
      <w:pPr>
        <w:ind w:left="261" w:right="0"/>
      </w:pPr>
      <w:r>
        <w:t>5.1.4.  Długość elementów wykonanych według wzornika nie powinny różnić się od proje</w:t>
      </w:r>
      <w:r>
        <w:t>ktowanych więcej jak 0,5 mm.</w:t>
      </w:r>
    </w:p>
    <w:p w14:paraId="40564BCB" w14:textId="77777777" w:rsidR="007F2EC9" w:rsidRDefault="00954459">
      <w:pPr>
        <w:ind w:left="261" w:right="0"/>
      </w:pPr>
      <w:r>
        <w:t>5.1.5.  Dopuszcza się następujące odchyłki:</w:t>
      </w:r>
    </w:p>
    <w:p w14:paraId="49A6852F" w14:textId="77777777" w:rsidR="007F2EC9" w:rsidRDefault="00954459">
      <w:pPr>
        <w:ind w:left="261" w:right="4271"/>
      </w:pPr>
      <w:r>
        <w:t>–w rozstawie belek ,krokwi lub dźwigarów drewnianych: do 2 cm w osiach rozstawu belek</w:t>
      </w:r>
    </w:p>
    <w:p w14:paraId="14503F22" w14:textId="77777777" w:rsidR="007F2EC9" w:rsidRDefault="00954459">
      <w:pPr>
        <w:ind w:left="261" w:right="0"/>
      </w:pPr>
      <w:r>
        <w:t>do 1 cm w osiach rozstawu krokwi i dźwigarów drewnianych</w:t>
      </w:r>
    </w:p>
    <w:p w14:paraId="6592B3C5" w14:textId="77777777" w:rsidR="007F2EC9" w:rsidRDefault="00954459">
      <w:pPr>
        <w:ind w:left="261" w:right="5844"/>
      </w:pPr>
      <w:r>
        <w:t>– w długości elementu do 20 mm – w odleg</w:t>
      </w:r>
      <w:r>
        <w:t>łości między węzłami do 5 mm – w wysokości do 10 mm.</w:t>
      </w:r>
    </w:p>
    <w:p w14:paraId="48078427" w14:textId="77777777" w:rsidR="007F2EC9" w:rsidRDefault="00954459">
      <w:pPr>
        <w:ind w:left="261" w:right="0"/>
      </w:pPr>
      <w:r>
        <w:t>5.1.6. Elementy więźby dachowej stykające się z murem lub betonem powinny być w miejscach styku odizolowane jedną warstwą papy.</w:t>
      </w:r>
    </w:p>
    <w:p w14:paraId="6365A21C" w14:textId="77777777" w:rsidR="007F2EC9" w:rsidRDefault="00954459">
      <w:pPr>
        <w:ind w:left="261" w:right="85"/>
      </w:pPr>
      <w:r>
        <w:rPr>
          <w:u w:val="single" w:color="000000"/>
        </w:rPr>
        <w:t xml:space="preserve"> 5.2.  </w:t>
      </w:r>
      <w:proofErr w:type="spellStart"/>
      <w:r>
        <w:rPr>
          <w:u w:val="single" w:color="000000"/>
        </w:rPr>
        <w:t>Łacenie</w:t>
      </w:r>
      <w:proofErr w:type="spellEnd"/>
      <w:r>
        <w:rPr>
          <w:u w:val="single" w:color="000000"/>
        </w:rPr>
        <w:t xml:space="preserve"> połaci dachowych</w:t>
      </w:r>
    </w:p>
    <w:p w14:paraId="4D08F31F" w14:textId="77777777" w:rsidR="007F2EC9" w:rsidRDefault="00954459">
      <w:pPr>
        <w:ind w:left="261" w:right="0"/>
      </w:pPr>
      <w:r>
        <w:t>5.2.1. Szerokości desek nie powinny być wię</w:t>
      </w:r>
      <w:r>
        <w:t>ksze niż 18 cm.</w:t>
      </w:r>
    </w:p>
    <w:p w14:paraId="6B63DC21" w14:textId="77777777" w:rsidR="007F2EC9" w:rsidRDefault="00954459">
      <w:pPr>
        <w:ind w:left="261" w:right="0"/>
      </w:pPr>
      <w:r>
        <w:t xml:space="preserve">5.2.2. Deski układać stroną dordzeniową ku dołowi i przybijać minimum dwoma gwoździami. Długość gwoździ powinna być co najmniej 2.5 </w:t>
      </w:r>
      <w:proofErr w:type="spellStart"/>
      <w:r>
        <w:t>raza</w:t>
      </w:r>
      <w:proofErr w:type="spellEnd"/>
      <w:r>
        <w:t xml:space="preserve"> większa od grubości desek. Czoła desek powinny stykać się tylko na krokwiach.</w:t>
      </w:r>
    </w:p>
    <w:p w14:paraId="7100BF18" w14:textId="77777777" w:rsidR="007F2EC9" w:rsidRDefault="00954459">
      <w:pPr>
        <w:ind w:left="261" w:right="0"/>
      </w:pPr>
      <w:r>
        <w:t xml:space="preserve">5.2.3.  </w:t>
      </w:r>
      <w:proofErr w:type="spellStart"/>
      <w:r>
        <w:t>Łacenie</w:t>
      </w:r>
      <w:proofErr w:type="spellEnd"/>
      <w:r>
        <w:t xml:space="preserve"> pod pokry</w:t>
      </w:r>
      <w:r>
        <w:t>cie  blachą układane w odległości dostosowanej do rodzaju pokrycia.</w:t>
      </w:r>
    </w:p>
    <w:p w14:paraId="44AFE525" w14:textId="77777777" w:rsidR="007F2EC9" w:rsidRDefault="00954459">
      <w:pPr>
        <w:ind w:left="261" w:right="4761"/>
      </w:pPr>
      <w:r>
        <w:rPr>
          <w:u w:val="single" w:color="000000"/>
        </w:rPr>
        <w:t xml:space="preserve"> 5.2.4.  Podkłady pod pokrycia  </w:t>
      </w:r>
      <w:proofErr w:type="spellStart"/>
      <w:r>
        <w:rPr>
          <w:u w:val="single" w:color="000000"/>
        </w:rPr>
        <w:t>blachowe</w:t>
      </w:r>
      <w:proofErr w:type="spellEnd"/>
      <w:r>
        <w:rPr>
          <w:u w:val="single" w:color="000000"/>
        </w:rPr>
        <w:t xml:space="preserve"> </w:t>
      </w:r>
      <w:r>
        <w:t>Wymagania ogólne:</w:t>
      </w:r>
    </w:p>
    <w:p w14:paraId="2AF685CC" w14:textId="77777777" w:rsidR="007F2EC9" w:rsidRDefault="00954459">
      <w:pPr>
        <w:numPr>
          <w:ilvl w:val="0"/>
          <w:numId w:val="12"/>
        </w:numPr>
        <w:spacing w:after="0" w:line="231" w:lineRule="auto"/>
        <w:ind w:right="0" w:hanging="232"/>
      </w:pPr>
      <w:r>
        <w:t>równość powierzchni deskowania i łat powinna być taka, aby prześwit między nią a łatą kontrolną o długości 3,0 m był nie większy niż 5 mm w kierunku prostopadłym do spadku i nie większy niż 10 mm w kierunku równoległym,</w:t>
      </w:r>
    </w:p>
    <w:p w14:paraId="4E77B647" w14:textId="77777777" w:rsidR="007F2EC9" w:rsidRDefault="00954459">
      <w:pPr>
        <w:numPr>
          <w:ilvl w:val="0"/>
          <w:numId w:val="12"/>
        </w:numPr>
        <w:ind w:right="0" w:hanging="232"/>
      </w:pPr>
      <w:r>
        <w:t xml:space="preserve">podkład powinien być </w:t>
      </w:r>
      <w:proofErr w:type="spellStart"/>
      <w:r>
        <w:t>zdylatowany</w:t>
      </w:r>
      <w:proofErr w:type="spellEnd"/>
      <w:r>
        <w:t xml:space="preserve"> w m</w:t>
      </w:r>
      <w:r>
        <w:t>iejscach dylatacji konstrukcji,</w:t>
      </w:r>
    </w:p>
    <w:p w14:paraId="6198B375" w14:textId="77777777" w:rsidR="007F2EC9" w:rsidRDefault="00954459">
      <w:pPr>
        <w:numPr>
          <w:ilvl w:val="0"/>
          <w:numId w:val="12"/>
        </w:numPr>
        <w:ind w:right="0" w:hanging="232"/>
      </w:pPr>
      <w:r>
        <w:t>w podkładzie powinny być osadzone uchwyty do zawieszenia rynien.</w:t>
      </w:r>
    </w:p>
    <w:p w14:paraId="3A297E66" w14:textId="77777777" w:rsidR="007F2EC9" w:rsidRDefault="00954459">
      <w:pPr>
        <w:numPr>
          <w:ilvl w:val="0"/>
          <w:numId w:val="12"/>
        </w:numPr>
        <w:ind w:right="0" w:hanging="232"/>
      </w:pPr>
      <w:r>
        <w:t>łaty do wykonania podkładu powinny mieć przekrój min.38x50 mm,</w:t>
      </w:r>
    </w:p>
    <w:p w14:paraId="64E2E24C" w14:textId="77777777" w:rsidR="007F2EC9" w:rsidRDefault="00954459">
      <w:pPr>
        <w:numPr>
          <w:ilvl w:val="0"/>
          <w:numId w:val="12"/>
        </w:numPr>
        <w:ind w:right="0" w:hanging="232"/>
      </w:pPr>
      <w:r>
        <w:t>łaty należy przybijać do krokwi jednym gwoździem; styki łat powinny znajdować się na krokwiach,</w:t>
      </w:r>
    </w:p>
    <w:p w14:paraId="4B30F080" w14:textId="77777777" w:rsidR="00954459" w:rsidRDefault="00954459">
      <w:pPr>
        <w:numPr>
          <w:ilvl w:val="0"/>
          <w:numId w:val="12"/>
        </w:numPr>
        <w:ind w:right="0" w:hanging="232"/>
      </w:pPr>
      <w:r>
        <w:t xml:space="preserve">rozstaw osiowy łat należy dostosować do rodzaju pokrycia, </w:t>
      </w:r>
    </w:p>
    <w:p w14:paraId="6F10763E" w14:textId="2C04B217" w:rsidR="007F2EC9" w:rsidRDefault="00954459">
      <w:pPr>
        <w:numPr>
          <w:ilvl w:val="0"/>
          <w:numId w:val="12"/>
        </w:numPr>
        <w:ind w:right="0" w:hanging="232"/>
      </w:pPr>
      <w:r>
        <w:rPr>
          <w:u w:val="single" w:color="000000"/>
        </w:rPr>
        <w:t xml:space="preserve"> 5.3.  Krycie blachą  powlekaną  - </w:t>
      </w:r>
      <w:r>
        <w:t>kolor jak na istniejącym budynku</w:t>
      </w:r>
    </w:p>
    <w:p w14:paraId="6595134B" w14:textId="77777777" w:rsidR="007F2EC9" w:rsidRDefault="00954459">
      <w:pPr>
        <w:ind w:left="261" w:right="85"/>
      </w:pPr>
      <w:r>
        <w:rPr>
          <w:u w:val="single" w:color="000000"/>
        </w:rPr>
        <w:t xml:space="preserve"> 5.4.  Obróbki blacharskie</w:t>
      </w:r>
    </w:p>
    <w:p w14:paraId="23121E4E" w14:textId="77777777" w:rsidR="007F2EC9" w:rsidRDefault="00954459">
      <w:pPr>
        <w:ind w:left="261" w:right="0"/>
      </w:pPr>
      <w:r>
        <w:lastRenderedPageBreak/>
        <w:t>· obróbki blacharskie powinny być dostosowane do wielkości pochylenia połaci,</w:t>
      </w:r>
    </w:p>
    <w:p w14:paraId="09216C0F" w14:textId="77777777" w:rsidR="007F2EC9" w:rsidRDefault="00954459">
      <w:pPr>
        <w:ind w:left="261" w:right="0"/>
      </w:pPr>
      <w:r>
        <w:t>· roboty blacharskie z bl</w:t>
      </w:r>
      <w:r>
        <w:t>achy powlekanej można wykonywać o każdej porze roku, lecz w temperaturze nie niższej od –15°C.</w:t>
      </w:r>
    </w:p>
    <w:p w14:paraId="623B2721" w14:textId="77777777" w:rsidR="007F2EC9" w:rsidRDefault="00954459">
      <w:pPr>
        <w:ind w:left="261" w:right="0"/>
      </w:pPr>
      <w:r>
        <w:t>Robót nie można wykonywać na oblodzonych podłożach.</w:t>
      </w:r>
    </w:p>
    <w:p w14:paraId="12591939" w14:textId="77777777" w:rsidR="007F2EC9" w:rsidRDefault="00954459">
      <w:pPr>
        <w:ind w:left="261" w:right="85"/>
      </w:pPr>
      <w:r>
        <w:rPr>
          <w:u w:val="single" w:color="000000"/>
        </w:rPr>
        <w:t xml:space="preserve"> 5.4.1  Rynny z blachy powlekanej </w:t>
      </w:r>
    </w:p>
    <w:p w14:paraId="7F295953" w14:textId="77777777" w:rsidR="007F2EC9" w:rsidRDefault="00954459">
      <w:pPr>
        <w:ind w:left="261" w:right="0"/>
      </w:pPr>
      <w:r>
        <w:t>· rynny powinny być wykonane z pojedynczych członów odpowiadających długoś</w:t>
      </w:r>
      <w:r>
        <w:t>ci arkusza blachy i składany w elementy wieloczłonowe,</w:t>
      </w:r>
    </w:p>
    <w:p w14:paraId="7054B924" w14:textId="77777777" w:rsidR="007F2EC9" w:rsidRDefault="00954459">
      <w:pPr>
        <w:ind w:left="261" w:right="0"/>
      </w:pPr>
      <w:r>
        <w:t>· powinny być łączone w złączach poziomych na zakład szerokości 40mm; złącza powinny być lutowane na całej długości,</w:t>
      </w:r>
    </w:p>
    <w:p w14:paraId="7D4F7ACF" w14:textId="77777777" w:rsidR="007F2EC9" w:rsidRDefault="00954459">
      <w:pPr>
        <w:ind w:left="261" w:right="0"/>
      </w:pPr>
      <w:r>
        <w:t>· rynny powinny być mocowane do deskowania i krokwi uchwytami, rozstawionymi w odstę</w:t>
      </w:r>
      <w:r>
        <w:t>pach nie większych niż 50 cm,</w:t>
      </w:r>
    </w:p>
    <w:p w14:paraId="6D274438" w14:textId="77777777" w:rsidR="007F2EC9" w:rsidRDefault="00954459">
      <w:pPr>
        <w:ind w:left="261" w:right="0"/>
      </w:pPr>
      <w:r>
        <w:t>· spadki rynien regulować na uchwytach zgodnie z projektem,</w:t>
      </w:r>
    </w:p>
    <w:p w14:paraId="1670FD46" w14:textId="77777777" w:rsidR="007F2EC9" w:rsidRDefault="00954459">
      <w:pPr>
        <w:ind w:left="261" w:right="0"/>
      </w:pPr>
      <w:r>
        <w:t>· rynny powinny mieć wlutowane wpusty do rur spustowych,</w:t>
      </w:r>
    </w:p>
    <w:p w14:paraId="07B133AF" w14:textId="77777777" w:rsidR="007F2EC9" w:rsidRDefault="00954459">
      <w:pPr>
        <w:ind w:left="261" w:right="85"/>
      </w:pPr>
      <w:r>
        <w:rPr>
          <w:u w:val="single" w:color="000000"/>
        </w:rPr>
        <w:t xml:space="preserve"> 5.4.2.  Rury spustowe – z blachy jw.</w:t>
      </w:r>
    </w:p>
    <w:p w14:paraId="34187E77" w14:textId="77777777" w:rsidR="007F2EC9" w:rsidRDefault="00954459">
      <w:pPr>
        <w:ind w:left="261" w:right="0"/>
      </w:pPr>
      <w:r>
        <w:t xml:space="preserve">· </w:t>
      </w:r>
      <w:r>
        <w:t>rury spustowe powinny być wykonane z pojedynczych członów odpowiadających długości arkusza blachy i składany w elementy wieloczłonowe,</w:t>
      </w:r>
    </w:p>
    <w:p w14:paraId="2AB8766B" w14:textId="77777777" w:rsidR="007F2EC9" w:rsidRDefault="00954459">
      <w:pPr>
        <w:ind w:left="261" w:right="0"/>
      </w:pPr>
      <w:r>
        <w:t xml:space="preserve">· powinny być łączone w złączach pionowych na rąbek pojedynczy leżący, a w złączach poziomych na zakład szerokości 40mm; </w:t>
      </w:r>
      <w:r>
        <w:t>złącza powinny być lutowane na całej długości,</w:t>
      </w:r>
    </w:p>
    <w:p w14:paraId="01A3C2E3" w14:textId="77777777" w:rsidR="007F2EC9" w:rsidRDefault="00954459">
      <w:pPr>
        <w:ind w:left="261" w:right="0"/>
      </w:pPr>
      <w:r>
        <w:t>· rury spustowe powinny być mocowane do ścian uchwytami, rozstawionymi w odstępach nie większych niż 3 m,</w:t>
      </w:r>
    </w:p>
    <w:p w14:paraId="0278340B" w14:textId="77777777" w:rsidR="007F2EC9" w:rsidRDefault="00954459">
      <w:pPr>
        <w:ind w:left="261" w:right="0"/>
      </w:pPr>
      <w:r>
        <w:t>· uchwyty powinny być mocowane w sposób trwały przez wbicie trzpienia w spoiny muru lub osadzenie w zap</w:t>
      </w:r>
      <w:r>
        <w:t>rawie cementowej w wykutych gniazdach,</w:t>
      </w:r>
    </w:p>
    <w:p w14:paraId="5871389A" w14:textId="77777777" w:rsidR="007F2EC9" w:rsidRDefault="00954459">
      <w:pPr>
        <w:ind w:left="261" w:right="0"/>
      </w:pPr>
      <w:r>
        <w:t>· rury spustowe odprowadzające wodę do kanalizacji powinny być wpuszczone do rury żeliwnej na głębokość kielicha.</w:t>
      </w:r>
    </w:p>
    <w:p w14:paraId="0A95508A" w14:textId="77777777" w:rsidR="007F2EC9" w:rsidRDefault="00954459">
      <w:pPr>
        <w:spacing w:after="209"/>
        <w:ind w:left="261" w:right="85"/>
      </w:pPr>
      <w:r>
        <w:rPr>
          <w:u w:val="single" w:color="000000"/>
        </w:rPr>
        <w:t xml:space="preserve">5.5 Montaż włazów dachowych – zgodnie z opisem </w:t>
      </w:r>
    </w:p>
    <w:p w14:paraId="1D3F682C" w14:textId="77777777" w:rsidR="007F2EC9" w:rsidRDefault="00954459">
      <w:pPr>
        <w:pStyle w:val="Nagwek2"/>
        <w:tabs>
          <w:tab w:val="center" w:pos="351"/>
          <w:tab w:val="center" w:pos="1484"/>
        </w:tabs>
        <w:ind w:left="0" w:righ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6. </w:t>
      </w:r>
      <w:r>
        <w:tab/>
        <w:t>Kontrola jakości</w:t>
      </w:r>
    </w:p>
    <w:p w14:paraId="248C0FA4" w14:textId="77777777" w:rsidR="007F2EC9" w:rsidRDefault="00954459">
      <w:pPr>
        <w:ind w:left="261" w:right="0"/>
      </w:pPr>
      <w:r>
        <w:t>Kontrola jakości polega na sprawdzeniu zgodności wykonania robót z projektem oraz wymaganiami podanymi w punkcie 5.</w:t>
      </w:r>
    </w:p>
    <w:p w14:paraId="2C40CE23" w14:textId="77777777" w:rsidR="007F2EC9" w:rsidRDefault="00954459">
      <w:pPr>
        <w:numPr>
          <w:ilvl w:val="0"/>
          <w:numId w:val="13"/>
        </w:numPr>
        <w:ind w:right="0" w:hanging="442"/>
      </w:pPr>
      <w:r>
        <w:t>Nie należy stosować również materiałów przeterminowanych (po okresie gwarancyjnym).</w:t>
      </w:r>
    </w:p>
    <w:p w14:paraId="4D30DA19" w14:textId="77777777" w:rsidR="007F2EC9" w:rsidRDefault="00954459">
      <w:pPr>
        <w:numPr>
          <w:ilvl w:val="0"/>
          <w:numId w:val="13"/>
        </w:numPr>
        <w:ind w:right="0" w:hanging="442"/>
      </w:pPr>
      <w:r>
        <w:t>Wyniki odbiorów materiałów i wyrobów powinny być każdora</w:t>
      </w:r>
      <w:r>
        <w:t>zowo wpisywane do dziennika budowy</w:t>
      </w:r>
    </w:p>
    <w:p w14:paraId="662BD290" w14:textId="77777777" w:rsidR="007F2EC9" w:rsidRDefault="00954459">
      <w:pPr>
        <w:pStyle w:val="Nagwek2"/>
        <w:tabs>
          <w:tab w:val="center" w:pos="351"/>
          <w:tab w:val="center" w:pos="1341"/>
        </w:tabs>
        <w:ind w:left="0" w:righ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7. </w:t>
      </w:r>
      <w:r>
        <w:tab/>
        <w:t>Obmiar robót</w:t>
      </w:r>
    </w:p>
    <w:p w14:paraId="3A39C437" w14:textId="77777777" w:rsidR="007F2EC9" w:rsidRDefault="00954459">
      <w:pPr>
        <w:ind w:left="261" w:right="0"/>
      </w:pPr>
      <w:r>
        <w:t>Jednostką obmiarową robót jest:</w:t>
      </w:r>
    </w:p>
    <w:p w14:paraId="55294D04" w14:textId="77777777" w:rsidR="007F2EC9" w:rsidRDefault="00954459">
      <w:pPr>
        <w:numPr>
          <w:ilvl w:val="0"/>
          <w:numId w:val="14"/>
        </w:numPr>
        <w:ind w:right="0" w:hanging="866"/>
      </w:pPr>
      <w:r>
        <w:t>dla konstrukcji dachu  - ilość m</w:t>
      </w:r>
      <w:r>
        <w:rPr>
          <w:sz w:val="18"/>
          <w:vertAlign w:val="superscript"/>
        </w:rPr>
        <w:t>3</w:t>
      </w:r>
      <w:r>
        <w:t xml:space="preserve"> wykonanej konstrukcji.</w:t>
      </w:r>
    </w:p>
    <w:p w14:paraId="2C7C86E5" w14:textId="77777777" w:rsidR="007F2EC9" w:rsidRDefault="00954459">
      <w:pPr>
        <w:numPr>
          <w:ilvl w:val="0"/>
          <w:numId w:val="14"/>
        </w:numPr>
        <w:ind w:right="0" w:hanging="866"/>
      </w:pPr>
      <w:r>
        <w:t>pokrycia  dachu           – m</w:t>
      </w:r>
      <w:r>
        <w:rPr>
          <w:sz w:val="18"/>
          <w:vertAlign w:val="superscript"/>
        </w:rPr>
        <w:t>2</w:t>
      </w:r>
      <w:r>
        <w:t xml:space="preserve">  pokrytej powierzchni,</w:t>
      </w:r>
    </w:p>
    <w:p w14:paraId="404FBD02" w14:textId="77777777" w:rsidR="007F2EC9" w:rsidRDefault="00954459">
      <w:pPr>
        <w:numPr>
          <w:ilvl w:val="0"/>
          <w:numId w:val="15"/>
        </w:numPr>
        <w:ind w:right="0" w:hanging="883"/>
      </w:pPr>
      <w:r>
        <w:t>dla robót rynny i rury   – 1 m wykonanych rynien lub rur spu</w:t>
      </w:r>
      <w:r>
        <w:t>stowych.</w:t>
      </w:r>
    </w:p>
    <w:p w14:paraId="4E12C9F2" w14:textId="77777777" w:rsidR="007F2EC9" w:rsidRDefault="00954459">
      <w:pPr>
        <w:ind w:left="261" w:right="207"/>
      </w:pPr>
      <w:r>
        <w:t xml:space="preserve">Ilość robót określa się na podstawie projektu z uwzględnieniem zmian zaaprobowanych przez Inżyniera i sprawdzonych w naturze. </w:t>
      </w:r>
      <w:r>
        <w:rPr>
          <w:b/>
        </w:rPr>
        <w:t xml:space="preserve">8. </w:t>
      </w:r>
      <w:r>
        <w:rPr>
          <w:b/>
        </w:rPr>
        <w:tab/>
        <w:t>Odbiór robót</w:t>
      </w:r>
    </w:p>
    <w:p w14:paraId="41DA290C" w14:textId="77777777" w:rsidR="007F2EC9" w:rsidRDefault="00954459">
      <w:pPr>
        <w:numPr>
          <w:ilvl w:val="1"/>
          <w:numId w:val="17"/>
        </w:numPr>
        <w:ind w:right="85" w:hanging="386"/>
      </w:pPr>
      <w:r>
        <w:rPr>
          <w:u w:val="single" w:color="000000"/>
        </w:rPr>
        <w:t xml:space="preserve">Odbiór </w:t>
      </w:r>
    </w:p>
    <w:p w14:paraId="69658CEB" w14:textId="77777777" w:rsidR="007F2EC9" w:rsidRDefault="00954459">
      <w:pPr>
        <w:ind w:left="261" w:right="0"/>
      </w:pPr>
      <w:r>
        <w:t>· badania podłoża należy przeprowadzać w trakcie odbioru częściowego, podczas suchej pogody, prz</w:t>
      </w:r>
      <w:r>
        <w:t>ed przystąpieniem do krycia połaci dachowych,</w:t>
      </w:r>
    </w:p>
    <w:p w14:paraId="77DC1239" w14:textId="77777777" w:rsidR="007F2EC9" w:rsidRDefault="00954459">
      <w:pPr>
        <w:ind w:left="261" w:right="0"/>
      </w:pPr>
      <w:r>
        <w:t>· sprawdzenie równości powierzchni podłoża (deskowania) należy przeprowadzać za pomocą łaty kontrolnej o długości 2 m lub za pomocą szablonu z podziałką milimetrową. Prześwit między sprawdzaną powierzchnią a ła</w:t>
      </w:r>
      <w:r>
        <w:t>tą nie powinien przekroczyć 5 mm.</w:t>
      </w:r>
    </w:p>
    <w:p w14:paraId="50B40267" w14:textId="77777777" w:rsidR="007F2EC9" w:rsidRDefault="00954459">
      <w:pPr>
        <w:numPr>
          <w:ilvl w:val="1"/>
          <w:numId w:val="17"/>
        </w:numPr>
        <w:ind w:right="85" w:hanging="386"/>
      </w:pPr>
      <w:r>
        <w:rPr>
          <w:u w:val="single" w:color="000000"/>
        </w:rPr>
        <w:t>Odbiór robót pokrywczych</w:t>
      </w:r>
    </w:p>
    <w:p w14:paraId="24CD0043" w14:textId="77777777" w:rsidR="007F2EC9" w:rsidRDefault="00954459">
      <w:pPr>
        <w:ind w:left="261" w:right="0"/>
      </w:pPr>
      <w:r>
        <w:t xml:space="preserve">· </w:t>
      </w:r>
      <w:r>
        <w:t>Roboty pokrywcze, jako roboty zanikające, wymagają odbiorów częściowych. Badania w czasie odbioru częściowego należy przeprowadzać dla tych robót, do których dostęp później jest niemożliwy lub utrudniony.</w:t>
      </w:r>
    </w:p>
    <w:p w14:paraId="678FD1D2" w14:textId="77777777" w:rsidR="007F2EC9" w:rsidRDefault="00954459">
      <w:pPr>
        <w:ind w:left="261" w:right="0"/>
      </w:pPr>
      <w:r>
        <w:t>Odbiór częściowy powinien obejmować sprawdzenie:</w:t>
      </w:r>
    </w:p>
    <w:p w14:paraId="13714A12" w14:textId="77777777" w:rsidR="007F2EC9" w:rsidRDefault="00954459">
      <w:pPr>
        <w:numPr>
          <w:ilvl w:val="0"/>
          <w:numId w:val="15"/>
        </w:numPr>
        <w:ind w:right="0" w:hanging="883"/>
      </w:pPr>
      <w:r>
        <w:t>po</w:t>
      </w:r>
      <w:r>
        <w:t>dłoża (deskowania i łat),</w:t>
      </w:r>
    </w:p>
    <w:p w14:paraId="7C3353C6" w14:textId="77777777" w:rsidR="007F2EC9" w:rsidRDefault="00954459">
      <w:pPr>
        <w:numPr>
          <w:ilvl w:val="0"/>
          <w:numId w:val="15"/>
        </w:numPr>
        <w:ind w:right="0" w:hanging="883"/>
      </w:pPr>
      <w:r>
        <w:t>jakości zastosowanych materiałów,</w:t>
      </w:r>
    </w:p>
    <w:p w14:paraId="5821DED2" w14:textId="77777777" w:rsidR="007F2EC9" w:rsidRDefault="00954459">
      <w:pPr>
        <w:numPr>
          <w:ilvl w:val="0"/>
          <w:numId w:val="15"/>
        </w:numPr>
        <w:ind w:right="0" w:hanging="883"/>
      </w:pPr>
      <w:r>
        <w:t>dokładności wykonania poszczególnych warstw pokrycia,</w:t>
      </w:r>
    </w:p>
    <w:p w14:paraId="266DFCED" w14:textId="77777777" w:rsidR="007F2EC9" w:rsidRDefault="00954459">
      <w:pPr>
        <w:numPr>
          <w:ilvl w:val="0"/>
          <w:numId w:val="15"/>
        </w:numPr>
        <w:ind w:right="0" w:hanging="883"/>
      </w:pPr>
      <w:r>
        <w:t>dokładności wykonania obróbek blacharskich i ich połączenia z pokryciem.</w:t>
      </w:r>
    </w:p>
    <w:p w14:paraId="648CD362" w14:textId="77777777" w:rsidR="007F2EC9" w:rsidRDefault="00954459">
      <w:pPr>
        <w:ind w:left="261" w:right="0"/>
      </w:pPr>
      <w:r>
        <w:t>Dokonanie odbioru częściowego powinno być potwierdzone wpisem do dzie</w:t>
      </w:r>
      <w:r>
        <w:t>nnika budowy.</w:t>
      </w:r>
    </w:p>
    <w:p w14:paraId="099634CA" w14:textId="77777777" w:rsidR="007F2EC9" w:rsidRDefault="00954459">
      <w:pPr>
        <w:ind w:left="261" w:right="0"/>
      </w:pPr>
      <w:r>
        <w:t>· badania końcowe pokrycia należy przeprowadzać po zakończeniu robót, po deszczu.</w:t>
      </w:r>
    </w:p>
    <w:p w14:paraId="6273E938" w14:textId="77777777" w:rsidR="007F2EC9" w:rsidRDefault="00954459">
      <w:pPr>
        <w:ind w:left="261" w:right="0"/>
      </w:pPr>
      <w:r>
        <w:t>Podstawę do odbioru robót pokrywczych stanowią następujące dokumenty:</w:t>
      </w:r>
    </w:p>
    <w:p w14:paraId="13C70042" w14:textId="77777777" w:rsidR="007F2EC9" w:rsidRDefault="00954459">
      <w:pPr>
        <w:numPr>
          <w:ilvl w:val="0"/>
          <w:numId w:val="15"/>
        </w:numPr>
        <w:ind w:right="0" w:hanging="883"/>
      </w:pPr>
      <w:r>
        <w:t>dokumentacja techniczna,</w:t>
      </w:r>
    </w:p>
    <w:p w14:paraId="5461A191" w14:textId="77777777" w:rsidR="007F2EC9" w:rsidRDefault="00954459">
      <w:pPr>
        <w:numPr>
          <w:ilvl w:val="0"/>
          <w:numId w:val="15"/>
        </w:numPr>
        <w:ind w:right="0" w:hanging="883"/>
      </w:pPr>
      <w:r>
        <w:t>dziennik budowy z zapisem stwierdzającym odbiór częściowy podłoża</w:t>
      </w:r>
      <w:r>
        <w:t xml:space="preserve"> oraz poszczególnych warstw lub fragmentów pokrycia,</w:t>
      </w:r>
    </w:p>
    <w:p w14:paraId="40801D5B" w14:textId="77777777" w:rsidR="007F2EC9" w:rsidRDefault="00954459">
      <w:pPr>
        <w:numPr>
          <w:ilvl w:val="0"/>
          <w:numId w:val="15"/>
        </w:numPr>
        <w:ind w:right="0" w:hanging="883"/>
      </w:pPr>
      <w:r>
        <w:lastRenderedPageBreak/>
        <w:t xml:space="preserve">zapisy dotyczące wykonywania robót pokrywczych i rodzaju zastosowanych materiałów, – </w:t>
      </w:r>
      <w:proofErr w:type="spellStart"/>
      <w:r>
        <w:t>protokóły</w:t>
      </w:r>
      <w:proofErr w:type="spellEnd"/>
      <w:r>
        <w:t xml:space="preserve"> odbioru materiałów i wyrobów.</w:t>
      </w:r>
    </w:p>
    <w:p w14:paraId="0DF2F232" w14:textId="77777777" w:rsidR="007F2EC9" w:rsidRDefault="00954459">
      <w:pPr>
        <w:ind w:left="261" w:right="0"/>
      </w:pPr>
      <w:r>
        <w:t>Odbiór końcowy polega na dokładnym sprawdzeniu stanu wykonanego pokrycia i obr</w:t>
      </w:r>
      <w:r>
        <w:t>óbek blacharskich i połączenia ich z urządzeniami odwadniającymi, a także wykonania na pokryciu ewentualnych zabezpieczeń eksploatacyjnych.</w:t>
      </w:r>
    </w:p>
    <w:p w14:paraId="3C421C3D" w14:textId="77777777" w:rsidR="007F2EC9" w:rsidRDefault="00954459">
      <w:pPr>
        <w:numPr>
          <w:ilvl w:val="2"/>
          <w:numId w:val="16"/>
        </w:numPr>
        <w:ind w:right="0" w:hanging="552"/>
      </w:pPr>
      <w:r>
        <w:t>Odbiór pokrycia z  blachy</w:t>
      </w:r>
    </w:p>
    <w:p w14:paraId="4F423337" w14:textId="77777777" w:rsidR="007F2EC9" w:rsidRDefault="00954459">
      <w:pPr>
        <w:ind w:left="261" w:right="0"/>
      </w:pPr>
      <w:r>
        <w:t>· Sprawdzenie przybicia blachy do deskowania  ( wkręty ),</w:t>
      </w:r>
    </w:p>
    <w:p w14:paraId="39B3A3C4" w14:textId="77777777" w:rsidR="007F2EC9" w:rsidRDefault="00954459">
      <w:pPr>
        <w:numPr>
          <w:ilvl w:val="2"/>
          <w:numId w:val="16"/>
        </w:numPr>
        <w:ind w:right="0" w:hanging="552"/>
      </w:pPr>
      <w:r>
        <w:t>Odbiór obróbek blacharskich, ryn</w:t>
      </w:r>
      <w:r>
        <w:t>ien i rur spustowych powinien obejmować:</w:t>
      </w:r>
    </w:p>
    <w:p w14:paraId="3B9E676D" w14:textId="77777777" w:rsidR="007F2EC9" w:rsidRDefault="00954459">
      <w:pPr>
        <w:ind w:left="261" w:right="0"/>
      </w:pPr>
      <w:r>
        <w:t>· sprawdzenie prawidłowości połączeń poziomych i pionowych,</w:t>
      </w:r>
    </w:p>
    <w:p w14:paraId="46F2968A" w14:textId="77777777" w:rsidR="007F2EC9" w:rsidRDefault="00954459">
      <w:pPr>
        <w:ind w:left="261" w:right="0"/>
      </w:pPr>
      <w:r>
        <w:t>· sprawdzenie mocowania elementów do deskowania lub ścian,</w:t>
      </w:r>
    </w:p>
    <w:p w14:paraId="63861315" w14:textId="77777777" w:rsidR="007F2EC9" w:rsidRDefault="00954459">
      <w:pPr>
        <w:ind w:left="261" w:right="0"/>
      </w:pPr>
      <w:r>
        <w:t>· sprawdzenie prawidłowości spadków rynien,</w:t>
      </w:r>
    </w:p>
    <w:p w14:paraId="2996FC80" w14:textId="77777777" w:rsidR="007F2EC9" w:rsidRDefault="00954459">
      <w:pPr>
        <w:ind w:left="261" w:right="0"/>
      </w:pPr>
      <w:r>
        <w:t xml:space="preserve">· sprawdzenie szczelności połączeń rur spustowych z </w:t>
      </w:r>
      <w:r>
        <w:t>wpustami.</w:t>
      </w:r>
    </w:p>
    <w:p w14:paraId="2061753F" w14:textId="77777777" w:rsidR="007F2EC9" w:rsidRDefault="00954459">
      <w:pPr>
        <w:ind w:left="261" w:right="0"/>
      </w:pPr>
      <w:r>
        <w:t>Rury spustowe mogą być montowane po sprawdzeniu drożności przewodów kanalizacyjnych.</w:t>
      </w:r>
    </w:p>
    <w:p w14:paraId="55DBB4F2" w14:textId="77777777" w:rsidR="007F2EC9" w:rsidRDefault="00954459">
      <w:pPr>
        <w:pStyle w:val="Nagwek2"/>
        <w:ind w:left="263" w:right="0"/>
      </w:pPr>
      <w:r>
        <w:rPr>
          <w:rFonts w:ascii="Segoe UI Symbol" w:eastAsia="Segoe UI Symbol" w:hAnsi="Segoe UI Symbol" w:cs="Segoe UI Symbol"/>
          <w:b w:val="0"/>
          <w:sz w:val="18"/>
        </w:rPr>
        <w:t xml:space="preserve">9. </w:t>
      </w:r>
      <w:r>
        <w:t>Podstawa płatności</w:t>
      </w:r>
    </w:p>
    <w:p w14:paraId="68B9978E" w14:textId="77777777" w:rsidR="007F2EC9" w:rsidRDefault="00954459">
      <w:pPr>
        <w:ind w:left="261" w:right="0"/>
      </w:pPr>
      <w:r>
        <w:t xml:space="preserve">Konstrukcje dachowe </w:t>
      </w:r>
    </w:p>
    <w:p w14:paraId="32F81527" w14:textId="77777777" w:rsidR="007F2EC9" w:rsidRDefault="00954459">
      <w:pPr>
        <w:ind w:left="261" w:right="0"/>
      </w:pPr>
      <w:r>
        <w:t>Płaci się za  m</w:t>
      </w:r>
      <w:r>
        <w:rPr>
          <w:sz w:val="18"/>
          <w:vertAlign w:val="superscript"/>
        </w:rPr>
        <w:t>3</w:t>
      </w:r>
      <w:r>
        <w:t xml:space="preserve"> wykonanej konstrukcji.</w:t>
      </w:r>
    </w:p>
    <w:p w14:paraId="72504897" w14:textId="77777777" w:rsidR="007F2EC9" w:rsidRDefault="00954459">
      <w:pPr>
        <w:ind w:left="261" w:right="0"/>
      </w:pPr>
      <w:r>
        <w:t>Pokrycie z blachy</w:t>
      </w:r>
    </w:p>
    <w:p w14:paraId="0CFDB761" w14:textId="77777777" w:rsidR="007F2EC9" w:rsidRDefault="00954459">
      <w:pPr>
        <w:ind w:left="261" w:right="0"/>
      </w:pP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powierzchni dachu.</w:t>
      </w:r>
    </w:p>
    <w:p w14:paraId="7C70B4B7" w14:textId="77777777" w:rsidR="007F2EC9" w:rsidRDefault="00954459">
      <w:pPr>
        <w:ind w:left="261" w:right="0"/>
      </w:pPr>
      <w:r>
        <w:t>Obróbki blacharskie.</w:t>
      </w:r>
    </w:p>
    <w:p w14:paraId="0AD1BE54" w14:textId="77777777" w:rsidR="007F2EC9" w:rsidRDefault="00954459">
      <w:pPr>
        <w:ind w:left="261" w:right="0"/>
      </w:pPr>
      <w:r>
        <w:t>Płaci się za ustaloną ilość „m” obróbki wg ceny jednostkowej, która obejmuje:</w:t>
      </w:r>
    </w:p>
    <w:p w14:paraId="2B7F5B15" w14:textId="77777777" w:rsidR="007F2EC9" w:rsidRDefault="00954459">
      <w:pPr>
        <w:numPr>
          <w:ilvl w:val="0"/>
          <w:numId w:val="18"/>
        </w:numPr>
        <w:ind w:right="1632" w:hanging="166"/>
      </w:pPr>
      <w:r>
        <w:t>przygotowanie,</w:t>
      </w:r>
    </w:p>
    <w:p w14:paraId="4FD601CE" w14:textId="77777777" w:rsidR="007F2EC9" w:rsidRDefault="00954459">
      <w:pPr>
        <w:numPr>
          <w:ilvl w:val="0"/>
          <w:numId w:val="18"/>
        </w:numPr>
        <w:ind w:right="1632" w:hanging="166"/>
      </w:pPr>
      <w:r>
        <w:t>zmontowanie i umocowanie w podłożu, zalutowanie połączeń, – uporządkowanie stanowiska pracy.</w:t>
      </w:r>
    </w:p>
    <w:p w14:paraId="6010191F" w14:textId="77777777" w:rsidR="007F2EC9" w:rsidRDefault="00954459">
      <w:pPr>
        <w:ind w:left="261" w:right="0"/>
      </w:pPr>
      <w:r>
        <w:t>Rynny i rury spustowe</w:t>
      </w:r>
    </w:p>
    <w:p w14:paraId="64A09992" w14:textId="77777777" w:rsidR="007F2EC9" w:rsidRDefault="00954459">
      <w:pPr>
        <w:ind w:left="261" w:right="0"/>
      </w:pPr>
      <w:r>
        <w:t>Płaci s</w:t>
      </w:r>
      <w:r>
        <w:t>ię za ustaloną ilość „m” rynien wg ceny jednostkowej, która obejmuje:</w:t>
      </w:r>
    </w:p>
    <w:p w14:paraId="003051AE" w14:textId="77777777" w:rsidR="007F2EC9" w:rsidRDefault="00954459">
      <w:pPr>
        <w:numPr>
          <w:ilvl w:val="0"/>
          <w:numId w:val="18"/>
        </w:numPr>
        <w:ind w:right="1632" w:hanging="166"/>
      </w:pPr>
      <w:r>
        <w:t>przygotowanie,</w:t>
      </w:r>
    </w:p>
    <w:p w14:paraId="58BA394E" w14:textId="77777777" w:rsidR="007F2EC9" w:rsidRDefault="00954459">
      <w:pPr>
        <w:numPr>
          <w:ilvl w:val="0"/>
          <w:numId w:val="18"/>
        </w:numPr>
        <w:spacing w:after="223"/>
        <w:ind w:right="1632" w:hanging="166"/>
      </w:pPr>
      <w:r>
        <w:t>zmontowanie, umocowanie i zalutowanie połączeń,   uporządkowanie stanowiska pracy.</w:t>
      </w:r>
    </w:p>
    <w:p w14:paraId="7B354EE8" w14:textId="77777777" w:rsidR="007F2EC9" w:rsidRDefault="00954459">
      <w:pPr>
        <w:pStyle w:val="Nagwek2"/>
        <w:ind w:left="263" w:right="0"/>
      </w:pPr>
      <w:r>
        <w:t>10. Warunki BHP</w:t>
      </w:r>
    </w:p>
    <w:p w14:paraId="4721263F" w14:textId="77777777" w:rsidR="007F2EC9" w:rsidRDefault="00954459">
      <w:pPr>
        <w:spacing w:after="230" w:line="232" w:lineRule="auto"/>
        <w:ind w:left="268" w:right="0" w:firstLine="0"/>
      </w:pPr>
      <w:r>
        <w:rPr>
          <w:i/>
        </w:rPr>
        <w:t xml:space="preserve">    </w:t>
      </w:r>
      <w:r>
        <w:t>Podczas robót montażowych i robót na wysokościach muszą być spełnion</w:t>
      </w:r>
      <w:r>
        <w:t xml:space="preserve">e warunki zawarte w </w:t>
      </w:r>
      <w:r>
        <w:rPr>
          <w:i/>
        </w:rPr>
        <w:t xml:space="preserve">Dz.U.nr47 z dnia 19 marca 2003, poz.401 w sprawie bezpieczeństwa i higieny pracy podczas wykonywania robót budowlanych </w:t>
      </w:r>
      <w:r>
        <w:t xml:space="preserve">– szczególnie </w:t>
      </w:r>
      <w:r>
        <w:rPr>
          <w:i/>
        </w:rPr>
        <w:t>Rozdział 9 – Roboty na wysokościach.</w:t>
      </w:r>
    </w:p>
    <w:p w14:paraId="5DC5246A" w14:textId="77777777" w:rsidR="007F2EC9" w:rsidRDefault="00954459">
      <w:pPr>
        <w:pStyle w:val="Nagwek2"/>
        <w:ind w:left="263" w:right="0"/>
      </w:pPr>
      <w:r>
        <w:t>11.  Przepisy związane</w:t>
      </w:r>
    </w:p>
    <w:p w14:paraId="6F12D511" w14:textId="77777777" w:rsidR="007F2EC9" w:rsidRDefault="00954459">
      <w:pPr>
        <w:ind w:left="261" w:right="0"/>
      </w:pPr>
      <w:r>
        <w:t>PN-B-03150:2000/Az2:2003 Konstrukcje drewni</w:t>
      </w:r>
      <w:r>
        <w:t>ane. Obliczenia statyczne i projektowanie.</w:t>
      </w:r>
    </w:p>
    <w:p w14:paraId="4084CFDB" w14:textId="77777777" w:rsidR="007F2EC9" w:rsidRDefault="00954459">
      <w:pPr>
        <w:ind w:left="261" w:right="0"/>
      </w:pPr>
      <w:r>
        <w:t xml:space="preserve">PN-EN 844-3:2002                Drewno okrągłe i tarcica. Terminologia. Terminy ogólne dotyczące tarcicy. PN-EN 844-1:2001                Drewno okrągłe i tarcica. Terminologia. Terminy ogólne wspólne dla drewna  </w:t>
      </w:r>
      <w:r>
        <w:t>okrągłego i tarcicy.</w:t>
      </w:r>
    </w:p>
    <w:p w14:paraId="4226E6F1" w14:textId="77777777" w:rsidR="007F2EC9" w:rsidRDefault="00954459">
      <w:pPr>
        <w:ind w:left="261" w:right="0"/>
      </w:pPr>
      <w:r>
        <w:t>PN-82/D-94021                     Tarcica iglasta konstrukcyjna sortowana metodami wytrzymałościowymi.</w:t>
      </w:r>
    </w:p>
    <w:p w14:paraId="697671FB" w14:textId="77777777" w:rsidR="007F2EC9" w:rsidRDefault="00954459">
      <w:pPr>
        <w:ind w:left="261" w:right="0"/>
      </w:pPr>
      <w:r>
        <w:t>PN-EN 10230-1:2003           Gwoździe z drutu stalowego.</w:t>
      </w:r>
    </w:p>
    <w:p w14:paraId="7FFFA07E" w14:textId="77777777" w:rsidR="007F2EC9" w:rsidRDefault="00954459">
      <w:pPr>
        <w:ind w:left="261" w:right="0"/>
      </w:pPr>
      <w:r>
        <w:t>PN-ISO 8991:1996               System oznaczenia części złącznych.</w:t>
      </w:r>
      <w:r>
        <w:rPr>
          <w:b/>
          <w:u w:val="single" w:color="000000"/>
        </w:rPr>
        <w:t xml:space="preserve"> </w:t>
      </w:r>
    </w:p>
    <w:p w14:paraId="0CBCFAB6" w14:textId="77777777" w:rsidR="007F2EC9" w:rsidRDefault="00954459">
      <w:pPr>
        <w:ind w:left="261" w:right="0"/>
      </w:pPr>
      <w:r>
        <w:t>PN-61/B</w:t>
      </w:r>
      <w:r>
        <w:t>-10245                     Roboty blacharskie budowlane z blachy stalowej ocynkowane i cynkowej. Wymagania i badania techniczne przy odbiorze.</w:t>
      </w:r>
    </w:p>
    <w:sectPr w:rsidR="007F2EC9">
      <w:pgSz w:w="11900" w:h="16840"/>
      <w:pgMar w:top="1131" w:right="1128" w:bottom="1226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6458"/>
    <w:multiLevelType w:val="hybridMultilevel"/>
    <w:tmpl w:val="A72CAB4A"/>
    <w:lvl w:ilvl="0" w:tplc="A6A2FE8C">
      <w:start w:val="1"/>
      <w:numFmt w:val="lowerLetter"/>
      <w:lvlText w:val="%1)"/>
      <w:lvlJc w:val="left"/>
      <w:pPr>
        <w:ind w:left="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965848">
      <w:start w:val="1"/>
      <w:numFmt w:val="lowerLetter"/>
      <w:lvlText w:val="%2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6CE178">
      <w:start w:val="1"/>
      <w:numFmt w:val="lowerRoman"/>
      <w:lvlText w:val="%3"/>
      <w:lvlJc w:val="left"/>
      <w:pPr>
        <w:ind w:left="2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5633C6">
      <w:start w:val="1"/>
      <w:numFmt w:val="decimal"/>
      <w:lvlText w:val="%4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C03282">
      <w:start w:val="1"/>
      <w:numFmt w:val="lowerLetter"/>
      <w:lvlText w:val="%5"/>
      <w:lvlJc w:val="left"/>
      <w:pPr>
        <w:ind w:left="3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0CCA52">
      <w:start w:val="1"/>
      <w:numFmt w:val="lowerRoman"/>
      <w:lvlText w:val="%6"/>
      <w:lvlJc w:val="left"/>
      <w:pPr>
        <w:ind w:left="4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AC9D6">
      <w:start w:val="1"/>
      <w:numFmt w:val="decimal"/>
      <w:lvlText w:val="%7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B68B48">
      <w:start w:val="1"/>
      <w:numFmt w:val="lowerLetter"/>
      <w:lvlText w:val="%8"/>
      <w:lvlJc w:val="left"/>
      <w:pPr>
        <w:ind w:left="5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26FAB8">
      <w:start w:val="1"/>
      <w:numFmt w:val="lowerRoman"/>
      <w:lvlText w:val="%9"/>
      <w:lvlJc w:val="left"/>
      <w:pPr>
        <w:ind w:left="6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6D44BD"/>
    <w:multiLevelType w:val="hybridMultilevel"/>
    <w:tmpl w:val="95B23F36"/>
    <w:lvl w:ilvl="0" w:tplc="79204DD8">
      <w:start w:val="1"/>
      <w:numFmt w:val="bullet"/>
      <w:lvlText w:val="–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8CC74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989C3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1629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74AEE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BA446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980AC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A8CCB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929F7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B342AD"/>
    <w:multiLevelType w:val="hybridMultilevel"/>
    <w:tmpl w:val="548AC2C0"/>
    <w:lvl w:ilvl="0" w:tplc="D8D026C2">
      <w:start w:val="1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32FC02">
      <w:start w:val="1"/>
      <w:numFmt w:val="lowerLetter"/>
      <w:lvlText w:val="%2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8AE728">
      <w:start w:val="1"/>
      <w:numFmt w:val="lowerRoman"/>
      <w:lvlText w:val="%3"/>
      <w:lvlJc w:val="left"/>
      <w:pPr>
        <w:ind w:left="2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A2D8C0">
      <w:start w:val="1"/>
      <w:numFmt w:val="decimal"/>
      <w:lvlText w:val="%4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5AB2EE">
      <w:start w:val="1"/>
      <w:numFmt w:val="lowerLetter"/>
      <w:lvlText w:val="%5"/>
      <w:lvlJc w:val="left"/>
      <w:pPr>
        <w:ind w:left="3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80700C">
      <w:start w:val="1"/>
      <w:numFmt w:val="lowerRoman"/>
      <w:lvlText w:val="%6"/>
      <w:lvlJc w:val="left"/>
      <w:pPr>
        <w:ind w:left="4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482DE8">
      <w:start w:val="1"/>
      <w:numFmt w:val="decimal"/>
      <w:lvlText w:val="%7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16DBFC">
      <w:start w:val="1"/>
      <w:numFmt w:val="lowerLetter"/>
      <w:lvlText w:val="%8"/>
      <w:lvlJc w:val="left"/>
      <w:pPr>
        <w:ind w:left="5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261CB8">
      <w:start w:val="1"/>
      <w:numFmt w:val="lowerRoman"/>
      <w:lvlText w:val="%9"/>
      <w:lvlJc w:val="left"/>
      <w:pPr>
        <w:ind w:left="6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121DEC"/>
    <w:multiLevelType w:val="hybridMultilevel"/>
    <w:tmpl w:val="5A8E7A3A"/>
    <w:lvl w:ilvl="0" w:tplc="659A3F7A">
      <w:start w:val="2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4E3BBC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500694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12C5BE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546186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E28756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44188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AC0B54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801ED6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F36478"/>
    <w:multiLevelType w:val="hybridMultilevel"/>
    <w:tmpl w:val="1AC4104C"/>
    <w:lvl w:ilvl="0" w:tplc="B720DCAC">
      <w:start w:val="1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06EBB2">
      <w:start w:val="1"/>
      <w:numFmt w:val="lowerLetter"/>
      <w:lvlText w:val="%2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2CDDE4">
      <w:start w:val="1"/>
      <w:numFmt w:val="lowerRoman"/>
      <w:lvlText w:val="%3"/>
      <w:lvlJc w:val="left"/>
      <w:pPr>
        <w:ind w:left="2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983190">
      <w:start w:val="1"/>
      <w:numFmt w:val="decimal"/>
      <w:lvlText w:val="%4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D835F2">
      <w:start w:val="1"/>
      <w:numFmt w:val="lowerLetter"/>
      <w:lvlText w:val="%5"/>
      <w:lvlJc w:val="left"/>
      <w:pPr>
        <w:ind w:left="3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E475A6">
      <w:start w:val="1"/>
      <w:numFmt w:val="lowerRoman"/>
      <w:lvlText w:val="%6"/>
      <w:lvlJc w:val="left"/>
      <w:pPr>
        <w:ind w:left="4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3EC7B6">
      <w:start w:val="1"/>
      <w:numFmt w:val="decimal"/>
      <w:lvlText w:val="%7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02CDFC">
      <w:start w:val="1"/>
      <w:numFmt w:val="lowerLetter"/>
      <w:lvlText w:val="%8"/>
      <w:lvlJc w:val="left"/>
      <w:pPr>
        <w:ind w:left="5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2CD4">
      <w:start w:val="1"/>
      <w:numFmt w:val="lowerRoman"/>
      <w:lvlText w:val="%9"/>
      <w:lvlJc w:val="left"/>
      <w:pPr>
        <w:ind w:left="6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426FC2"/>
    <w:multiLevelType w:val="hybridMultilevel"/>
    <w:tmpl w:val="84AAF0A2"/>
    <w:lvl w:ilvl="0" w:tplc="217ABF5A">
      <w:start w:val="1"/>
      <w:numFmt w:val="bullet"/>
      <w:lvlText w:val="–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3E229A">
      <w:start w:val="1"/>
      <w:numFmt w:val="bullet"/>
      <w:lvlText w:val="o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8AB4B6">
      <w:start w:val="1"/>
      <w:numFmt w:val="bullet"/>
      <w:lvlText w:val="▪"/>
      <w:lvlJc w:val="left"/>
      <w:pPr>
        <w:ind w:left="2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EE68E2">
      <w:start w:val="1"/>
      <w:numFmt w:val="bullet"/>
      <w:lvlText w:val="•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28D98E">
      <w:start w:val="1"/>
      <w:numFmt w:val="bullet"/>
      <w:lvlText w:val="o"/>
      <w:lvlJc w:val="left"/>
      <w:pPr>
        <w:ind w:left="3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9AED40">
      <w:start w:val="1"/>
      <w:numFmt w:val="bullet"/>
      <w:lvlText w:val="▪"/>
      <w:lvlJc w:val="left"/>
      <w:pPr>
        <w:ind w:left="4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7881DC">
      <w:start w:val="1"/>
      <w:numFmt w:val="bullet"/>
      <w:lvlText w:val="•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6A4682">
      <w:start w:val="1"/>
      <w:numFmt w:val="bullet"/>
      <w:lvlText w:val="o"/>
      <w:lvlJc w:val="left"/>
      <w:pPr>
        <w:ind w:left="5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14F046">
      <w:start w:val="1"/>
      <w:numFmt w:val="bullet"/>
      <w:lvlText w:val="▪"/>
      <w:lvlJc w:val="left"/>
      <w:pPr>
        <w:ind w:left="6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8F5EBD"/>
    <w:multiLevelType w:val="hybridMultilevel"/>
    <w:tmpl w:val="9A1EFCD2"/>
    <w:lvl w:ilvl="0" w:tplc="97FAF714">
      <w:start w:val="1"/>
      <w:numFmt w:val="bullet"/>
      <w:lvlText w:val="–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2669A0">
      <w:start w:val="1"/>
      <w:numFmt w:val="bullet"/>
      <w:lvlText w:val="o"/>
      <w:lvlJc w:val="left"/>
      <w:pPr>
        <w:ind w:left="1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4EFD3A">
      <w:start w:val="1"/>
      <w:numFmt w:val="bullet"/>
      <w:lvlText w:val="▪"/>
      <w:lvlJc w:val="left"/>
      <w:pPr>
        <w:ind w:left="2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C44542">
      <w:start w:val="1"/>
      <w:numFmt w:val="bullet"/>
      <w:lvlText w:val="•"/>
      <w:lvlJc w:val="left"/>
      <w:pPr>
        <w:ind w:left="2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B846DC">
      <w:start w:val="1"/>
      <w:numFmt w:val="bullet"/>
      <w:lvlText w:val="o"/>
      <w:lvlJc w:val="left"/>
      <w:pPr>
        <w:ind w:left="3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2EE3A">
      <w:start w:val="1"/>
      <w:numFmt w:val="bullet"/>
      <w:lvlText w:val="▪"/>
      <w:lvlJc w:val="left"/>
      <w:pPr>
        <w:ind w:left="4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58659A">
      <w:start w:val="1"/>
      <w:numFmt w:val="bullet"/>
      <w:lvlText w:val="•"/>
      <w:lvlJc w:val="left"/>
      <w:pPr>
        <w:ind w:left="4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4E3566">
      <w:start w:val="1"/>
      <w:numFmt w:val="bullet"/>
      <w:lvlText w:val="o"/>
      <w:lvlJc w:val="left"/>
      <w:pPr>
        <w:ind w:left="5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F807D2">
      <w:start w:val="1"/>
      <w:numFmt w:val="bullet"/>
      <w:lvlText w:val="▪"/>
      <w:lvlJc w:val="left"/>
      <w:pPr>
        <w:ind w:left="6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075A98"/>
    <w:multiLevelType w:val="hybridMultilevel"/>
    <w:tmpl w:val="69507C9C"/>
    <w:lvl w:ilvl="0" w:tplc="E15AD470">
      <w:start w:val="1"/>
      <w:numFmt w:val="bullet"/>
      <w:lvlText w:val="-"/>
      <w:lvlJc w:val="left"/>
      <w:pPr>
        <w:ind w:left="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3257BE">
      <w:start w:val="1"/>
      <w:numFmt w:val="bullet"/>
      <w:lvlText w:val="o"/>
      <w:lvlJc w:val="left"/>
      <w:pPr>
        <w:ind w:left="2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820676">
      <w:start w:val="1"/>
      <w:numFmt w:val="bullet"/>
      <w:lvlText w:val="▪"/>
      <w:lvlJc w:val="left"/>
      <w:pPr>
        <w:ind w:left="3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34D9D8">
      <w:start w:val="1"/>
      <w:numFmt w:val="bullet"/>
      <w:lvlText w:val="•"/>
      <w:lvlJc w:val="left"/>
      <w:pPr>
        <w:ind w:left="3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2A89FC">
      <w:start w:val="1"/>
      <w:numFmt w:val="bullet"/>
      <w:lvlText w:val="o"/>
      <w:lvlJc w:val="left"/>
      <w:pPr>
        <w:ind w:left="4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02050E">
      <w:start w:val="1"/>
      <w:numFmt w:val="bullet"/>
      <w:lvlText w:val="▪"/>
      <w:lvlJc w:val="left"/>
      <w:pPr>
        <w:ind w:left="53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5ED558">
      <w:start w:val="1"/>
      <w:numFmt w:val="bullet"/>
      <w:lvlText w:val="•"/>
      <w:lvlJc w:val="left"/>
      <w:pPr>
        <w:ind w:left="6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6653D6">
      <w:start w:val="1"/>
      <w:numFmt w:val="bullet"/>
      <w:lvlText w:val="o"/>
      <w:lvlJc w:val="left"/>
      <w:pPr>
        <w:ind w:left="6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ACBE9C">
      <w:start w:val="1"/>
      <w:numFmt w:val="bullet"/>
      <w:lvlText w:val="▪"/>
      <w:lvlJc w:val="left"/>
      <w:pPr>
        <w:ind w:left="7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AA5E9E"/>
    <w:multiLevelType w:val="hybridMultilevel"/>
    <w:tmpl w:val="4B3CD40A"/>
    <w:lvl w:ilvl="0" w:tplc="024A204C">
      <w:start w:val="2"/>
      <w:numFmt w:val="decimal"/>
      <w:lvlText w:val="%1.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4AF64BC4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1EA05262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F6F0EDC8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9AF2A9DC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D2361B16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98A2E638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96F244C6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E558045C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91D727D"/>
    <w:multiLevelType w:val="multilevel"/>
    <w:tmpl w:val="E5C8D04E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B02A95"/>
    <w:multiLevelType w:val="hybridMultilevel"/>
    <w:tmpl w:val="9230BA5E"/>
    <w:lvl w:ilvl="0" w:tplc="25B025EA">
      <w:start w:val="1"/>
      <w:numFmt w:val="bullet"/>
      <w:lvlText w:val="–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48BB8E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E67E56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E4A43A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F4338C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C84834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96B0D0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441972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5E8C26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6515F5"/>
    <w:multiLevelType w:val="hybridMultilevel"/>
    <w:tmpl w:val="18D4F9AC"/>
    <w:lvl w:ilvl="0" w:tplc="D0A280DE">
      <w:start w:val="2"/>
      <w:numFmt w:val="lowerLetter"/>
      <w:lvlText w:val="%1)"/>
      <w:lvlJc w:val="left"/>
      <w:pPr>
        <w:ind w:left="1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4A4508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B25DF2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2AE4FC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3C49A0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2E4108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B83B1C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860EEA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02C52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7685FF5"/>
    <w:multiLevelType w:val="hybridMultilevel"/>
    <w:tmpl w:val="F6E43DAE"/>
    <w:lvl w:ilvl="0" w:tplc="B99E7EF8">
      <w:start w:val="1"/>
      <w:numFmt w:val="bullet"/>
      <w:lvlText w:val="•"/>
      <w:lvlJc w:val="left"/>
      <w:pPr>
        <w:ind w:left="1555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E4CB432">
      <w:start w:val="1"/>
      <w:numFmt w:val="bullet"/>
      <w:lvlText w:val="o"/>
      <w:lvlJc w:val="left"/>
      <w:pPr>
        <w:ind w:left="21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AC215C">
      <w:start w:val="1"/>
      <w:numFmt w:val="bullet"/>
      <w:lvlText w:val="▪"/>
      <w:lvlJc w:val="left"/>
      <w:pPr>
        <w:ind w:left="28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44F5C4">
      <w:start w:val="1"/>
      <w:numFmt w:val="bullet"/>
      <w:lvlText w:val="•"/>
      <w:lvlJc w:val="left"/>
      <w:pPr>
        <w:ind w:left="3612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47A9304">
      <w:start w:val="1"/>
      <w:numFmt w:val="bullet"/>
      <w:lvlText w:val="o"/>
      <w:lvlJc w:val="left"/>
      <w:pPr>
        <w:ind w:left="4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E1A517C">
      <w:start w:val="1"/>
      <w:numFmt w:val="bullet"/>
      <w:lvlText w:val="▪"/>
      <w:lvlJc w:val="left"/>
      <w:pPr>
        <w:ind w:left="50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91CDEAC">
      <w:start w:val="1"/>
      <w:numFmt w:val="bullet"/>
      <w:lvlText w:val="•"/>
      <w:lvlJc w:val="left"/>
      <w:pPr>
        <w:ind w:left="5772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0303062">
      <w:start w:val="1"/>
      <w:numFmt w:val="bullet"/>
      <w:lvlText w:val="o"/>
      <w:lvlJc w:val="left"/>
      <w:pPr>
        <w:ind w:left="64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1E82BD0">
      <w:start w:val="1"/>
      <w:numFmt w:val="bullet"/>
      <w:lvlText w:val="▪"/>
      <w:lvlJc w:val="left"/>
      <w:pPr>
        <w:ind w:left="72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E1910C4"/>
    <w:multiLevelType w:val="multilevel"/>
    <w:tmpl w:val="AAE6AC54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E295EE1"/>
    <w:multiLevelType w:val="hybridMultilevel"/>
    <w:tmpl w:val="61A09E24"/>
    <w:lvl w:ilvl="0" w:tplc="50C87790">
      <w:start w:val="1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B6171C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8A51A8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D26180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C6B89C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1CA544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6E1DE6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0C9C1E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4C392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1715EE4"/>
    <w:multiLevelType w:val="hybridMultilevel"/>
    <w:tmpl w:val="26D05F14"/>
    <w:lvl w:ilvl="0" w:tplc="1466CAFA">
      <w:start w:val="4"/>
      <w:numFmt w:val="lowerLetter"/>
      <w:lvlText w:val="%1)"/>
      <w:lvlJc w:val="left"/>
      <w:pPr>
        <w:ind w:left="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A3C2E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FC2382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C203C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C81D82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40AEDA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A99DA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7643BA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9A8802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73D3FFC"/>
    <w:multiLevelType w:val="hybridMultilevel"/>
    <w:tmpl w:val="D52238E4"/>
    <w:lvl w:ilvl="0" w:tplc="E1C04788">
      <w:start w:val="1"/>
      <w:numFmt w:val="bullet"/>
      <w:lvlText w:val=""/>
      <w:lvlJc w:val="left"/>
      <w:pPr>
        <w:ind w:left="11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52C042E">
      <w:start w:val="1"/>
      <w:numFmt w:val="bullet"/>
      <w:lvlText w:val="o"/>
      <w:lvlJc w:val="left"/>
      <w:pPr>
        <w:ind w:left="1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638EA24">
      <w:start w:val="1"/>
      <w:numFmt w:val="bullet"/>
      <w:lvlText w:val="▪"/>
      <w:lvlJc w:val="left"/>
      <w:pPr>
        <w:ind w:left="2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F6CAF4C">
      <w:start w:val="1"/>
      <w:numFmt w:val="bullet"/>
      <w:lvlText w:val="•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0C4561E">
      <w:start w:val="1"/>
      <w:numFmt w:val="bullet"/>
      <w:lvlText w:val="o"/>
      <w:lvlJc w:val="left"/>
      <w:pPr>
        <w:ind w:left="3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67077C4">
      <w:start w:val="1"/>
      <w:numFmt w:val="bullet"/>
      <w:lvlText w:val="▪"/>
      <w:lvlJc w:val="left"/>
      <w:pPr>
        <w:ind w:left="4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725FEE">
      <w:start w:val="1"/>
      <w:numFmt w:val="bullet"/>
      <w:lvlText w:val="•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A02E8AC">
      <w:start w:val="1"/>
      <w:numFmt w:val="bullet"/>
      <w:lvlText w:val="o"/>
      <w:lvlJc w:val="left"/>
      <w:pPr>
        <w:ind w:left="5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D25ACE">
      <w:start w:val="1"/>
      <w:numFmt w:val="bullet"/>
      <w:lvlText w:val="▪"/>
      <w:lvlJc w:val="left"/>
      <w:pPr>
        <w:ind w:left="6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CA766DF"/>
    <w:multiLevelType w:val="hybridMultilevel"/>
    <w:tmpl w:val="9B7A2BD6"/>
    <w:lvl w:ilvl="0" w:tplc="2D464612">
      <w:start w:val="1"/>
      <w:numFmt w:val="bullet"/>
      <w:lvlText w:val="–"/>
      <w:lvlJc w:val="left"/>
      <w:pPr>
        <w:ind w:left="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1AED7C">
      <w:start w:val="1"/>
      <w:numFmt w:val="bullet"/>
      <w:lvlText w:val="o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8233EC">
      <w:start w:val="1"/>
      <w:numFmt w:val="bullet"/>
      <w:lvlText w:val="▪"/>
      <w:lvlJc w:val="left"/>
      <w:pPr>
        <w:ind w:left="2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C29E34">
      <w:start w:val="1"/>
      <w:numFmt w:val="bullet"/>
      <w:lvlText w:val="•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A89D24">
      <w:start w:val="1"/>
      <w:numFmt w:val="bullet"/>
      <w:lvlText w:val="o"/>
      <w:lvlJc w:val="left"/>
      <w:pPr>
        <w:ind w:left="3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DE8554">
      <w:start w:val="1"/>
      <w:numFmt w:val="bullet"/>
      <w:lvlText w:val="▪"/>
      <w:lvlJc w:val="left"/>
      <w:pPr>
        <w:ind w:left="4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B0E574">
      <w:start w:val="1"/>
      <w:numFmt w:val="bullet"/>
      <w:lvlText w:val="•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1870F6">
      <w:start w:val="1"/>
      <w:numFmt w:val="bullet"/>
      <w:lvlText w:val="o"/>
      <w:lvlJc w:val="left"/>
      <w:pPr>
        <w:ind w:left="5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76E6D0">
      <w:start w:val="1"/>
      <w:numFmt w:val="bullet"/>
      <w:lvlText w:val="▪"/>
      <w:lvlJc w:val="left"/>
      <w:pPr>
        <w:ind w:left="6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14531758">
    <w:abstractNumId w:val="7"/>
  </w:num>
  <w:num w:numId="2" w16cid:durableId="593783699">
    <w:abstractNumId w:val="12"/>
  </w:num>
  <w:num w:numId="3" w16cid:durableId="1280261824">
    <w:abstractNumId w:val="2"/>
  </w:num>
  <w:num w:numId="4" w16cid:durableId="1934586538">
    <w:abstractNumId w:val="4"/>
  </w:num>
  <w:num w:numId="5" w16cid:durableId="479614225">
    <w:abstractNumId w:val="5"/>
  </w:num>
  <w:num w:numId="6" w16cid:durableId="1618101370">
    <w:abstractNumId w:val="17"/>
  </w:num>
  <w:num w:numId="7" w16cid:durableId="1154882400">
    <w:abstractNumId w:val="3"/>
  </w:num>
  <w:num w:numId="8" w16cid:durableId="148719710">
    <w:abstractNumId w:val="10"/>
  </w:num>
  <w:num w:numId="9" w16cid:durableId="1584870707">
    <w:abstractNumId w:val="15"/>
  </w:num>
  <w:num w:numId="10" w16cid:durableId="602107880">
    <w:abstractNumId w:val="11"/>
  </w:num>
  <w:num w:numId="11" w16cid:durableId="1132216337">
    <w:abstractNumId w:val="8"/>
  </w:num>
  <w:num w:numId="12" w16cid:durableId="1902671701">
    <w:abstractNumId w:val="14"/>
  </w:num>
  <w:num w:numId="13" w16cid:durableId="445276523">
    <w:abstractNumId w:val="0"/>
  </w:num>
  <w:num w:numId="14" w16cid:durableId="773479729">
    <w:abstractNumId w:val="16"/>
  </w:num>
  <w:num w:numId="15" w16cid:durableId="475874274">
    <w:abstractNumId w:val="6"/>
  </w:num>
  <w:num w:numId="16" w16cid:durableId="1367293110">
    <w:abstractNumId w:val="9"/>
  </w:num>
  <w:num w:numId="17" w16cid:durableId="2145924321">
    <w:abstractNumId w:val="13"/>
  </w:num>
  <w:num w:numId="18" w16cid:durableId="110437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C9"/>
    <w:rsid w:val="007F2EC9"/>
    <w:rsid w:val="0095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E4C82"/>
  <w15:docId w15:val="{F762D873-1467-4C75-B7FC-5F420ADF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8" w:lineRule="auto"/>
      <w:ind w:left="276" w:right="201" w:hanging="8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268"/>
      <w:outlineLvl w:val="0"/>
    </w:pPr>
    <w:rPr>
      <w:rFonts w:ascii="Arial" w:eastAsia="Arial" w:hAnsi="Arial" w:cs="Arial"/>
      <w:b/>
      <w:color w:val="000000"/>
      <w:sz w:val="21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50" w:lineRule="auto"/>
      <w:ind w:left="278" w:right="4600" w:hanging="10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266"/>
      <w:outlineLvl w:val="2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2635</Words>
  <Characters>15810</Characters>
  <Application>Microsoft Office Word</Application>
  <DocSecurity>0</DocSecurity>
  <Lines>131</Lines>
  <Paragraphs>36</Paragraphs>
  <ScaleCrop>false</ScaleCrop>
  <Company/>
  <LinksUpToDate>false</LinksUpToDate>
  <CharactersWithSpaces>18409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Śliwka</dc:creator>
  <cp:keywords/>
  <cp:lastModifiedBy>Łukasz Śliwka</cp:lastModifiedBy>
  <cp:revision>2</cp:revision>
  <dcterms:created xsi:type="dcterms:W3CDTF">2023-10-13T12:07:00Z</dcterms:created>
  <dcterms:modified xsi:type="dcterms:W3CDTF">2023-10-13T12:07:00Z</dcterms:modified>
</cp:coreProperties>
</file>