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E9255" w14:textId="77777777" w:rsidR="00BE0F34" w:rsidRDefault="00577A55">
      <w:pPr>
        <w:spacing w:after="47" w:line="259" w:lineRule="auto"/>
        <w:ind w:left="19" w:firstLine="0"/>
        <w:jc w:val="center"/>
      </w:pPr>
      <w:r>
        <w:rPr>
          <w:rFonts w:ascii="Arial" w:eastAsia="Arial" w:hAnsi="Arial" w:cs="Arial"/>
          <w:b/>
          <w:sz w:val="21"/>
        </w:rPr>
        <w:t>SST- 12</w:t>
      </w:r>
    </w:p>
    <w:p w14:paraId="4D00BB78" w14:textId="77777777" w:rsidR="00BE0F34" w:rsidRDefault="00577A55">
      <w:pPr>
        <w:spacing w:after="45" w:line="259" w:lineRule="auto"/>
        <w:ind w:left="720" w:firstLine="0"/>
        <w:jc w:val="center"/>
      </w:pPr>
      <w:r>
        <w:rPr>
          <w:b/>
          <w:sz w:val="21"/>
        </w:rPr>
        <w:t>SZCZEGÓŁOWA SPECYFIKACJA TECHNICZNA</w:t>
      </w:r>
    </w:p>
    <w:p w14:paraId="3024B659" w14:textId="77777777" w:rsidR="00BE0F34" w:rsidRDefault="00577A55">
      <w:pPr>
        <w:spacing w:after="45" w:line="259" w:lineRule="auto"/>
        <w:ind w:left="1918" w:firstLine="0"/>
        <w:jc w:val="left"/>
      </w:pPr>
      <w:r>
        <w:rPr>
          <w:b/>
          <w:sz w:val="21"/>
        </w:rPr>
        <w:t>INSTALACJE ELEKTRYCZNE W OBIEKTACH KUBATUROWYCH</w:t>
      </w:r>
    </w:p>
    <w:p w14:paraId="0B744050" w14:textId="77777777" w:rsidR="00BE0F34" w:rsidRDefault="00577A55">
      <w:pPr>
        <w:spacing w:after="35" w:line="259" w:lineRule="auto"/>
        <w:ind w:left="695"/>
        <w:jc w:val="center"/>
      </w:pPr>
      <w:r>
        <w:rPr>
          <w:sz w:val="21"/>
        </w:rPr>
        <w:t xml:space="preserve">kody CPV 45310000-3; 45311000-0; 45311100-1; </w:t>
      </w:r>
    </w:p>
    <w:p w14:paraId="05D3F796" w14:textId="77777777" w:rsidR="00BE0F34" w:rsidRDefault="00577A55">
      <w:pPr>
        <w:spacing w:after="35" w:line="259" w:lineRule="auto"/>
        <w:ind w:left="695"/>
        <w:jc w:val="center"/>
      </w:pPr>
      <w:r>
        <w:rPr>
          <w:sz w:val="21"/>
        </w:rPr>
        <w:t xml:space="preserve">45311200-2; 45312311-0; 45315700-5; 31213100-3 </w:t>
      </w:r>
    </w:p>
    <w:p w14:paraId="2FCDE3A6" w14:textId="77777777" w:rsidR="00BE0F34" w:rsidRDefault="00577A55">
      <w:pPr>
        <w:pStyle w:val="Nagwek1"/>
        <w:spacing w:after="78"/>
        <w:ind w:left="15"/>
      </w:pPr>
      <w:r>
        <w:t>1. Wstęp</w:t>
      </w:r>
    </w:p>
    <w:p w14:paraId="08A32CF4" w14:textId="77777777" w:rsidR="00BE0F34" w:rsidRDefault="00577A55">
      <w:pPr>
        <w:pStyle w:val="Nagwek2"/>
        <w:spacing w:after="41"/>
        <w:ind w:left="15"/>
      </w:pPr>
      <w:r>
        <w:t>1.1. Przedmiot SST</w:t>
      </w:r>
    </w:p>
    <w:p w14:paraId="7700315A" w14:textId="77777777" w:rsidR="00BE0F34" w:rsidRDefault="00577A55">
      <w:pPr>
        <w:spacing w:after="63"/>
        <w:ind w:left="301" w:right="6"/>
      </w:pPr>
      <w:r>
        <w:t xml:space="preserve">Przedmiotem niniejszej szczegółowej specyfikacji technicznej (SST) są wymagania dotyczące wykonania i odbioru robót związanych z instalacją elektryczną w zakresie budowy  </w:t>
      </w:r>
      <w:proofErr w:type="spellStart"/>
      <w:r>
        <w:t>pn</w:t>
      </w:r>
      <w:proofErr w:type="spellEnd"/>
      <w:r>
        <w:t xml:space="preserve"> :</w:t>
      </w:r>
    </w:p>
    <w:p w14:paraId="5D724A0C" w14:textId="77777777" w:rsidR="00BE0F34" w:rsidRDefault="00577A55">
      <w:pPr>
        <w:spacing w:after="0" w:line="233" w:lineRule="auto"/>
        <w:ind w:left="723" w:right="885" w:hanging="718"/>
      </w:pPr>
      <w:r>
        <w:rPr>
          <w:rFonts w:ascii="Arial" w:eastAsia="Arial" w:hAnsi="Arial" w:cs="Arial"/>
          <w:b/>
        </w:rPr>
        <w:t xml:space="preserve">    PRZEBUDOWA  I ZMIANA SPOSOBU  UŻYTKOWANIA  BUDYNKU GMINNEGO  NA  BUDYNEK  MI</w:t>
      </w:r>
      <w:r>
        <w:rPr>
          <w:rFonts w:ascii="Arial" w:eastAsia="Arial" w:hAnsi="Arial" w:cs="Arial"/>
          <w:b/>
        </w:rPr>
        <w:t>ESZKALNY  ( 4 LOKALE  MIESZKALNE ) I ZAPLECZE SPORTOWE DLA ISTNIEJĄCEGO BOISKA SPORTOWEGO WRAZ Z BUDOWĄ  SZCZELNEGO  ZBIORNIKA ŚCIEKÓW .</w:t>
      </w:r>
    </w:p>
    <w:p w14:paraId="048F8E0C" w14:textId="77777777" w:rsidR="00BE0F34" w:rsidRDefault="00577A55">
      <w:pPr>
        <w:tabs>
          <w:tab w:val="center" w:pos="2378"/>
        </w:tabs>
        <w:spacing w:after="30" w:line="233" w:lineRule="auto"/>
        <w:ind w:left="0" w:firstLine="0"/>
        <w:jc w:val="left"/>
      </w:pPr>
      <w:r>
        <w:rPr>
          <w:rFonts w:ascii="Arial" w:eastAsia="Arial" w:hAnsi="Arial" w:cs="Arial"/>
          <w:b/>
        </w:rPr>
        <w:t xml:space="preserve">      </w:t>
      </w:r>
      <w:r>
        <w:rPr>
          <w:rFonts w:ascii="Arial" w:eastAsia="Arial" w:hAnsi="Arial" w:cs="Arial"/>
          <w:b/>
        </w:rPr>
        <w:tab/>
        <w:t xml:space="preserve">SZUFNAROWA     -    dz.  nr 2071/5.  </w:t>
      </w:r>
    </w:p>
    <w:p w14:paraId="1249141D" w14:textId="77777777" w:rsidR="00BE0F34" w:rsidRDefault="00577A55">
      <w:pPr>
        <w:pStyle w:val="Nagwek2"/>
        <w:spacing w:after="43"/>
        <w:ind w:left="15"/>
      </w:pPr>
      <w:r>
        <w:t>1.2. Zakres stosowania SST</w:t>
      </w:r>
    </w:p>
    <w:p w14:paraId="18956764" w14:textId="77777777" w:rsidR="00BE0F34" w:rsidRDefault="00577A55">
      <w:pPr>
        <w:spacing w:after="89"/>
        <w:ind w:left="301" w:right="6"/>
      </w:pPr>
      <w:r>
        <w:t>Szczegółowa Specyfikacja Techniczna jest stosowana jako dokument przetargowy przy zlecaniu i realizacji robót wymienionych w pkt. 1.1.</w:t>
      </w:r>
    </w:p>
    <w:p w14:paraId="36AC2C6A" w14:textId="77777777" w:rsidR="00BE0F34" w:rsidRDefault="00577A55">
      <w:pPr>
        <w:pStyle w:val="Nagwek2"/>
        <w:spacing w:after="43"/>
        <w:ind w:left="15"/>
      </w:pPr>
      <w:r>
        <w:t>1.3. Zakres robót objętych SST</w:t>
      </w:r>
    </w:p>
    <w:p w14:paraId="0630A41F" w14:textId="77777777" w:rsidR="00BE0F34" w:rsidRDefault="00577A55">
      <w:pPr>
        <w:spacing w:after="58"/>
        <w:ind w:left="301" w:right="6"/>
      </w:pPr>
      <w:r>
        <w:t>Roboty, których dotyczy specyfikacja obejmują wszystkie czynności umożliwiające i mające n</w:t>
      </w:r>
      <w:r>
        <w:t>a celu wykonanie instalacji elektrycznych w budynku. Zakres robót obejmuje:</w:t>
      </w:r>
    </w:p>
    <w:p w14:paraId="1314E2ED" w14:textId="77777777" w:rsidR="00BE0F34" w:rsidRDefault="00577A55">
      <w:pPr>
        <w:numPr>
          <w:ilvl w:val="0"/>
          <w:numId w:val="1"/>
        </w:numPr>
        <w:spacing w:after="57"/>
        <w:ind w:right="6" w:hanging="360"/>
      </w:pPr>
      <w:r>
        <w:t>instalacje elektryczne oświetleniowe wewnętrzne;</w:t>
      </w:r>
    </w:p>
    <w:p w14:paraId="23525147" w14:textId="77777777" w:rsidR="00BE0F34" w:rsidRDefault="00577A55">
      <w:pPr>
        <w:numPr>
          <w:ilvl w:val="0"/>
          <w:numId w:val="1"/>
        </w:numPr>
        <w:spacing w:after="60"/>
        <w:ind w:right="6" w:hanging="360"/>
      </w:pPr>
      <w:r>
        <w:t>instalacje elektryczne gniazd wtyczkowych;</w:t>
      </w:r>
    </w:p>
    <w:p w14:paraId="2804C698" w14:textId="77777777" w:rsidR="00BE0F34" w:rsidRDefault="00577A55">
      <w:pPr>
        <w:numPr>
          <w:ilvl w:val="0"/>
          <w:numId w:val="1"/>
        </w:numPr>
        <w:spacing w:after="58"/>
        <w:ind w:right="6" w:hanging="360"/>
      </w:pPr>
      <w:r>
        <w:t>instalacje elektryczne siłowe;</w:t>
      </w:r>
    </w:p>
    <w:p w14:paraId="5A4378BA" w14:textId="77777777" w:rsidR="00BE0F34" w:rsidRDefault="00577A55">
      <w:pPr>
        <w:numPr>
          <w:ilvl w:val="0"/>
          <w:numId w:val="1"/>
        </w:numPr>
        <w:spacing w:after="60"/>
        <w:ind w:right="6" w:hanging="360"/>
      </w:pPr>
      <w:r>
        <w:t>instalacja teletechniczna;</w:t>
      </w:r>
    </w:p>
    <w:p w14:paraId="697B6AA8" w14:textId="77777777" w:rsidR="00BE0F34" w:rsidRDefault="00577A55">
      <w:pPr>
        <w:numPr>
          <w:ilvl w:val="0"/>
          <w:numId w:val="1"/>
        </w:numPr>
        <w:spacing w:after="57"/>
        <w:ind w:right="6" w:hanging="360"/>
      </w:pPr>
      <w:r>
        <w:t>montaż rozdzielnic bezpiecznik</w:t>
      </w:r>
      <w:r>
        <w:t>owych;</w:t>
      </w:r>
    </w:p>
    <w:p w14:paraId="3EB7AF3C" w14:textId="77777777" w:rsidR="00BE0F34" w:rsidRDefault="00577A55">
      <w:pPr>
        <w:numPr>
          <w:ilvl w:val="0"/>
          <w:numId w:val="1"/>
        </w:numPr>
        <w:spacing w:after="58"/>
        <w:ind w:right="6" w:hanging="360"/>
      </w:pPr>
      <w:r>
        <w:t>montaż skrzynek multimedialnych TT</w:t>
      </w:r>
    </w:p>
    <w:p w14:paraId="27CA6278" w14:textId="77777777" w:rsidR="00BE0F34" w:rsidRDefault="00577A55">
      <w:pPr>
        <w:numPr>
          <w:ilvl w:val="0"/>
          <w:numId w:val="1"/>
        </w:numPr>
        <w:spacing w:after="313"/>
        <w:ind w:right="6" w:hanging="360"/>
      </w:pPr>
      <w:r>
        <w:t xml:space="preserve">budynek  ogrzewany   elektrycznie  (w czasie  użytkowania   w okresie  </w:t>
      </w:r>
      <w:proofErr w:type="spellStart"/>
      <w:r>
        <w:t>jesienno</w:t>
      </w:r>
      <w:proofErr w:type="spellEnd"/>
      <w:r>
        <w:t xml:space="preserve"> wiosennym na klatkach schodowych)</w:t>
      </w:r>
    </w:p>
    <w:p w14:paraId="1A306EFC" w14:textId="77777777" w:rsidR="00BE0F34" w:rsidRDefault="00577A55">
      <w:pPr>
        <w:pStyle w:val="Nagwek2"/>
        <w:spacing w:after="41"/>
        <w:ind w:left="15"/>
      </w:pPr>
      <w:r>
        <w:t>1.4. Określenia podstawowe</w:t>
      </w:r>
    </w:p>
    <w:p w14:paraId="4F1E87C5" w14:textId="77777777" w:rsidR="00BE0F34" w:rsidRDefault="00577A55">
      <w:pPr>
        <w:spacing w:after="92"/>
        <w:ind w:left="301" w:right="6"/>
      </w:pPr>
      <w:r>
        <w:t>Określenia podane w niniejszej SST są zgodne z określeniami ujętymi w odp</w:t>
      </w:r>
      <w:r>
        <w:t>owiednich normach i przepisach, których zestawienie podano w p-</w:t>
      </w:r>
      <w:proofErr w:type="spellStart"/>
      <w:r>
        <w:t>kcie</w:t>
      </w:r>
      <w:proofErr w:type="spellEnd"/>
      <w:r>
        <w:t xml:space="preserve"> 10 SST.</w:t>
      </w:r>
    </w:p>
    <w:p w14:paraId="614B82AE" w14:textId="77777777" w:rsidR="00BE0F34" w:rsidRDefault="00577A55">
      <w:pPr>
        <w:pStyle w:val="Nagwek2"/>
        <w:spacing w:after="41"/>
        <w:ind w:left="15"/>
      </w:pPr>
      <w:r>
        <w:t>1.5. Ogólne wymagania dotyczące robót</w:t>
      </w:r>
    </w:p>
    <w:p w14:paraId="28E13F8E" w14:textId="77777777" w:rsidR="00BE0F34" w:rsidRDefault="00577A55">
      <w:pPr>
        <w:spacing w:after="58"/>
        <w:ind w:left="301" w:right="6"/>
      </w:pPr>
      <w:r>
        <w:t>Wykonawca robót jest odpowiedzialny za jakość ich wykonania oraz za zgodność z dokumentacją projektową.</w:t>
      </w:r>
    </w:p>
    <w:p w14:paraId="644FE51A" w14:textId="77777777" w:rsidR="00BE0F34" w:rsidRDefault="00577A55">
      <w:pPr>
        <w:spacing w:after="89"/>
        <w:ind w:left="301" w:right="6"/>
      </w:pPr>
      <w:r>
        <w:t>Rodzaje (typy) urządzeń, osprzętu i ma</w:t>
      </w:r>
      <w:r>
        <w:t>teriałów pomocniczych zastosowanych do wykonywania instalacji powinny być zgodne z podanymi w dokumentacji projektowej. Zastosowanie do wykonania instalacji innych rodzajów (typów) urządzeń i osprzętu niż wymienione w projekcie dopuszczalne jest jedynie po</w:t>
      </w:r>
      <w:r>
        <w:t>d warunkiem wprowadzenia do dokumentacji projektowej zmian uzgodnionych w obowiązującym trybie z Inżynierem.</w:t>
      </w:r>
    </w:p>
    <w:p w14:paraId="68151153" w14:textId="77777777" w:rsidR="00BE0F34" w:rsidRDefault="00577A55">
      <w:pPr>
        <w:pStyle w:val="Nagwek1"/>
        <w:spacing w:after="113"/>
        <w:ind w:left="390"/>
      </w:pPr>
      <w:r>
        <w:t>2. Materiały</w:t>
      </w:r>
    </w:p>
    <w:p w14:paraId="0B46992A" w14:textId="77777777" w:rsidR="00BE0F34" w:rsidRDefault="00577A55">
      <w:pPr>
        <w:numPr>
          <w:ilvl w:val="0"/>
          <w:numId w:val="2"/>
        </w:numPr>
        <w:spacing w:after="123"/>
        <w:ind w:right="6" w:hanging="360"/>
      </w:pPr>
      <w:r>
        <w:rPr>
          <w:u w:val="single" w:color="000000"/>
        </w:rPr>
        <w:t>Rozdzielnice bezpiecznikowe:</w:t>
      </w:r>
      <w:r>
        <w:t xml:space="preserve"> Rozdzielnica z wyposażeniem projektowanym indywidualnie wg dyspozycji podanych w dokumentacji projektowej;</w:t>
      </w:r>
    </w:p>
    <w:p w14:paraId="2E6E84F9" w14:textId="77777777" w:rsidR="00BE0F34" w:rsidRDefault="00577A55">
      <w:pPr>
        <w:numPr>
          <w:ilvl w:val="0"/>
          <w:numId w:val="2"/>
        </w:numPr>
        <w:spacing w:after="112"/>
        <w:ind w:right="6" w:hanging="360"/>
      </w:pPr>
      <w:r>
        <w:rPr>
          <w:u w:val="single" w:color="000000"/>
        </w:rPr>
        <w:t>Mieszkaniowa skrzynka multimedialna:</w:t>
      </w:r>
      <w:r>
        <w:t xml:space="preserve"> skrzynkę wyposażyć w 2SC/APC, 2xRJ45, 1xF; gniazdo 230V;</w:t>
      </w:r>
    </w:p>
    <w:p w14:paraId="60F01E72" w14:textId="77777777" w:rsidR="00BE0F34" w:rsidRDefault="00577A55">
      <w:pPr>
        <w:numPr>
          <w:ilvl w:val="0"/>
          <w:numId w:val="2"/>
        </w:numPr>
        <w:spacing w:after="134"/>
        <w:ind w:right="6" w:hanging="360"/>
      </w:pPr>
      <w:r>
        <w:rPr>
          <w:u w:val="single" w:color="000000"/>
        </w:rPr>
        <w:t>Przewód instalacyjny</w:t>
      </w:r>
      <w:r>
        <w:t xml:space="preserve"> o izolacji i powłoce </w:t>
      </w:r>
      <w:proofErr w:type="spellStart"/>
      <w:r>
        <w:t>polwinitowej</w:t>
      </w:r>
      <w:proofErr w:type="spellEnd"/>
      <w:r>
        <w:t xml:space="preserve"> na napięcie znamionowe 450/750 V z żyłami miedzianymi o przekroju do 10 mm</w:t>
      </w:r>
      <w:r>
        <w:rPr>
          <w:sz w:val="18"/>
          <w:vertAlign w:val="superscript"/>
        </w:rPr>
        <w:t>2</w:t>
      </w:r>
      <w:r>
        <w:t xml:space="preserve"> i ilości żył 5 wg PN-87/E-90056;</w:t>
      </w:r>
    </w:p>
    <w:p w14:paraId="76CCDB05" w14:textId="77777777" w:rsidR="00BE0F34" w:rsidRDefault="00577A55">
      <w:pPr>
        <w:numPr>
          <w:ilvl w:val="0"/>
          <w:numId w:val="2"/>
        </w:numPr>
        <w:spacing w:after="122"/>
        <w:ind w:right="6" w:hanging="360"/>
      </w:pPr>
      <w:r>
        <w:rPr>
          <w:u w:val="single" w:color="000000"/>
        </w:rPr>
        <w:t>Przewód z żyłą miedzianą</w:t>
      </w:r>
      <w:r>
        <w:t>, jednodrutową o przekroju do 2,5 mm</w:t>
      </w:r>
      <w:r>
        <w:rPr>
          <w:sz w:val="18"/>
          <w:vertAlign w:val="superscript"/>
        </w:rPr>
        <w:t xml:space="preserve">2 </w:t>
      </w:r>
      <w:r>
        <w:t xml:space="preserve">na napięcie znamionowe 250 V o izolacji </w:t>
      </w:r>
      <w:proofErr w:type="spellStart"/>
      <w:r>
        <w:t>polwinitowej</w:t>
      </w:r>
      <w:proofErr w:type="spellEnd"/>
      <w:r>
        <w:t xml:space="preserve"> według PN-87/E-90054;</w:t>
      </w:r>
    </w:p>
    <w:p w14:paraId="2BFB4654" w14:textId="77777777" w:rsidR="00BE0F34" w:rsidRDefault="00577A55">
      <w:pPr>
        <w:numPr>
          <w:ilvl w:val="0"/>
          <w:numId w:val="2"/>
        </w:numPr>
        <w:spacing w:after="123"/>
        <w:ind w:right="6" w:hanging="360"/>
      </w:pPr>
      <w:r>
        <w:rPr>
          <w:u w:val="single" w:color="000000"/>
        </w:rPr>
        <w:t>Oprawy św</w:t>
      </w:r>
      <w:r>
        <w:rPr>
          <w:u w:val="single" w:color="000000"/>
        </w:rPr>
        <w:t>ietlówkowa</w:t>
      </w:r>
      <w:r>
        <w:t>, 1×14 W IP65, wyposażone, lub nie, we własny układ zasilania awaryjnego o czasie podtrzymania 2 h;</w:t>
      </w:r>
    </w:p>
    <w:p w14:paraId="61C5D390" w14:textId="77777777" w:rsidR="00BE0F34" w:rsidRDefault="00577A55">
      <w:pPr>
        <w:numPr>
          <w:ilvl w:val="0"/>
          <w:numId w:val="2"/>
        </w:numPr>
        <w:spacing w:after="113"/>
        <w:ind w:right="6" w:hanging="360"/>
      </w:pPr>
      <w:r>
        <w:rPr>
          <w:u w:val="single" w:color="000000"/>
        </w:rPr>
        <w:t>Oprawy ze źródłem światła LED</w:t>
      </w:r>
      <w:r>
        <w:t xml:space="preserve">  9 W IP44, 11 W IP44, 14 W IP65 RCR wyposażone, lub nie, we własny układ zasilania awaryjnego o czasie podtrzymania </w:t>
      </w:r>
      <w:r>
        <w:t>2 h;</w:t>
      </w:r>
    </w:p>
    <w:p w14:paraId="7D522D5A" w14:textId="77777777" w:rsidR="00BE0F34" w:rsidRDefault="00577A55">
      <w:pPr>
        <w:numPr>
          <w:ilvl w:val="0"/>
          <w:numId w:val="2"/>
        </w:numPr>
        <w:ind w:right="6" w:hanging="360"/>
      </w:pPr>
      <w:r>
        <w:rPr>
          <w:u w:val="single" w:color="000000"/>
        </w:rPr>
        <w:t>Odgałęźniki instalacyjne</w:t>
      </w:r>
      <w:r>
        <w:t xml:space="preserve"> w obudowie z tworzywa z zaciskami do 2,5 mm</w:t>
      </w:r>
      <w:r>
        <w:rPr>
          <w:sz w:val="18"/>
          <w:vertAlign w:val="superscript"/>
        </w:rPr>
        <w:t>2</w:t>
      </w:r>
      <w:r>
        <w:t>, 400 V (do instalacji szczelnych);</w:t>
      </w:r>
    </w:p>
    <w:p w14:paraId="54A2C111" w14:textId="77777777" w:rsidR="00BE0F34" w:rsidRDefault="00577A55">
      <w:pPr>
        <w:numPr>
          <w:ilvl w:val="0"/>
          <w:numId w:val="2"/>
        </w:numPr>
        <w:spacing w:after="110"/>
        <w:ind w:right="6" w:hanging="360"/>
      </w:pPr>
      <w:r>
        <w:rPr>
          <w:u w:val="single" w:color="000000"/>
        </w:rPr>
        <w:t>Puszki instalacyjne z tworzywa</w:t>
      </w:r>
      <w:r>
        <w:t xml:space="preserve">  – końcowe o średnicy 60 mm i rozgałęźne o średnicy 80 mm;</w:t>
      </w:r>
    </w:p>
    <w:p w14:paraId="02D58E42" w14:textId="77777777" w:rsidR="00BE0F34" w:rsidRDefault="00577A55">
      <w:pPr>
        <w:numPr>
          <w:ilvl w:val="0"/>
          <w:numId w:val="2"/>
        </w:numPr>
        <w:spacing w:after="112"/>
        <w:ind w:right="6" w:hanging="360"/>
      </w:pPr>
      <w:r>
        <w:rPr>
          <w:u w:val="single" w:color="000000"/>
        </w:rPr>
        <w:t>Gniazda wtykowe p/t</w:t>
      </w:r>
      <w:r>
        <w:t xml:space="preserve"> dwubiegunowe z uziemieniem zwykłe i </w:t>
      </w:r>
      <w:proofErr w:type="spellStart"/>
      <w:r>
        <w:t>bryzgoodporne</w:t>
      </w:r>
      <w:proofErr w:type="spellEnd"/>
      <w:r>
        <w:t xml:space="preserve"> 2 x 10/16 A, 250 V;</w:t>
      </w:r>
    </w:p>
    <w:p w14:paraId="55BF2EBA" w14:textId="77777777" w:rsidR="00BE0F34" w:rsidRDefault="00577A55">
      <w:pPr>
        <w:numPr>
          <w:ilvl w:val="0"/>
          <w:numId w:val="2"/>
        </w:numPr>
        <w:spacing w:after="109"/>
        <w:ind w:right="6" w:hanging="360"/>
      </w:pPr>
      <w:r>
        <w:rPr>
          <w:u w:val="single" w:color="000000"/>
        </w:rPr>
        <w:lastRenderedPageBreak/>
        <w:t>Wyłączniki instalacyjne</w:t>
      </w:r>
      <w:r>
        <w:t xml:space="preserve">  10 A, 250 V zwykłe i </w:t>
      </w:r>
      <w:proofErr w:type="spellStart"/>
      <w:r>
        <w:t>bryzgoodporne</w:t>
      </w:r>
      <w:proofErr w:type="spellEnd"/>
      <w:r>
        <w:t xml:space="preserve"> do mocowania p/t;</w:t>
      </w:r>
    </w:p>
    <w:p w14:paraId="22706A9E" w14:textId="77777777" w:rsidR="00BE0F34" w:rsidRDefault="00577A55">
      <w:pPr>
        <w:pStyle w:val="Nagwek2"/>
        <w:spacing w:after="390"/>
        <w:ind w:left="15"/>
      </w:pPr>
      <w:r>
        <w:rPr>
          <w:sz w:val="22"/>
          <w:u w:val="none"/>
        </w:rPr>
        <w:t xml:space="preserve">11. </w:t>
      </w:r>
      <w:r>
        <w:t>Rury winidurowe instalac</w:t>
      </w:r>
      <w:r>
        <w:t>yjne</w:t>
      </w:r>
      <w:r>
        <w:rPr>
          <w:u w:val="none"/>
        </w:rPr>
        <w:t xml:space="preserve"> o średnicy do 47 mm;</w:t>
      </w:r>
    </w:p>
    <w:p w14:paraId="4DB70018" w14:textId="77777777" w:rsidR="00BE0F34" w:rsidRDefault="00577A55">
      <w:pPr>
        <w:numPr>
          <w:ilvl w:val="0"/>
          <w:numId w:val="3"/>
        </w:numPr>
        <w:spacing w:after="61"/>
        <w:ind w:left="722" w:right="6" w:hanging="566"/>
      </w:pPr>
      <w:r>
        <w:t>Odbiór materiałów na budowie</w:t>
      </w:r>
    </w:p>
    <w:p w14:paraId="008B8A9D" w14:textId="77777777" w:rsidR="00BE0F34" w:rsidRDefault="00577A55">
      <w:pPr>
        <w:numPr>
          <w:ilvl w:val="1"/>
          <w:numId w:val="3"/>
        </w:numPr>
        <w:ind w:right="6" w:hanging="396"/>
      </w:pPr>
      <w:r>
        <w:t>Materiały takie jak rozdzielnica, lampy oświetleniowe, przewody należy dostarczać na budowę wraz ze świadectwami jakości, kartami gwarancyjnymi, protokołami odbioru technicznego.</w:t>
      </w:r>
    </w:p>
    <w:p w14:paraId="0451601D" w14:textId="77777777" w:rsidR="00BE0F34" w:rsidRDefault="00577A55">
      <w:pPr>
        <w:numPr>
          <w:ilvl w:val="1"/>
          <w:numId w:val="3"/>
        </w:numPr>
        <w:ind w:right="6" w:hanging="396"/>
      </w:pPr>
      <w:r>
        <w:t>Dostarczone na miejsce budowy materiały należy sprawdzić pod względem komplet</w:t>
      </w:r>
      <w:r>
        <w:t>ności i zgodności z danymi wytwórcy.</w:t>
      </w:r>
    </w:p>
    <w:p w14:paraId="40E0D90E" w14:textId="77777777" w:rsidR="00BE0F34" w:rsidRDefault="00577A55">
      <w:pPr>
        <w:numPr>
          <w:ilvl w:val="1"/>
          <w:numId w:val="3"/>
        </w:numPr>
        <w:ind w:right="6" w:hanging="396"/>
      </w:pPr>
      <w:r>
        <w:t>W przypadku stwierdzenia wad lub nasuwających się wątpliwości mogących mieć wpływ na jakość wykonania robót, materiały należy przed ich wbudowaniem poddać badaniom określonym przez dozór techniczny robót.</w:t>
      </w:r>
    </w:p>
    <w:p w14:paraId="0CF3CCFB" w14:textId="77777777" w:rsidR="00BE0F34" w:rsidRDefault="00577A55">
      <w:pPr>
        <w:numPr>
          <w:ilvl w:val="0"/>
          <w:numId w:val="3"/>
        </w:numPr>
        <w:ind w:left="722" w:right="6" w:hanging="566"/>
      </w:pPr>
      <w:r>
        <w:t>Składowanie ma</w:t>
      </w:r>
      <w:r>
        <w:t>teriałów na budowie</w:t>
      </w:r>
    </w:p>
    <w:p w14:paraId="000B7A13" w14:textId="77777777" w:rsidR="00BE0F34" w:rsidRDefault="00577A55">
      <w:pPr>
        <w:numPr>
          <w:ilvl w:val="1"/>
          <w:numId w:val="3"/>
        </w:numPr>
        <w:spacing w:after="105"/>
        <w:ind w:right="6" w:hanging="396"/>
      </w:pPr>
      <w:r>
        <w:t>Składowanie materiałów powinno odbywać się zgodnie z zaleceniami producentów, w warunkach zapobiegających zniszczeniu, uszkodzeniu lub pogorszeniu się właściwości technicznych na skutek wpływu czynników atmosferycznych lub fizykochemicz</w:t>
      </w:r>
      <w:r>
        <w:t>nych. Należy zachować wymagania wynikające ze specjalnych właściwości materiałów oraz wymagania w zakresie bezpieczeństwa przeciwpożarowego.</w:t>
      </w:r>
    </w:p>
    <w:p w14:paraId="5356E9EB" w14:textId="77777777" w:rsidR="00BE0F34" w:rsidRDefault="00577A55">
      <w:pPr>
        <w:pStyle w:val="Nagwek1"/>
        <w:ind w:left="15"/>
      </w:pPr>
      <w:r>
        <w:t>3. Sprzęt</w:t>
      </w:r>
    </w:p>
    <w:p w14:paraId="4858ACFF" w14:textId="77777777" w:rsidR="00BE0F34" w:rsidRDefault="00577A55">
      <w:pPr>
        <w:ind w:left="301" w:right="6"/>
      </w:pPr>
      <w:r>
        <w:t>Do wykonania instalacji elektroenergetycznych przewiduje się użycie następującego sprzętu:</w:t>
      </w:r>
    </w:p>
    <w:p w14:paraId="0CF184D6" w14:textId="77777777" w:rsidR="00BE0F34" w:rsidRDefault="00577A55">
      <w:pPr>
        <w:tabs>
          <w:tab w:val="center" w:pos="435"/>
          <w:tab w:val="center" w:pos="2494"/>
        </w:tabs>
        <w:spacing w:after="91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>–</w:t>
      </w:r>
      <w:r>
        <w:rPr>
          <w:sz w:val="22"/>
        </w:rPr>
        <w:tab/>
      </w:r>
      <w:r>
        <w:t>samochód do</w:t>
      </w:r>
      <w:r>
        <w:t>stawczy do 0,9 t,</w:t>
      </w:r>
    </w:p>
    <w:p w14:paraId="2881C32F" w14:textId="77777777" w:rsidR="00BE0F34" w:rsidRDefault="00577A55">
      <w:pPr>
        <w:pStyle w:val="Nagwek1"/>
        <w:ind w:left="15"/>
      </w:pPr>
      <w:r>
        <w:t>4. Transport</w:t>
      </w:r>
    </w:p>
    <w:p w14:paraId="1529B9D1" w14:textId="77777777" w:rsidR="00BE0F34" w:rsidRDefault="00577A55">
      <w:pPr>
        <w:spacing w:after="105"/>
        <w:ind w:left="301" w:right="6"/>
      </w:pPr>
      <w:r>
        <w:t>Materiały na budowę powinny być przywożone odpowiednimi środkami transportu, zabezpieczone w sposób zapobiegający uszkodzeniu oraz zgodnie z przepisami BHP i ruchu drogowego.</w:t>
      </w:r>
    </w:p>
    <w:p w14:paraId="7CCA554C" w14:textId="77777777" w:rsidR="00BE0F34" w:rsidRDefault="00577A55">
      <w:pPr>
        <w:pStyle w:val="Nagwek1"/>
        <w:ind w:left="15"/>
      </w:pPr>
      <w:r>
        <w:t>5. Wykonanie robót</w:t>
      </w:r>
    </w:p>
    <w:p w14:paraId="793744A9" w14:textId="77777777" w:rsidR="00BE0F34" w:rsidRDefault="00577A55">
      <w:pPr>
        <w:ind w:left="30" w:right="6"/>
      </w:pPr>
      <w:r>
        <w:t>5.1. Wykonawca przedstawi do ak</w:t>
      </w:r>
      <w:r>
        <w:t xml:space="preserve">ceptacji projekt organizacji i harmonogram robót uwzględniający wszystkie warunki, w jakich będą wykonywane roboty instalacyjne. Montaż instalacji powinien być wykonywany przez wykwalifikowany personel z zastosowaniem właściwych </w:t>
      </w:r>
      <w:r>
        <w:rPr>
          <w:rFonts w:ascii="Arial" w:eastAsia="Arial" w:hAnsi="Arial" w:cs="Arial"/>
        </w:rPr>
        <w:t>materiałów.</w:t>
      </w:r>
    </w:p>
    <w:p w14:paraId="5851F191" w14:textId="77777777" w:rsidR="00BE0F34" w:rsidRDefault="00577A55">
      <w:pPr>
        <w:pStyle w:val="Nagwek2"/>
        <w:ind w:left="15"/>
      </w:pPr>
      <w:r>
        <w:t>5.2. Trasowanie</w:t>
      </w:r>
    </w:p>
    <w:p w14:paraId="5AAD3059" w14:textId="77777777" w:rsidR="00BE0F34" w:rsidRDefault="00577A55">
      <w:pPr>
        <w:ind w:left="301" w:right="6"/>
      </w:pPr>
      <w:r>
        <w:t>Trasa instalacji elektrycznych powinna przebiegać bezkolizyjnie z innymi instalacjami i urządzeniami, powinna być przejrzysta, prosta i dostępna dla prawidłowej konserwacji oraz remontów. Wskazane jest aby przebiegała w liniach poziomych i pionowych.</w:t>
      </w:r>
    </w:p>
    <w:p w14:paraId="4124BD05" w14:textId="77777777" w:rsidR="00BE0F34" w:rsidRDefault="00577A55">
      <w:pPr>
        <w:pStyle w:val="Nagwek2"/>
        <w:ind w:left="15"/>
      </w:pPr>
      <w:r>
        <w:t xml:space="preserve">5.3. </w:t>
      </w:r>
      <w:r>
        <w:t>Przejścia przez ściany i stropy</w:t>
      </w:r>
    </w:p>
    <w:p w14:paraId="397437DE" w14:textId="77777777" w:rsidR="00BE0F34" w:rsidRDefault="00577A55">
      <w:pPr>
        <w:ind w:left="301" w:right="6"/>
      </w:pPr>
      <w:r>
        <w:t>Przejścia przez ściany i stropy powinny spełniać następujące wymagania:</w:t>
      </w:r>
    </w:p>
    <w:p w14:paraId="3A900B54" w14:textId="77777777" w:rsidR="00BE0F34" w:rsidRDefault="00577A55">
      <w:pPr>
        <w:numPr>
          <w:ilvl w:val="0"/>
          <w:numId w:val="4"/>
        </w:numPr>
        <w:ind w:right="6" w:hanging="910"/>
      </w:pPr>
      <w:r>
        <w:t>wszystkie przejścia obwodów instalacji elektrycznych przez ściany, stropy itp. muszą być chronione przed uszkodzeniami.</w:t>
      </w:r>
    </w:p>
    <w:p w14:paraId="430F5A86" w14:textId="77777777" w:rsidR="00BE0F34" w:rsidRDefault="00577A55">
      <w:pPr>
        <w:numPr>
          <w:ilvl w:val="0"/>
          <w:numId w:val="4"/>
        </w:numPr>
        <w:ind w:right="6" w:hanging="910"/>
      </w:pPr>
      <w:r>
        <w:t xml:space="preserve">przejścia te należy wykonywać w </w:t>
      </w:r>
      <w:r>
        <w:t>przepustach rurowych,</w:t>
      </w:r>
    </w:p>
    <w:p w14:paraId="3F10ABAF" w14:textId="77777777" w:rsidR="00BE0F34" w:rsidRDefault="00577A55">
      <w:pPr>
        <w:numPr>
          <w:ilvl w:val="0"/>
          <w:numId w:val="4"/>
        </w:numPr>
        <w:ind w:right="6" w:hanging="910"/>
      </w:pPr>
      <w:r>
        <w:t>przejścia pomiędzy pomieszczeniami o różnych atmosferach powinny być wykonywane w sposób szczelny, zapewniający nieprzedostawanie się wyziewów,</w:t>
      </w:r>
    </w:p>
    <w:p w14:paraId="7D972CB7" w14:textId="77777777" w:rsidR="00BE0F34" w:rsidRDefault="00577A55">
      <w:pPr>
        <w:numPr>
          <w:ilvl w:val="0"/>
          <w:numId w:val="4"/>
        </w:numPr>
        <w:ind w:right="6" w:hanging="910"/>
      </w:pPr>
      <w:r>
        <w:t>obwody instalacji elektrycznych przechodząc przez podłogi muszą być chronione do wysokości</w:t>
      </w:r>
      <w:r>
        <w:t xml:space="preserve"> bezpiecznej przed przypadkowymi uszkodzeniami. Jako osłony przed uszkodzeniami mechanicznymi należy stosować rury stalowe, rury z tworzyw sztucznych, korytka blaszane itp.</w:t>
      </w:r>
    </w:p>
    <w:p w14:paraId="2B9B6803" w14:textId="77777777" w:rsidR="00BE0F34" w:rsidRDefault="00577A55">
      <w:pPr>
        <w:pStyle w:val="Nagwek2"/>
        <w:ind w:left="15"/>
      </w:pPr>
      <w:r>
        <w:t>5.4. Montaż sprzętu, osprzętu i opraw oświetleniowych</w:t>
      </w:r>
    </w:p>
    <w:p w14:paraId="03F1F490" w14:textId="77777777" w:rsidR="00BE0F34" w:rsidRDefault="00577A55">
      <w:pPr>
        <w:ind w:left="301" w:right="6"/>
      </w:pPr>
      <w:r>
        <w:t>Sprzęt i osprzęt instalacyjny</w:t>
      </w:r>
      <w:r>
        <w:t xml:space="preserve"> należy mocować do podłoża w sposób trwały zapewniający mocne i bezpieczne jego osadzenie. Do mocowania sprzętu i osprzętu mogą służyć konstrukcje wsporcze lub konsolki osadzone na podłożu, przyspawane do stalowych elementów konstrukcji budowlanych lub prz</w:t>
      </w:r>
      <w:r>
        <w:t xml:space="preserve">ykręcone do podłoża za pomocą kołków i śrub rozporowych oraz kołków wstrzeliwanych. </w:t>
      </w:r>
    </w:p>
    <w:p w14:paraId="743FF800" w14:textId="77777777" w:rsidR="00BE0F34" w:rsidRDefault="00577A55">
      <w:pPr>
        <w:ind w:left="301" w:right="6"/>
      </w:pPr>
      <w:r>
        <w:t>Przewody opraw oświetleniowych należy łączyć z przewodami wypustów za pomocą złączy świecznikowych.</w:t>
      </w:r>
    </w:p>
    <w:p w14:paraId="551A00F9" w14:textId="77777777" w:rsidR="00BE0F34" w:rsidRDefault="00577A55">
      <w:pPr>
        <w:pStyle w:val="Nagwek2"/>
        <w:ind w:left="15"/>
      </w:pPr>
      <w:r>
        <w:t>5.5. Podejście do odbiorników</w:t>
      </w:r>
    </w:p>
    <w:p w14:paraId="61A43CBA" w14:textId="77777777" w:rsidR="00BE0F34" w:rsidRDefault="00577A55">
      <w:pPr>
        <w:ind w:left="301" w:right="6"/>
      </w:pPr>
      <w:r>
        <w:t>Podejścia instalacji elektrycznych do odb</w:t>
      </w:r>
      <w:r>
        <w:t>iorników należy wykonywać w miejscach bezkolizyjnych, bezpiecznych oraz w sposób estetyczny.</w:t>
      </w:r>
    </w:p>
    <w:p w14:paraId="74BA9777" w14:textId="77777777" w:rsidR="00BE0F34" w:rsidRDefault="00577A55">
      <w:pPr>
        <w:ind w:left="301" w:right="6"/>
      </w:pPr>
      <w:r>
        <w:t>Podejścia do przewodów ułożonych w podłodze należy wykonywać w rurach stalowych, zamocowanych pod powierzchnią podłogi, albo w specjalnie do tego celu przewidziany</w:t>
      </w:r>
      <w:r>
        <w:t>ch kanałach. Rury i kanały muszą spełniać odpowiednie warunki wytrzymałościowe i być wyprowadzone ponad podłogę do wysokości koniecznej dla danego odbiornika.</w:t>
      </w:r>
    </w:p>
    <w:p w14:paraId="35519FA6" w14:textId="77777777" w:rsidR="00BE0F34" w:rsidRDefault="00577A55">
      <w:pPr>
        <w:ind w:left="301" w:right="6"/>
      </w:pPr>
      <w:r>
        <w:t>Do odbiorników zasilanych od góry należy stosować podejścia zwieszakowe. Są to najczęściej oprawy</w:t>
      </w:r>
      <w:r>
        <w:t xml:space="preserve"> oświetleniowe lub odbiorniki zasilane z instalacji zawieszonych na drabinkach lub korytkach kablowych. </w:t>
      </w:r>
    </w:p>
    <w:p w14:paraId="1766810B" w14:textId="77777777" w:rsidR="00BE0F34" w:rsidRDefault="00577A55">
      <w:pPr>
        <w:ind w:left="301" w:right="6"/>
      </w:pPr>
      <w:r>
        <w:t>Do odbiorników zamocowanych na ścianach, stropach lub konstrukcjach podejścia należy wykonywać przewodami ułożonymi na tych ścianach, stropach lub kons</w:t>
      </w:r>
      <w:r>
        <w:t>trukcjach budowlanych, a także na innego rodzaju podłożach np.</w:t>
      </w:r>
    </w:p>
    <w:p w14:paraId="52713F63" w14:textId="77777777" w:rsidR="00BE0F34" w:rsidRDefault="00577A55">
      <w:pPr>
        <w:ind w:left="301" w:right="6"/>
      </w:pPr>
      <w:r>
        <w:t>kształtowniki, korytka itp.</w:t>
      </w:r>
    </w:p>
    <w:p w14:paraId="5D99A23D" w14:textId="77777777" w:rsidR="00BE0F34" w:rsidRDefault="00577A55">
      <w:pPr>
        <w:pStyle w:val="Nagwek2"/>
        <w:ind w:left="15"/>
      </w:pPr>
      <w:r>
        <w:lastRenderedPageBreak/>
        <w:t>5.6. Układanie przewodów</w:t>
      </w:r>
    </w:p>
    <w:p w14:paraId="69F1DFDD" w14:textId="77777777" w:rsidR="00BE0F34" w:rsidRDefault="00577A55">
      <w:pPr>
        <w:ind w:left="428" w:right="6"/>
      </w:pPr>
      <w:r>
        <w:t>5.7.1. Przewody izolowane jednożyłowe w rurkach</w:t>
      </w:r>
    </w:p>
    <w:p w14:paraId="7F261C17" w14:textId="77777777" w:rsidR="00BE0F34" w:rsidRDefault="00577A55">
      <w:pPr>
        <w:tabs>
          <w:tab w:val="center" w:pos="707"/>
          <w:tab w:val="center" w:pos="159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6"/>
        </w:rPr>
        <w:t>a)</w:t>
      </w:r>
      <w:r>
        <w:rPr>
          <w:sz w:val="16"/>
        </w:rPr>
        <w:tab/>
      </w:r>
      <w:r>
        <w:t>Układanie rur</w:t>
      </w:r>
    </w:p>
    <w:p w14:paraId="74109364" w14:textId="77777777" w:rsidR="00BE0F34" w:rsidRDefault="00577A55">
      <w:pPr>
        <w:ind w:left="1052" w:right="6"/>
      </w:pPr>
      <w:r>
        <w:t>Rury należy układać na przygotowanej i wytrasowanej trasie na uchwytach osadzonych w podłożu. Końce rur przed połączeniem powinny być pozbawione ostrych krawędzi. Zależnie od przyjętej technologii montażu i rodzaju tworzywa łączenie rur ze sobą oraz sprzęt</w:t>
      </w:r>
      <w:r>
        <w:t xml:space="preserve">em i osprzętem należy wykonywać przez: </w:t>
      </w:r>
      <w:r>
        <w:rPr>
          <w:sz w:val="16"/>
        </w:rPr>
        <w:t xml:space="preserve">– </w:t>
      </w:r>
      <w:r>
        <w:t xml:space="preserve">wsuwanie w otwory lub kielichy z równoczesnym uszczelnianiem połączeń, </w:t>
      </w:r>
      <w:r>
        <w:rPr>
          <w:sz w:val="16"/>
        </w:rPr>
        <w:t xml:space="preserve">– </w:t>
      </w:r>
      <w:r>
        <w:t xml:space="preserve">wkręcanie nagwintowanych końców rur, </w:t>
      </w:r>
      <w:r>
        <w:rPr>
          <w:sz w:val="16"/>
        </w:rPr>
        <w:t xml:space="preserve">– </w:t>
      </w:r>
      <w:r>
        <w:t>wkręcanie nagrzanych końców rur.</w:t>
      </w:r>
    </w:p>
    <w:p w14:paraId="3AF3590B" w14:textId="77777777" w:rsidR="00BE0F34" w:rsidRDefault="00577A55">
      <w:pPr>
        <w:ind w:left="1052" w:right="6"/>
      </w:pPr>
      <w:r>
        <w:t>Łuki na rurach należy wykonywać tak aby spłaszczenie przekroju nie prz</w:t>
      </w:r>
      <w:r>
        <w:t>ekraczało 15% wewnętrznej średnicy. Promień gięcia powinien zapewniać swobodne wciąganie przewodów.</w:t>
      </w:r>
    </w:p>
    <w:p w14:paraId="24ABBC43" w14:textId="77777777" w:rsidR="00BE0F34" w:rsidRDefault="00577A55">
      <w:pPr>
        <w:ind w:left="644" w:right="6" w:firstLine="398"/>
      </w:pPr>
      <w:r>
        <w:t xml:space="preserve">Cała instalacja rurowa powinna być wykonana ze spadkiem 0.1% aby umożliwić odprowadzenie wody powstałej z ewentualnej kondensacji. Zabrania się układania rur z wciągniętymi w nie przewodami. </w:t>
      </w:r>
      <w:r>
        <w:rPr>
          <w:sz w:val="16"/>
        </w:rPr>
        <w:t xml:space="preserve">b) </w:t>
      </w:r>
      <w:r>
        <w:t>wciąganie przewodów</w:t>
      </w:r>
    </w:p>
    <w:p w14:paraId="6B6211D5" w14:textId="77777777" w:rsidR="00BE0F34" w:rsidRDefault="00577A55">
      <w:pPr>
        <w:ind w:left="1052" w:right="6"/>
      </w:pPr>
      <w:r>
        <w:t>Przed przystąpieniem do wciągania przewodó</w:t>
      </w:r>
      <w:r>
        <w:t>w należy sprawdzić prawidłowość wykonanego rurowania, zamocowania sprzętu i osprzętu, jego połączeń z rurami oraz przelotowość.</w:t>
      </w:r>
    </w:p>
    <w:p w14:paraId="2C52FAC3" w14:textId="77777777" w:rsidR="00BE0F34" w:rsidRDefault="00577A55">
      <w:pPr>
        <w:spacing w:after="49"/>
        <w:ind w:left="1052" w:right="6"/>
      </w:pPr>
      <w:r>
        <w:t xml:space="preserve">Wciąganie przewodów należy wykonać za pomocą specjalnego osprzętu montażowego. Nie wolno do tego celu stosować przewodów, które </w:t>
      </w:r>
      <w:r>
        <w:t>później zostaną użyte w instalacji. Łączenie przewodów wykonać wg wcześniej opisanych zasad.</w:t>
      </w:r>
    </w:p>
    <w:p w14:paraId="066AD15A" w14:textId="77777777" w:rsidR="00BE0F34" w:rsidRDefault="00577A55">
      <w:pPr>
        <w:tabs>
          <w:tab w:val="center" w:pos="1032"/>
          <w:tab w:val="center" w:pos="3079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1"/>
        </w:rPr>
        <w:t></w:t>
      </w:r>
      <w:r>
        <w:rPr>
          <w:rFonts w:ascii="Segoe UI Symbol" w:eastAsia="Segoe UI Symbol" w:hAnsi="Segoe UI Symbol" w:cs="Segoe UI Symbol"/>
          <w:sz w:val="21"/>
        </w:rPr>
        <w:tab/>
      </w:r>
      <w:r>
        <w:t>Wykonanie instalacji p/t wymagać będzie:</w:t>
      </w:r>
    </w:p>
    <w:p w14:paraId="4AEE1A40" w14:textId="77777777" w:rsidR="00BE0F34" w:rsidRDefault="00577A55">
      <w:pPr>
        <w:ind w:left="1820" w:right="6" w:hanging="360"/>
      </w:pPr>
      <w:r>
        <w:rPr>
          <w:sz w:val="16"/>
        </w:rPr>
        <w:t xml:space="preserve">– </w:t>
      </w:r>
      <w:r>
        <w:t>ułożenia przewodów i zainstalowania osprzętu przed wykonaniem tynkowania. W przypadku wykonywania instalacji na istni</w:t>
      </w:r>
      <w:r>
        <w:t>ejących ścianach niezbędne będzie wykucie odpowiednich bruzd pod przewody i ślepych wnęk pod osprzęt oraz ich zatynkowanie. </w:t>
      </w:r>
    </w:p>
    <w:p w14:paraId="2B71D7B4" w14:textId="77777777" w:rsidR="00BE0F34" w:rsidRDefault="00577A55">
      <w:pPr>
        <w:ind w:left="1788" w:right="6"/>
      </w:pPr>
      <w:r>
        <w:t xml:space="preserve">Przed wykonaniem instalacji jako szczelnej należy przewody i kable uszczelniać w osprzęcie oraz aparatach za pomocą </w:t>
      </w:r>
      <w:proofErr w:type="spellStart"/>
      <w:r>
        <w:t>dławników</w:t>
      </w:r>
      <w:proofErr w:type="spellEnd"/>
      <w:r>
        <w:t>.</w:t>
      </w:r>
    </w:p>
    <w:p w14:paraId="496CCEAF" w14:textId="77777777" w:rsidR="00BE0F34" w:rsidRDefault="00577A55">
      <w:pPr>
        <w:ind w:left="1788" w:right="6"/>
      </w:pPr>
      <w:r>
        <w:t>Śred</w:t>
      </w:r>
      <w:r>
        <w:t>nica głowicy i otworu uszczelniającego pierścienia powinna być dostosowana do średnicy zewnętrznej przewodu lub kabla.</w:t>
      </w:r>
    </w:p>
    <w:p w14:paraId="6E41F58D" w14:textId="77777777" w:rsidR="00BE0F34" w:rsidRDefault="00577A55">
      <w:pPr>
        <w:spacing w:after="2" w:line="259" w:lineRule="auto"/>
        <w:ind w:left="0" w:right="198" w:firstLine="0"/>
        <w:jc w:val="right"/>
      </w:pPr>
      <w:r>
        <w:t>Po dokręceniu dławic zaleca się dodatkowe uszczelnienie ich za pomocą odpowiednich uszczelnień.</w:t>
      </w:r>
    </w:p>
    <w:p w14:paraId="7376043A" w14:textId="77777777" w:rsidR="00BE0F34" w:rsidRDefault="00577A55">
      <w:pPr>
        <w:pStyle w:val="Nagwek2"/>
        <w:ind w:left="15"/>
      </w:pPr>
      <w:r>
        <w:t>5.7.  Łączenie przewodów</w:t>
      </w:r>
    </w:p>
    <w:p w14:paraId="118D1564" w14:textId="77777777" w:rsidR="00BE0F34" w:rsidRDefault="00577A55">
      <w:pPr>
        <w:ind w:left="301" w:right="6"/>
      </w:pPr>
      <w:r>
        <w:t>W instalacjach e</w:t>
      </w:r>
      <w:r>
        <w:t>lektrycznych wnętrzowych łączenia przewodów należy dokonywać w sprzęcie i osprzęcie instalacyjnym i w odbiornikach. Nie wolno stosować połączeń skręcanych. W przypadku gdy odbiorniki elektryczne mają wyprowadzone fabrycznie na zewnątrz przewody, a samo ich</w:t>
      </w:r>
      <w:r>
        <w:t xml:space="preserve"> podłączenie do instalacji nie zostało opracowane w projekcie, sposób podłączenia należy uzgodnić z projektantem lub kompetentnym przedstawicielem Inżyniera.</w:t>
      </w:r>
    </w:p>
    <w:p w14:paraId="6C7A5B97" w14:textId="77777777" w:rsidR="00BE0F34" w:rsidRDefault="00577A55">
      <w:pPr>
        <w:ind w:left="301" w:right="6"/>
      </w:pPr>
      <w:r>
        <w:t>Przewody muszą być ułożone swobodnie i nie mogą być narażone na naciągi i dodatkowe naprężenia. Do</w:t>
      </w:r>
      <w:r>
        <w:t xml:space="preserve"> danego zacisku należy przyłączyć przewody o rodzaju wykonania, przekroju i liczbie dla jakich zacisk ten jest przygotowany. W przypadku zastosowania zacisków, do których przewody są przyłączone za pomocą oczek, pomiędzy oczkiem a nakrętką oraz pomiędzy oc</w:t>
      </w:r>
      <w:r>
        <w:t xml:space="preserve">zkami powinny znajdować się podkładki metalowe zabezpieczone przed korozją w sposób umożliwiający przepływ prądu. Długość odizolowanej żyły przewodu powinna zapewniać prawidłowe przyłączenie. Zdejmowanie izolacji i oczyszczenie przewodu nie może powodować </w:t>
      </w:r>
      <w:r>
        <w:t>uszkodzeń mechanicznych. W przypadku stosowania żył ocynowanych proces czyszczenia nie powinien uszkadzać warstwy cyny.</w:t>
      </w:r>
    </w:p>
    <w:p w14:paraId="2D18ADE3" w14:textId="77777777" w:rsidR="00BE0F34" w:rsidRDefault="00577A55">
      <w:pPr>
        <w:ind w:left="301" w:right="6"/>
      </w:pPr>
      <w:r>
        <w:t>Końce przewodów miedzianych z żyłami wielodrutowymi (linek) powinny lecz zabezpieczone zaprasowanymi tulejkami lub ocynowane (zaleca się</w:t>
      </w:r>
      <w:r>
        <w:t xml:space="preserve"> zastosowanie tulejek zamiast cynowania).</w:t>
      </w:r>
    </w:p>
    <w:p w14:paraId="26D3A506" w14:textId="77777777" w:rsidR="00BE0F34" w:rsidRDefault="00577A55">
      <w:pPr>
        <w:pStyle w:val="Nagwek2"/>
        <w:ind w:left="15"/>
      </w:pPr>
      <w:r>
        <w:t>5.8.  Przyłączanie odbiorników</w:t>
      </w:r>
    </w:p>
    <w:p w14:paraId="206E9C91" w14:textId="77777777" w:rsidR="00BE0F34" w:rsidRDefault="00577A55">
      <w:pPr>
        <w:ind w:left="301" w:right="6"/>
      </w:pPr>
      <w:r>
        <w:t>Miejsca połączeń żył przewodów z zaciskami odbiorników powinny być dokładnie oczyszczone. Samo połączenie musi być wykonane w sposób pewny, pod względem elektrycznym i mechanicznym or</w:t>
      </w:r>
      <w:r>
        <w:t>az zabezpieczone przed osłabieniem siły docisku, korozją itp.</w:t>
      </w:r>
    </w:p>
    <w:p w14:paraId="4E7921CB" w14:textId="77777777" w:rsidR="00BE0F34" w:rsidRDefault="00577A55">
      <w:pPr>
        <w:ind w:left="301" w:right="6"/>
      </w:pPr>
      <w:r>
        <w:t>Połączenia mogą być wykonywane jako sztywne lub elastyczne w zależności od konstrukcji odbiornika i warunków technologicznych. Przyłączenia sztywne należy wykonywać w rurach sztywnych wprowadzon</w:t>
      </w:r>
      <w:r>
        <w:t>ych bezpośrednio do odbiorników oraz przewodami kabelkowymi i kablami.</w:t>
      </w:r>
    </w:p>
    <w:p w14:paraId="18124EA7" w14:textId="77777777" w:rsidR="00BE0F34" w:rsidRDefault="00577A55">
      <w:pPr>
        <w:ind w:left="301" w:right="6"/>
      </w:pPr>
      <w:r>
        <w:t>Połączenia elastyczne stosuje się gdy odbiorniki narażone są na drgania o dużej amplitudzie lub przystosowane są do przesunięć lub przemieszczeń. Połączenia te należy wykonać:</w:t>
      </w:r>
    </w:p>
    <w:p w14:paraId="11601159" w14:textId="77777777" w:rsidR="00BE0F34" w:rsidRDefault="00577A55">
      <w:pPr>
        <w:numPr>
          <w:ilvl w:val="0"/>
          <w:numId w:val="5"/>
        </w:numPr>
        <w:ind w:right="6" w:hanging="910"/>
      </w:pPr>
      <w:r>
        <w:t>przewodami izolowanymi wielożyłowymi giętkimi lub oponowymi,</w:t>
      </w:r>
    </w:p>
    <w:p w14:paraId="2D862B0C" w14:textId="77777777" w:rsidR="00BE0F34" w:rsidRDefault="00577A55">
      <w:pPr>
        <w:numPr>
          <w:ilvl w:val="0"/>
          <w:numId w:val="5"/>
        </w:numPr>
        <w:ind w:right="6" w:hanging="910"/>
      </w:pPr>
      <w:r>
        <w:t>przewodami izolowanymi jednożyłowymi w rurach elastycznych,</w:t>
      </w:r>
    </w:p>
    <w:p w14:paraId="0F2E292E" w14:textId="77777777" w:rsidR="00BE0F34" w:rsidRDefault="00577A55">
      <w:pPr>
        <w:numPr>
          <w:ilvl w:val="0"/>
          <w:numId w:val="5"/>
        </w:numPr>
        <w:ind w:right="6" w:hanging="910"/>
      </w:pPr>
      <w:r>
        <w:t>przewodami izolowanymi wielożyłowymi giętkimi lub oponowymi w rurach elastycznych.</w:t>
      </w:r>
    </w:p>
    <w:p w14:paraId="78EE7790" w14:textId="77777777" w:rsidR="00BE0F34" w:rsidRDefault="00577A55">
      <w:pPr>
        <w:pStyle w:val="Nagwek2"/>
        <w:ind w:left="15"/>
      </w:pPr>
      <w:r>
        <w:t>5.9.  Montaż tablicy rozdzielczej</w:t>
      </w:r>
    </w:p>
    <w:p w14:paraId="6F6DD5CE" w14:textId="77777777" w:rsidR="00BE0F34" w:rsidRDefault="00577A55">
      <w:pPr>
        <w:ind w:left="301" w:right="6"/>
      </w:pPr>
      <w:r>
        <w:t>Przed przystąpieni</w:t>
      </w:r>
      <w:r>
        <w:t>em do montażu urządzeń przykręcanych na konstrukcjach wsporczych dostarczanych oddzielnie należy konstrukcje te mocować do podłoża w sposób podany w dokumentacji.</w:t>
      </w:r>
    </w:p>
    <w:p w14:paraId="63B041D6" w14:textId="77777777" w:rsidR="00BE0F34" w:rsidRDefault="00577A55">
      <w:pPr>
        <w:ind w:left="301" w:right="6"/>
      </w:pPr>
      <w:r>
        <w:t>Urządzenia skrzynkowe dostarczone na miejsce montażu wraz z przykręconą do nich konstrukcją w</w:t>
      </w:r>
      <w:r>
        <w:t>sporczą należy wstawić w przygotowane otwory i zalać betonem.</w:t>
      </w:r>
    </w:p>
    <w:p w14:paraId="7BDA8E46" w14:textId="77777777" w:rsidR="00BE0F34" w:rsidRDefault="00577A55">
      <w:pPr>
        <w:ind w:left="301" w:right="6"/>
      </w:pPr>
      <w:r>
        <w:t>Tablice w obudowie naściennej lub zagłębionej należy przykręcać do kotew lub konstrukcji wsporczych zamocowanych w podłożu.</w:t>
      </w:r>
    </w:p>
    <w:p w14:paraId="0A9103FA" w14:textId="77777777" w:rsidR="00BE0F34" w:rsidRDefault="00577A55">
      <w:pPr>
        <w:ind w:left="301" w:right="6"/>
      </w:pPr>
      <w:r>
        <w:t>Po zamontowaniu urządzenia należy:</w:t>
      </w:r>
    </w:p>
    <w:p w14:paraId="78523AB3" w14:textId="77777777" w:rsidR="00BE0F34" w:rsidRDefault="00577A55">
      <w:pPr>
        <w:numPr>
          <w:ilvl w:val="0"/>
          <w:numId w:val="6"/>
        </w:numPr>
        <w:ind w:right="6" w:hanging="910"/>
      </w:pPr>
      <w:r>
        <w:t>zainstalować aparaty zdjęte na czas</w:t>
      </w:r>
      <w:r>
        <w:t xml:space="preserve"> transportu i dostarczone w oddzielnych opakowaniach,</w:t>
      </w:r>
    </w:p>
    <w:p w14:paraId="05A2DDAA" w14:textId="77777777" w:rsidR="00BE0F34" w:rsidRDefault="00577A55">
      <w:pPr>
        <w:numPr>
          <w:ilvl w:val="0"/>
          <w:numId w:val="6"/>
        </w:numPr>
        <w:ind w:right="6" w:hanging="910"/>
      </w:pPr>
      <w:r>
        <w:lastRenderedPageBreak/>
        <w:t>dokręcić w sposób pewny wszystkie śruby i wkręty w połączeniach elektrycznych i mechanicznych,</w:t>
      </w:r>
    </w:p>
    <w:p w14:paraId="541E8751" w14:textId="77777777" w:rsidR="00BE0F34" w:rsidRDefault="00577A55">
      <w:pPr>
        <w:numPr>
          <w:ilvl w:val="0"/>
          <w:numId w:val="6"/>
        </w:numPr>
        <w:ind w:right="6" w:hanging="910"/>
      </w:pPr>
      <w:r>
        <w:t>założyć osłony zdjęte w czasie montażu</w:t>
      </w:r>
    </w:p>
    <w:p w14:paraId="323A0FFC" w14:textId="77777777" w:rsidR="00BE0F34" w:rsidRDefault="00577A55">
      <w:pPr>
        <w:numPr>
          <w:ilvl w:val="0"/>
          <w:numId w:val="6"/>
        </w:numPr>
        <w:ind w:right="6" w:hanging="910"/>
      </w:pPr>
      <w:r>
        <w:t>podłączyć obwody zewnętrzne</w:t>
      </w:r>
    </w:p>
    <w:p w14:paraId="7883FD0D" w14:textId="77777777" w:rsidR="00BE0F34" w:rsidRDefault="00577A55">
      <w:pPr>
        <w:numPr>
          <w:ilvl w:val="0"/>
          <w:numId w:val="6"/>
        </w:numPr>
        <w:ind w:right="6" w:hanging="910"/>
      </w:pPr>
      <w:r>
        <w:t>podłączyć przewody ochronne</w:t>
      </w:r>
    </w:p>
    <w:p w14:paraId="7A8FD900" w14:textId="77777777" w:rsidR="00BE0F34" w:rsidRDefault="00577A55">
      <w:pPr>
        <w:pStyle w:val="Nagwek2"/>
        <w:ind w:left="15"/>
      </w:pPr>
      <w:r>
        <w:t xml:space="preserve">5.10. Próby </w:t>
      </w:r>
      <w:r>
        <w:t>montażowe</w:t>
      </w:r>
    </w:p>
    <w:p w14:paraId="7B84C9CF" w14:textId="77777777" w:rsidR="00BE0F34" w:rsidRDefault="00577A55">
      <w:pPr>
        <w:ind w:left="301" w:right="6"/>
      </w:pPr>
      <w:r>
        <w:t>Po zakończeniu robót należy przeprowadzić próby montażowe obejmujące badania i pomiary. Zakres prób montażowych należy uzgodnić z inwestorem. Zakres podstawowych prób obejmuje:</w:t>
      </w:r>
    </w:p>
    <w:p w14:paraId="303F114C" w14:textId="77777777" w:rsidR="00BE0F34" w:rsidRDefault="00577A55">
      <w:pPr>
        <w:numPr>
          <w:ilvl w:val="0"/>
          <w:numId w:val="7"/>
        </w:numPr>
        <w:ind w:right="6" w:hanging="1270"/>
      </w:pPr>
      <w:r>
        <w:t>pomiar rezystancji izolacji instalacji</w:t>
      </w:r>
    </w:p>
    <w:p w14:paraId="7E875743" w14:textId="77777777" w:rsidR="00BE0F34" w:rsidRDefault="00577A55">
      <w:pPr>
        <w:numPr>
          <w:ilvl w:val="0"/>
          <w:numId w:val="7"/>
        </w:numPr>
        <w:ind w:right="6" w:hanging="1270"/>
      </w:pPr>
      <w:r>
        <w:t>pomiar rezystancji izolacji od</w:t>
      </w:r>
      <w:r>
        <w:t>biorników</w:t>
      </w:r>
    </w:p>
    <w:p w14:paraId="292BB08F" w14:textId="77777777" w:rsidR="00BE0F34" w:rsidRDefault="00577A55">
      <w:pPr>
        <w:numPr>
          <w:ilvl w:val="0"/>
          <w:numId w:val="7"/>
        </w:numPr>
        <w:spacing w:after="326"/>
        <w:ind w:right="6" w:hanging="1270"/>
      </w:pPr>
      <w:r>
        <w:t>pomiary impedancji pętli zwarciowych</w:t>
      </w:r>
    </w:p>
    <w:p w14:paraId="0C21244F" w14:textId="77777777" w:rsidR="00BE0F34" w:rsidRDefault="00577A55">
      <w:pPr>
        <w:pStyle w:val="Nagwek1"/>
        <w:ind w:left="15"/>
      </w:pPr>
      <w:r>
        <w:t>6. Kontrola jakości robót</w:t>
      </w:r>
    </w:p>
    <w:p w14:paraId="6E7AB3AD" w14:textId="77777777" w:rsidR="00BE0F34" w:rsidRDefault="00577A55">
      <w:pPr>
        <w:numPr>
          <w:ilvl w:val="0"/>
          <w:numId w:val="8"/>
        </w:numPr>
        <w:ind w:right="6" w:hanging="382"/>
      </w:pPr>
      <w:r>
        <w:t>Sprawdzenie i odbiór robót powinno być wykonane zgodnie z normami [4], [5] i przepisów [6].</w:t>
      </w:r>
    </w:p>
    <w:p w14:paraId="744BF0E6" w14:textId="77777777" w:rsidR="00BE0F34" w:rsidRDefault="00577A55">
      <w:pPr>
        <w:numPr>
          <w:ilvl w:val="0"/>
          <w:numId w:val="8"/>
        </w:numPr>
        <w:ind w:right="6" w:hanging="382"/>
      </w:pPr>
      <w:r>
        <w:t>Sprawdzeniu i kontroli w czasie wykonywania robót oraz po ich zakończeniu powinno podlegać:</w:t>
      </w:r>
    </w:p>
    <w:p w14:paraId="2065ADE7" w14:textId="77777777" w:rsidR="00BE0F34" w:rsidRDefault="00577A55">
      <w:pPr>
        <w:numPr>
          <w:ilvl w:val="1"/>
          <w:numId w:val="8"/>
        </w:numPr>
        <w:ind w:right="6" w:hanging="550"/>
      </w:pPr>
      <w:r>
        <w:t>zgodność wykonania robót z dokumentacją projektową,</w:t>
      </w:r>
    </w:p>
    <w:p w14:paraId="77CD449E" w14:textId="77777777" w:rsidR="00BE0F34" w:rsidRDefault="00577A55">
      <w:pPr>
        <w:numPr>
          <w:ilvl w:val="1"/>
          <w:numId w:val="8"/>
        </w:numPr>
        <w:ind w:right="6" w:hanging="550"/>
      </w:pPr>
      <w:r>
        <w:t>właściwe podłączenie przewodu fazowego i neutralnego do gniazd</w:t>
      </w:r>
    </w:p>
    <w:p w14:paraId="18CE491A" w14:textId="77777777" w:rsidR="00BE0F34" w:rsidRDefault="00577A55">
      <w:pPr>
        <w:numPr>
          <w:ilvl w:val="1"/>
          <w:numId w:val="8"/>
        </w:numPr>
        <w:ind w:right="6" w:hanging="550"/>
      </w:pPr>
      <w:r>
        <w:t>załączanie punktów świetlnych zgodnie z założonym programem</w:t>
      </w:r>
    </w:p>
    <w:p w14:paraId="3CD72CE8" w14:textId="77777777" w:rsidR="00BE0F34" w:rsidRDefault="00577A55">
      <w:pPr>
        <w:numPr>
          <w:ilvl w:val="1"/>
          <w:numId w:val="8"/>
        </w:numPr>
        <w:spacing w:after="105"/>
        <w:ind w:right="6" w:hanging="550"/>
      </w:pPr>
      <w:r>
        <w:t>wykonanie pomiarów rezystancji izolacji, pomiarów skuteczności ochrony przeciwporażeniowej z przekazaniem wyników do protokołu odbior</w:t>
      </w:r>
      <w:r>
        <w:t>u.</w:t>
      </w:r>
    </w:p>
    <w:p w14:paraId="25E29E8B" w14:textId="77777777" w:rsidR="00BE0F34" w:rsidRDefault="00577A55">
      <w:pPr>
        <w:pStyle w:val="Nagwek1"/>
        <w:ind w:left="15"/>
      </w:pPr>
      <w:r>
        <w:t>7. Obmiar robót</w:t>
      </w:r>
    </w:p>
    <w:p w14:paraId="01E9014F" w14:textId="77777777" w:rsidR="00BE0F34" w:rsidRDefault="00577A55">
      <w:pPr>
        <w:spacing w:after="105"/>
        <w:ind w:left="301" w:right="3804"/>
      </w:pPr>
      <w:r>
        <w:t>Obmiar robót obejmuje całość instalacji elektroenergetycznych. Jednostką obmiarową jest komplet robót.</w:t>
      </w:r>
    </w:p>
    <w:p w14:paraId="62E3D9C3" w14:textId="77777777" w:rsidR="00BE0F34" w:rsidRDefault="00577A55">
      <w:pPr>
        <w:pStyle w:val="Nagwek1"/>
        <w:ind w:left="15"/>
      </w:pPr>
      <w:r>
        <w:t>8. Odbiór robót</w:t>
      </w:r>
    </w:p>
    <w:p w14:paraId="5A25F22B" w14:textId="77777777" w:rsidR="00BE0F34" w:rsidRDefault="00577A55">
      <w:pPr>
        <w:spacing w:after="87" w:line="265" w:lineRule="auto"/>
        <w:ind w:left="15"/>
        <w:jc w:val="left"/>
      </w:pPr>
      <w:r>
        <w:rPr>
          <w:u w:val="single" w:color="000000"/>
        </w:rPr>
        <w:t>8.1. Odbiór robót zanikających i ulegających zakryciu 8.2. Odbiory częściowe 8.3. Odbiory końcowe 8.4. Odbiory ostatec</w:t>
      </w:r>
      <w:r>
        <w:rPr>
          <w:u w:val="single" w:color="000000"/>
        </w:rPr>
        <w:t>zne</w:t>
      </w:r>
    </w:p>
    <w:p w14:paraId="7CC854C7" w14:textId="77777777" w:rsidR="00BE0F34" w:rsidRDefault="00577A55">
      <w:pPr>
        <w:spacing w:after="1" w:line="259" w:lineRule="auto"/>
        <w:ind w:left="15"/>
        <w:jc w:val="left"/>
      </w:pPr>
      <w:r>
        <w:rPr>
          <w:b/>
        </w:rPr>
        <w:t>9. Podstawa płatności</w:t>
      </w:r>
    </w:p>
    <w:p w14:paraId="2C694B7B" w14:textId="77777777" w:rsidR="00BE0F34" w:rsidRDefault="00577A55">
      <w:pPr>
        <w:spacing w:after="102"/>
        <w:ind w:left="301" w:right="6"/>
      </w:pPr>
      <w:r>
        <w:t xml:space="preserve">Podstawę płatności stanowi komplet wykonanych robót i pomiarów </w:t>
      </w:r>
      <w:proofErr w:type="spellStart"/>
      <w:r>
        <w:t>pomontażowych</w:t>
      </w:r>
      <w:proofErr w:type="spellEnd"/>
      <w:r>
        <w:t>.</w:t>
      </w:r>
    </w:p>
    <w:p w14:paraId="5E818AD1" w14:textId="77777777" w:rsidR="00BE0F34" w:rsidRDefault="00577A55">
      <w:pPr>
        <w:pStyle w:val="Nagwek1"/>
        <w:ind w:left="15"/>
      </w:pPr>
      <w:r>
        <w:t>10. Przepisy związane</w:t>
      </w:r>
    </w:p>
    <w:p w14:paraId="2AB76BAA" w14:textId="77777777" w:rsidR="00BE0F34" w:rsidRDefault="00577A55">
      <w:pPr>
        <w:numPr>
          <w:ilvl w:val="0"/>
          <w:numId w:val="9"/>
        </w:numPr>
        <w:ind w:right="6" w:hanging="540"/>
      </w:pPr>
      <w:r>
        <w:t xml:space="preserve">PN-87/E-90056. Przewody elektroenergetyczne ogólnego przeznaczenia do układania na stałe. Przewody o izolacji i powłoce </w:t>
      </w:r>
      <w:proofErr w:type="spellStart"/>
      <w:r>
        <w:t>polwinitow</w:t>
      </w:r>
      <w:r>
        <w:t>ej</w:t>
      </w:r>
      <w:proofErr w:type="spellEnd"/>
      <w:r>
        <w:t>, okrągłe.</w:t>
      </w:r>
    </w:p>
    <w:p w14:paraId="59AA1646" w14:textId="77777777" w:rsidR="00BE0F34" w:rsidRDefault="00577A55">
      <w:pPr>
        <w:numPr>
          <w:ilvl w:val="0"/>
          <w:numId w:val="9"/>
        </w:numPr>
        <w:ind w:right="6" w:hanging="540"/>
      </w:pPr>
      <w:r>
        <w:t xml:space="preserve">PN-87/E-90054. Przewody elektroenergetyczne ogólnego przeznaczenia do układania na stałe. Przewody jednożyłowe o izolacji </w:t>
      </w:r>
      <w:proofErr w:type="spellStart"/>
      <w:r>
        <w:t>polwinitowej</w:t>
      </w:r>
      <w:proofErr w:type="spellEnd"/>
      <w:r>
        <w:t>.</w:t>
      </w:r>
    </w:p>
    <w:p w14:paraId="6D255A23" w14:textId="77777777" w:rsidR="00BE0F34" w:rsidRDefault="00577A55">
      <w:pPr>
        <w:numPr>
          <w:ilvl w:val="0"/>
          <w:numId w:val="9"/>
        </w:numPr>
        <w:ind w:right="6" w:hanging="540"/>
      </w:pPr>
      <w:r>
        <w:t xml:space="preserve">PN-76/E-90301. Kable elektroenergetyczne i sygnalizacyjne o izolacji z tworzyw termoplastycznych i powłoce </w:t>
      </w:r>
      <w:proofErr w:type="spellStart"/>
      <w:r>
        <w:t>polwinitowej</w:t>
      </w:r>
      <w:proofErr w:type="spellEnd"/>
      <w:r>
        <w:t xml:space="preserve"> na napięcie znamionowe 0.6/1 </w:t>
      </w:r>
      <w:proofErr w:type="spellStart"/>
      <w:r>
        <w:t>kV</w:t>
      </w:r>
      <w:proofErr w:type="spellEnd"/>
      <w:r>
        <w:t>.</w:t>
      </w:r>
    </w:p>
    <w:p w14:paraId="4CFFE155" w14:textId="77777777" w:rsidR="00BE0F34" w:rsidRDefault="00577A55">
      <w:pPr>
        <w:numPr>
          <w:ilvl w:val="0"/>
          <w:numId w:val="9"/>
        </w:numPr>
        <w:ind w:right="6" w:hanging="540"/>
      </w:pPr>
      <w:r>
        <w:t>PN-EN 12464-1:2004. Światło i oświetlenie. Oświetlenie miejsc pracy. Część 1: Miejsca pracy we wnętrzach.</w:t>
      </w:r>
    </w:p>
    <w:p w14:paraId="0F745405" w14:textId="77777777" w:rsidR="00BE0F34" w:rsidRDefault="00577A55">
      <w:pPr>
        <w:tabs>
          <w:tab w:val="center" w:pos="676"/>
          <w:tab w:val="center" w:pos="423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[6]</w:t>
      </w:r>
      <w:r>
        <w:tab/>
      </w:r>
      <w:r>
        <w:t>Przepisy budowy urządzeń elektroenergetycznych. Instytut Energetyki 1988 r.</w:t>
      </w:r>
    </w:p>
    <w:sectPr w:rsidR="00BE0F34">
      <w:pgSz w:w="11900" w:h="16840"/>
      <w:pgMar w:top="1022" w:right="954" w:bottom="1023" w:left="94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61420"/>
    <w:multiLevelType w:val="hybridMultilevel"/>
    <w:tmpl w:val="6CEE4886"/>
    <w:lvl w:ilvl="0" w:tplc="A81848F6">
      <w:start w:val="1"/>
      <w:numFmt w:val="decimal"/>
      <w:lvlText w:val="%1."/>
      <w:lvlJc w:val="left"/>
      <w:pPr>
        <w:ind w:left="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54BEEE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BAD1FE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C2184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425B20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4A621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18D574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82CF5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FAD6E2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E5659C"/>
    <w:multiLevelType w:val="hybridMultilevel"/>
    <w:tmpl w:val="CE48352A"/>
    <w:lvl w:ilvl="0" w:tplc="0C9C39D8">
      <w:start w:val="1"/>
      <w:numFmt w:val="decimal"/>
      <w:lvlText w:val="[%1]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C83C08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18AACA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26152E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16709A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7E0F96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48F13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40563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52D4A6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381355"/>
    <w:multiLevelType w:val="hybridMultilevel"/>
    <w:tmpl w:val="A018513E"/>
    <w:lvl w:ilvl="0" w:tplc="2444CAF0">
      <w:start w:val="1"/>
      <w:numFmt w:val="bullet"/>
      <w:lvlText w:val="–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80893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A9ACED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8D63CC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56F55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A026E7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8D6E6C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0F409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5FC735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130269"/>
    <w:multiLevelType w:val="hybridMultilevel"/>
    <w:tmpl w:val="4AF03E7C"/>
    <w:lvl w:ilvl="0" w:tplc="8B7C8F64">
      <w:start w:val="1"/>
      <w:numFmt w:val="bullet"/>
      <w:lvlText w:val="–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C308BF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61E999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D1AE4B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3448C6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8B8206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DD2139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F402FF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09ED2F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7225D62"/>
    <w:multiLevelType w:val="hybridMultilevel"/>
    <w:tmpl w:val="A2D68E42"/>
    <w:lvl w:ilvl="0" w:tplc="FBB8501C">
      <w:start w:val="1"/>
      <w:numFmt w:val="bullet"/>
      <w:lvlText w:val="–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1EA32EC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F8A749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77E819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3C0D89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258D27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B0273B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B50E48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48CA97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9E35F89"/>
    <w:multiLevelType w:val="hybridMultilevel"/>
    <w:tmpl w:val="B85E8C18"/>
    <w:lvl w:ilvl="0" w:tplc="1BFA867A">
      <w:start w:val="1"/>
      <w:numFmt w:val="decimal"/>
      <w:lvlText w:val="(%1)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E842E8">
      <w:start w:val="1"/>
      <w:numFmt w:val="bullet"/>
      <w:lvlText w:val="•"/>
      <w:lvlJc w:val="left"/>
      <w:pPr>
        <w:ind w:left="13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312E90A">
      <w:start w:val="1"/>
      <w:numFmt w:val="bullet"/>
      <w:lvlText w:val="▪"/>
      <w:lvlJc w:val="left"/>
      <w:pPr>
        <w:ind w:left="1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A7ED12C">
      <w:start w:val="1"/>
      <w:numFmt w:val="bullet"/>
      <w:lvlText w:val="•"/>
      <w:lvlJc w:val="left"/>
      <w:pPr>
        <w:ind w:left="2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4289286">
      <w:start w:val="1"/>
      <w:numFmt w:val="bullet"/>
      <w:lvlText w:val="o"/>
      <w:lvlJc w:val="left"/>
      <w:pPr>
        <w:ind w:left="3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17C1438">
      <w:start w:val="1"/>
      <w:numFmt w:val="bullet"/>
      <w:lvlText w:val="▪"/>
      <w:lvlJc w:val="left"/>
      <w:pPr>
        <w:ind w:left="4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E024BFA">
      <w:start w:val="1"/>
      <w:numFmt w:val="bullet"/>
      <w:lvlText w:val="•"/>
      <w:lvlJc w:val="left"/>
      <w:pPr>
        <w:ind w:left="4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6BAF760">
      <w:start w:val="1"/>
      <w:numFmt w:val="bullet"/>
      <w:lvlText w:val="o"/>
      <w:lvlJc w:val="left"/>
      <w:pPr>
        <w:ind w:left="5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BC06CBE">
      <w:start w:val="1"/>
      <w:numFmt w:val="bullet"/>
      <w:lvlText w:val="▪"/>
      <w:lvlJc w:val="left"/>
      <w:pPr>
        <w:ind w:left="6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A1267C6"/>
    <w:multiLevelType w:val="hybridMultilevel"/>
    <w:tmpl w:val="B35C46AA"/>
    <w:lvl w:ilvl="0" w:tplc="4490D08A">
      <w:start w:val="1"/>
      <w:numFmt w:val="bullet"/>
      <w:lvlText w:val="–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BDE60AE">
      <w:start w:val="1"/>
      <w:numFmt w:val="bullet"/>
      <w:lvlText w:val="o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2727726">
      <w:start w:val="1"/>
      <w:numFmt w:val="bullet"/>
      <w:lvlText w:val="▪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05E6CD2">
      <w:start w:val="1"/>
      <w:numFmt w:val="bullet"/>
      <w:lvlText w:val="•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AAC3C3A">
      <w:start w:val="1"/>
      <w:numFmt w:val="bullet"/>
      <w:lvlText w:val="o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06E93B2">
      <w:start w:val="1"/>
      <w:numFmt w:val="bullet"/>
      <w:lvlText w:val="▪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6EC6356">
      <w:start w:val="1"/>
      <w:numFmt w:val="bullet"/>
      <w:lvlText w:val="•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7E28E88">
      <w:start w:val="1"/>
      <w:numFmt w:val="bullet"/>
      <w:lvlText w:val="o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C9644E0">
      <w:start w:val="1"/>
      <w:numFmt w:val="bullet"/>
      <w:lvlText w:val="▪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12A6CAC"/>
    <w:multiLevelType w:val="hybridMultilevel"/>
    <w:tmpl w:val="B8E6FA3A"/>
    <w:lvl w:ilvl="0" w:tplc="47E0E50E">
      <w:start w:val="1"/>
      <w:numFmt w:val="lowerLetter"/>
      <w:lvlText w:val="%1)"/>
      <w:lvlJc w:val="left"/>
      <w:pPr>
        <w:ind w:left="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AE81F5E">
      <w:start w:val="1"/>
      <w:numFmt w:val="lowerLetter"/>
      <w:lvlText w:val="%2"/>
      <w:lvlJc w:val="left"/>
      <w:pPr>
        <w:ind w:left="1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0CAABA4">
      <w:start w:val="1"/>
      <w:numFmt w:val="lowerRoman"/>
      <w:lvlText w:val="%3"/>
      <w:lvlJc w:val="left"/>
      <w:pPr>
        <w:ind w:left="2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994F81E">
      <w:start w:val="1"/>
      <w:numFmt w:val="decimal"/>
      <w:lvlText w:val="%4"/>
      <w:lvlJc w:val="left"/>
      <w:pPr>
        <w:ind w:left="2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656B562">
      <w:start w:val="1"/>
      <w:numFmt w:val="lowerLetter"/>
      <w:lvlText w:val="%5"/>
      <w:lvlJc w:val="left"/>
      <w:pPr>
        <w:ind w:left="3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4D6810C">
      <w:start w:val="1"/>
      <w:numFmt w:val="lowerRoman"/>
      <w:lvlText w:val="%6"/>
      <w:lvlJc w:val="left"/>
      <w:pPr>
        <w:ind w:left="4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C04EF40">
      <w:start w:val="1"/>
      <w:numFmt w:val="decimal"/>
      <w:lvlText w:val="%7"/>
      <w:lvlJc w:val="left"/>
      <w:pPr>
        <w:ind w:left="4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F5C0CFC">
      <w:start w:val="1"/>
      <w:numFmt w:val="lowerLetter"/>
      <w:lvlText w:val="%8"/>
      <w:lvlJc w:val="left"/>
      <w:pPr>
        <w:ind w:left="5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D1E4B0A">
      <w:start w:val="1"/>
      <w:numFmt w:val="lowerRoman"/>
      <w:lvlText w:val="%9"/>
      <w:lvlJc w:val="left"/>
      <w:pPr>
        <w:ind w:left="6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E0509E"/>
    <w:multiLevelType w:val="hybridMultilevel"/>
    <w:tmpl w:val="1BE0DB3C"/>
    <w:lvl w:ilvl="0" w:tplc="108C4E28">
      <w:start w:val="1"/>
      <w:numFmt w:val="decimal"/>
      <w:lvlText w:val="(%1)"/>
      <w:lvlJc w:val="left"/>
      <w:pPr>
        <w:ind w:left="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34836C">
      <w:start w:val="1"/>
      <w:numFmt w:val="bullet"/>
      <w:lvlText w:val="–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4E470D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C0A5BB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52806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E76DCE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480360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78E431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154D7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04276484">
    <w:abstractNumId w:val="7"/>
  </w:num>
  <w:num w:numId="2" w16cid:durableId="1486892110">
    <w:abstractNumId w:val="0"/>
  </w:num>
  <w:num w:numId="3" w16cid:durableId="522324035">
    <w:abstractNumId w:val="5"/>
  </w:num>
  <w:num w:numId="4" w16cid:durableId="2017347528">
    <w:abstractNumId w:val="3"/>
  </w:num>
  <w:num w:numId="5" w16cid:durableId="2026445847">
    <w:abstractNumId w:val="4"/>
  </w:num>
  <w:num w:numId="6" w16cid:durableId="598097214">
    <w:abstractNumId w:val="6"/>
  </w:num>
  <w:num w:numId="7" w16cid:durableId="1256211897">
    <w:abstractNumId w:val="2"/>
  </w:num>
  <w:num w:numId="8" w16cid:durableId="1982884247">
    <w:abstractNumId w:val="8"/>
  </w:num>
  <w:num w:numId="9" w16cid:durableId="1161651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F34"/>
    <w:rsid w:val="00577A55"/>
    <w:rsid w:val="00B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AC7E8"/>
  <w15:docId w15:val="{03DFAE97-1276-4CEB-9FAC-73071B45C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7" w:lineRule="auto"/>
      <w:ind w:left="316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5" w:lineRule="auto"/>
      <w:ind w:left="30" w:hanging="10"/>
      <w:outlineLvl w:val="1"/>
    </w:pPr>
    <w:rPr>
      <w:rFonts w:ascii="Times New Roman" w:eastAsia="Times New Roman" w:hAnsi="Times New Roman" w:cs="Times New Roman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2018</Words>
  <Characters>12110</Characters>
  <Application>Microsoft Office Word</Application>
  <DocSecurity>0</DocSecurity>
  <Lines>100</Lines>
  <Paragraphs>28</Paragraphs>
  <ScaleCrop>false</ScaleCrop>
  <Company/>
  <LinksUpToDate>false</LinksUpToDate>
  <CharactersWithSpaces>14100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zal_9</dc:title>
  <dc:subject/>
  <dc:creator>reset</dc:creator>
  <cp:keywords/>
  <cp:lastModifiedBy>Łukasz Śliwka</cp:lastModifiedBy>
  <cp:revision>2</cp:revision>
  <dcterms:created xsi:type="dcterms:W3CDTF">2023-10-13T13:38:00Z</dcterms:created>
  <dcterms:modified xsi:type="dcterms:W3CDTF">2023-10-13T13:38:00Z</dcterms:modified>
</cp:coreProperties>
</file>