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8E7D4" w14:textId="77777777" w:rsidR="00941151" w:rsidRDefault="009B68EB">
      <w:pPr>
        <w:spacing w:after="0" w:line="259" w:lineRule="auto"/>
        <w:ind w:left="376" w:firstLine="0"/>
        <w:jc w:val="left"/>
      </w:pPr>
      <w:r>
        <w:rPr>
          <w:b/>
        </w:rPr>
        <w:t xml:space="preserve"> </w:t>
      </w:r>
    </w:p>
    <w:p w14:paraId="1D325FD3" w14:textId="77777777" w:rsidR="00941151" w:rsidRDefault="009B68EB">
      <w:pPr>
        <w:spacing w:after="0" w:line="259" w:lineRule="auto"/>
        <w:ind w:left="371" w:hanging="10"/>
        <w:jc w:val="left"/>
      </w:pPr>
      <w:r>
        <w:rPr>
          <w:b/>
          <w:sz w:val="21"/>
        </w:rPr>
        <w:t xml:space="preserve">                                                        SST -08</w:t>
      </w:r>
    </w:p>
    <w:p w14:paraId="3092E7C9" w14:textId="77777777" w:rsidR="00941151" w:rsidRDefault="009B68EB">
      <w:pPr>
        <w:spacing w:after="0" w:line="259" w:lineRule="auto"/>
        <w:ind w:left="371" w:hanging="10"/>
        <w:jc w:val="left"/>
      </w:pPr>
      <w:r>
        <w:rPr>
          <w:b/>
          <w:sz w:val="21"/>
        </w:rPr>
        <w:t xml:space="preserve">                        SZCZEGÓŁOWA SPECYFIKACJA TECHNICZNA</w:t>
      </w:r>
    </w:p>
    <w:p w14:paraId="0ED2E476" w14:textId="77777777" w:rsidR="00941151" w:rsidRDefault="009B68EB">
      <w:pPr>
        <w:spacing w:after="143" w:line="259" w:lineRule="auto"/>
        <w:ind w:left="371" w:hanging="10"/>
        <w:jc w:val="left"/>
      </w:pPr>
      <w:r>
        <w:rPr>
          <w:sz w:val="21"/>
        </w:rPr>
        <w:t xml:space="preserve">                        </w:t>
      </w:r>
      <w:r>
        <w:rPr>
          <w:b/>
          <w:sz w:val="21"/>
        </w:rPr>
        <w:t>ROBOTY MALARSKIE – kod  CPV 45442100-8</w:t>
      </w:r>
    </w:p>
    <w:p w14:paraId="4B933F8F" w14:textId="77777777" w:rsidR="00941151" w:rsidRDefault="009B68EB">
      <w:pPr>
        <w:numPr>
          <w:ilvl w:val="0"/>
          <w:numId w:val="1"/>
        </w:numPr>
        <w:spacing w:after="40" w:line="250" w:lineRule="auto"/>
        <w:ind w:hanging="332"/>
      </w:pPr>
      <w:r>
        <w:rPr>
          <w:b/>
        </w:rPr>
        <w:t>Wstęp</w:t>
      </w:r>
    </w:p>
    <w:p w14:paraId="6AFA2FBB" w14:textId="77777777" w:rsidR="00941151" w:rsidRDefault="009B68EB">
      <w:pPr>
        <w:numPr>
          <w:ilvl w:val="1"/>
          <w:numId w:val="1"/>
        </w:numPr>
        <w:spacing w:after="0" w:line="265" w:lineRule="auto"/>
        <w:ind w:hanging="386"/>
        <w:jc w:val="left"/>
      </w:pPr>
      <w:r>
        <w:rPr>
          <w:u w:val="single" w:color="000000"/>
        </w:rPr>
        <w:t>Przedmiot SST.</w:t>
      </w:r>
    </w:p>
    <w:p w14:paraId="1B061086" w14:textId="77777777" w:rsidR="00941151" w:rsidRDefault="009B68EB">
      <w:pPr>
        <w:spacing w:after="0" w:line="359" w:lineRule="auto"/>
        <w:ind w:left="0" w:right="10" w:firstLine="284"/>
      </w:pPr>
      <w:r>
        <w:t>Przedmiotem niniejszej szczegółowej specyfikacji technicznej są wymagania dotyczące wykonania i odbioru robót w zadaniu pn</w:t>
      </w:r>
      <w:r>
        <w:rPr>
          <w:b/>
        </w:rPr>
        <w:t>.:</w:t>
      </w:r>
    </w:p>
    <w:p w14:paraId="52B49442" w14:textId="77777777" w:rsidR="00941151" w:rsidRDefault="009B68EB">
      <w:pPr>
        <w:tabs>
          <w:tab w:val="center" w:pos="4385"/>
          <w:tab w:val="center" w:pos="8639"/>
        </w:tabs>
        <w:spacing w:after="4" w:line="25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PRZEBUDOWA  I ZMIANA SPOSOBU  UŻYTKOWANIA  BUDYNKU GMINNEGO  </w:t>
      </w:r>
      <w:r>
        <w:rPr>
          <w:b/>
        </w:rPr>
        <w:tab/>
        <w:t>NA</w:t>
      </w:r>
    </w:p>
    <w:p w14:paraId="74A88EED" w14:textId="77777777" w:rsidR="00941151" w:rsidRDefault="009B68EB">
      <w:pPr>
        <w:spacing w:after="4" w:line="250" w:lineRule="auto"/>
        <w:ind w:left="10" w:hanging="10"/>
      </w:pPr>
      <w:r>
        <w:rPr>
          <w:b/>
        </w:rPr>
        <w:t xml:space="preserve">BUDYNEK MIESZKALNY  ( 4 LOKALE  MIESZKALNE ) I ZAPLECZE SPORTOWE </w:t>
      </w:r>
      <w:r>
        <w:rPr>
          <w:b/>
        </w:rPr>
        <w:t>DLA ISTNIEJĄCEGO BOISKA SPORTOWEGO WRAZ Z BUDOWĄ  SZCZELNEGO  ZBIORNIKA ŚCIEKÓW .</w:t>
      </w:r>
    </w:p>
    <w:p w14:paraId="018009F8" w14:textId="77777777" w:rsidR="00941151" w:rsidRDefault="009B68EB">
      <w:pPr>
        <w:spacing w:after="40" w:line="250" w:lineRule="auto"/>
        <w:ind w:left="300" w:hanging="10"/>
      </w:pPr>
      <w:r>
        <w:rPr>
          <w:b/>
        </w:rPr>
        <w:t xml:space="preserve">       SZUFNAROWA     -    dz.  nr 2071/5.  </w:t>
      </w:r>
    </w:p>
    <w:p w14:paraId="280B29EA" w14:textId="77777777" w:rsidR="00941151" w:rsidRDefault="009B68EB">
      <w:pPr>
        <w:numPr>
          <w:ilvl w:val="1"/>
          <w:numId w:val="1"/>
        </w:numPr>
        <w:spacing w:after="0" w:line="265" w:lineRule="auto"/>
        <w:ind w:hanging="386"/>
        <w:jc w:val="left"/>
      </w:pPr>
      <w:r>
        <w:rPr>
          <w:u w:val="single" w:color="000000"/>
        </w:rPr>
        <w:t>Zakres stosowania SST.</w:t>
      </w:r>
    </w:p>
    <w:p w14:paraId="4F53C00A" w14:textId="77777777" w:rsidR="00941151" w:rsidRDefault="009B68EB">
      <w:pPr>
        <w:ind w:left="369" w:right="10"/>
      </w:pPr>
      <w:r>
        <w:t>Szczegółowa specyfikacja techniczna jest stosowana jako dokument przetargowy i kontraktowy przy zlecaniu i realizacji robót wymienionych w pkt. 1.1.</w:t>
      </w:r>
    </w:p>
    <w:p w14:paraId="5AFB104B" w14:textId="77777777" w:rsidR="00941151" w:rsidRDefault="009B68EB">
      <w:pPr>
        <w:numPr>
          <w:ilvl w:val="1"/>
          <w:numId w:val="1"/>
        </w:numPr>
        <w:spacing w:after="0" w:line="265" w:lineRule="auto"/>
        <w:ind w:hanging="386"/>
        <w:jc w:val="left"/>
      </w:pPr>
      <w:r>
        <w:rPr>
          <w:u w:val="single" w:color="000000"/>
        </w:rPr>
        <w:t>Zakres robót objętych SST.</w:t>
      </w:r>
    </w:p>
    <w:p w14:paraId="6CACE882" w14:textId="77777777" w:rsidR="00941151" w:rsidRDefault="009B68EB">
      <w:pPr>
        <w:spacing w:after="10"/>
        <w:ind w:left="369" w:right="10"/>
      </w:pPr>
      <w:r>
        <w:t>Roboty, których dotyczy specyfikacja, obejmują wszystkie czynności umożliwiające</w:t>
      </w:r>
      <w:r>
        <w:t xml:space="preserve"> i mające na celu wykonanie następujących robót malarskich:</w:t>
      </w:r>
    </w:p>
    <w:p w14:paraId="4060A635" w14:textId="77777777" w:rsidR="00941151" w:rsidRDefault="009B68EB">
      <w:pPr>
        <w:spacing w:after="4" w:line="250" w:lineRule="auto"/>
        <w:ind w:left="371" w:hanging="10"/>
      </w:pPr>
      <w:r>
        <w:rPr>
          <w:b/>
        </w:rPr>
        <w:t>1. Malowanie :</w:t>
      </w:r>
    </w:p>
    <w:p w14:paraId="56D51725" w14:textId="77777777" w:rsidR="00941151" w:rsidRDefault="009B68EB">
      <w:pPr>
        <w:spacing w:after="0" w:line="259" w:lineRule="auto"/>
        <w:ind w:left="492" w:right="155" w:hanging="492"/>
      </w:pPr>
      <w:r>
        <w:rPr>
          <w:color w:val="0000FF"/>
        </w:rPr>
        <w:t xml:space="preserve">         </w:t>
      </w:r>
      <w:r>
        <w:rPr>
          <w:color w:val="333333"/>
        </w:rPr>
        <w:t xml:space="preserve">Malowanie   obejmuje  wszystkie pomieszczenia w budynku,       malowanie należy  wykonać po wymianie stolarki, </w:t>
      </w:r>
      <w:proofErr w:type="spellStart"/>
      <w:r>
        <w:rPr>
          <w:color w:val="333333"/>
        </w:rPr>
        <w:t>zamurowaniach</w:t>
      </w:r>
      <w:proofErr w:type="spellEnd"/>
      <w:r>
        <w:rPr>
          <w:color w:val="333333"/>
        </w:rPr>
        <w:t xml:space="preserve"> i wykonaniu nowych ścianek działowych.   </w:t>
      </w:r>
    </w:p>
    <w:p w14:paraId="47E5C2C1" w14:textId="77777777" w:rsidR="00941151" w:rsidRDefault="009B68EB">
      <w:pPr>
        <w:spacing w:after="0" w:line="259" w:lineRule="auto"/>
        <w:ind w:left="397" w:hanging="10"/>
      </w:pPr>
      <w:r>
        <w:rPr>
          <w:color w:val="333333"/>
        </w:rPr>
        <w:t>Ścian</w:t>
      </w:r>
      <w:r>
        <w:rPr>
          <w:color w:val="333333"/>
        </w:rPr>
        <w:t>y i sufity malowane - farbami lateksowymi (kolor biały)  - odpornymi na zmywanie  , odporne na  środki  czystości</w:t>
      </w:r>
    </w:p>
    <w:p w14:paraId="546D378F" w14:textId="77777777" w:rsidR="00941151" w:rsidRDefault="009B68EB">
      <w:pPr>
        <w:tabs>
          <w:tab w:val="center" w:pos="1737"/>
          <w:tab w:val="center" w:pos="5761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color w:val="333333"/>
        </w:rPr>
        <w:t xml:space="preserve"> Kolor farby w poszczególnych </w:t>
      </w:r>
      <w:r>
        <w:rPr>
          <w:color w:val="333333"/>
        </w:rPr>
        <w:tab/>
        <w:t xml:space="preserve">pomieszczeniach - do uzgodnienia   z Inwestorem.  </w:t>
      </w:r>
    </w:p>
    <w:p w14:paraId="7CF953CB" w14:textId="77777777" w:rsidR="00941151" w:rsidRDefault="009B68EB">
      <w:pPr>
        <w:spacing w:after="0" w:line="259" w:lineRule="auto"/>
        <w:ind w:left="397" w:hanging="10"/>
      </w:pPr>
      <w:r>
        <w:rPr>
          <w:color w:val="333333"/>
        </w:rPr>
        <w:t xml:space="preserve"> W komunikacji i w pomieszczeniach magazynowych należy wyko</w:t>
      </w:r>
      <w:r>
        <w:rPr>
          <w:color w:val="333333"/>
        </w:rPr>
        <w:t>nać lamperie do wys. 2 m.</w:t>
      </w:r>
    </w:p>
    <w:p w14:paraId="041093B4" w14:textId="77777777" w:rsidR="00941151" w:rsidRDefault="009B68EB">
      <w:pPr>
        <w:spacing w:after="252" w:line="259" w:lineRule="auto"/>
        <w:ind w:left="397" w:hanging="10"/>
      </w:pPr>
      <w:r>
        <w:rPr>
          <w:color w:val="333333"/>
        </w:rPr>
        <w:t>Lamperie - farba olejna do lamperii koloru popielatego.</w:t>
      </w:r>
    </w:p>
    <w:p w14:paraId="0AFF04BC" w14:textId="77777777" w:rsidR="00941151" w:rsidRDefault="009B68EB">
      <w:pPr>
        <w:spacing w:after="0" w:line="265" w:lineRule="auto"/>
        <w:ind w:left="371" w:hanging="10"/>
        <w:jc w:val="left"/>
      </w:pPr>
      <w:r>
        <w:rPr>
          <w:u w:val="single" w:color="000000"/>
        </w:rPr>
        <w:t xml:space="preserve">  </w:t>
      </w:r>
      <w:r>
        <w:rPr>
          <w:b/>
          <w:u w:val="single" w:color="000000"/>
        </w:rPr>
        <w:t xml:space="preserve">  </w:t>
      </w:r>
      <w:r>
        <w:rPr>
          <w:u w:val="single" w:color="000000"/>
        </w:rPr>
        <w:t xml:space="preserve"> 1.4.  Określenia podstawowe.</w:t>
      </w:r>
    </w:p>
    <w:p w14:paraId="74655771" w14:textId="77777777" w:rsidR="00941151" w:rsidRDefault="009B68EB">
      <w:pPr>
        <w:ind w:left="369" w:right="10"/>
      </w:pPr>
      <w:r>
        <w:t>Określenia podane w niniejszej SST są zgodne z obowiązującymi odpowiednimi normami.</w:t>
      </w:r>
    </w:p>
    <w:p w14:paraId="6ED87E43" w14:textId="77777777" w:rsidR="00941151" w:rsidRDefault="009B68EB">
      <w:pPr>
        <w:spacing w:after="0" w:line="265" w:lineRule="auto"/>
        <w:ind w:left="371" w:hanging="10"/>
        <w:jc w:val="left"/>
      </w:pPr>
      <w:r>
        <w:rPr>
          <w:u w:val="single" w:color="000000"/>
        </w:rPr>
        <w:t xml:space="preserve"> 1.5.  Ogólne wymagania dotyczące robót.</w:t>
      </w:r>
    </w:p>
    <w:p w14:paraId="0270C60E" w14:textId="77777777" w:rsidR="00941151" w:rsidRDefault="009B68EB">
      <w:pPr>
        <w:spacing w:after="180"/>
        <w:ind w:left="369" w:right="10"/>
      </w:pPr>
      <w:r>
        <w:t>Wykonawca robót jest odpowiedzialny za jakość ich wykonania oraz za zgodność z dokumentacją projektową, SST i poleceniami Inżyniera.</w:t>
      </w:r>
    </w:p>
    <w:p w14:paraId="3B6AC859" w14:textId="77777777" w:rsidR="00941151" w:rsidRDefault="009B68EB">
      <w:pPr>
        <w:numPr>
          <w:ilvl w:val="0"/>
          <w:numId w:val="2"/>
        </w:numPr>
        <w:spacing w:after="40" w:line="250" w:lineRule="auto"/>
        <w:ind w:hanging="332"/>
      </w:pPr>
      <w:r>
        <w:rPr>
          <w:b/>
        </w:rPr>
        <w:t>Materiały</w:t>
      </w:r>
    </w:p>
    <w:p w14:paraId="0A94E032" w14:textId="77777777" w:rsidR="00941151" w:rsidRDefault="009B68EB">
      <w:pPr>
        <w:numPr>
          <w:ilvl w:val="1"/>
          <w:numId w:val="2"/>
        </w:numPr>
        <w:spacing w:after="0" w:line="265" w:lineRule="auto"/>
        <w:ind w:hanging="386"/>
        <w:jc w:val="left"/>
      </w:pPr>
      <w:r>
        <w:rPr>
          <w:u w:val="single" w:color="000000"/>
        </w:rPr>
        <w:t>Woda (PN-EN 1008:2004)</w:t>
      </w:r>
    </w:p>
    <w:p w14:paraId="0C698AD3" w14:textId="77777777" w:rsidR="00941151" w:rsidRDefault="009B68EB">
      <w:pPr>
        <w:ind w:left="369" w:right="10"/>
      </w:pPr>
      <w:r>
        <w:t xml:space="preserve">Do przygotowania farb stosować można każdą wodę zdatną do picia. Niedozwolone jest użycie </w:t>
      </w:r>
      <w:r>
        <w:t>wód ściekowych, kanalizacyjnych bagiennych oraz wód zawierających tłuszcze organiczne, oleje i muł.</w:t>
      </w:r>
    </w:p>
    <w:p w14:paraId="47FF7E05" w14:textId="77777777" w:rsidR="00941151" w:rsidRDefault="009B68EB">
      <w:pPr>
        <w:numPr>
          <w:ilvl w:val="1"/>
          <w:numId w:val="2"/>
        </w:numPr>
        <w:spacing w:after="0" w:line="265" w:lineRule="auto"/>
        <w:ind w:hanging="386"/>
        <w:jc w:val="left"/>
      </w:pPr>
      <w:r>
        <w:rPr>
          <w:u w:val="single" w:color="000000"/>
        </w:rPr>
        <w:t>Mleko wapienne</w:t>
      </w:r>
    </w:p>
    <w:p w14:paraId="2F925697" w14:textId="77777777" w:rsidR="00941151" w:rsidRDefault="009B68EB">
      <w:pPr>
        <w:ind w:left="369" w:right="10"/>
      </w:pPr>
      <w:r>
        <w:t>Mleko wapienne powinno mieć postać cieczy o gęstości śmietany, uzyskanej przez rozcieńczenie 1 części ciasta wapiennego z 3 częściami wody, t</w:t>
      </w:r>
      <w:r>
        <w:t>worzącą jednolitą masę bez grudek i zanieczyszczeń.</w:t>
      </w:r>
    </w:p>
    <w:p w14:paraId="1C10B15B" w14:textId="77777777" w:rsidR="00941151" w:rsidRDefault="009B68EB">
      <w:pPr>
        <w:numPr>
          <w:ilvl w:val="1"/>
          <w:numId w:val="2"/>
        </w:numPr>
        <w:spacing w:after="0" w:line="265" w:lineRule="auto"/>
        <w:ind w:hanging="386"/>
        <w:jc w:val="left"/>
      </w:pPr>
      <w:r>
        <w:rPr>
          <w:u w:val="single" w:color="000000"/>
        </w:rPr>
        <w:t>Spoiwa bezwodne</w:t>
      </w:r>
    </w:p>
    <w:p w14:paraId="4770A302" w14:textId="77777777" w:rsidR="00941151" w:rsidRDefault="009B68EB">
      <w:pPr>
        <w:numPr>
          <w:ilvl w:val="2"/>
          <w:numId w:val="2"/>
        </w:numPr>
        <w:ind w:right="10"/>
      </w:pPr>
      <w:r>
        <w:t>Pokost lniany powinien być cieczą oleistą o zabarwieniu od żółtego do ciemnobrązowego i odpowiadającą wymaganiom normy państwowej.</w:t>
      </w:r>
    </w:p>
    <w:p w14:paraId="472A7159" w14:textId="77777777" w:rsidR="00941151" w:rsidRDefault="009B68EB">
      <w:pPr>
        <w:numPr>
          <w:ilvl w:val="2"/>
          <w:numId w:val="2"/>
        </w:numPr>
        <w:ind w:right="10"/>
      </w:pPr>
      <w:r>
        <w:t>Pokost syntetyczny powinien być używany w postaci cieczy,</w:t>
      </w:r>
      <w:r>
        <w:t xml:space="preserve"> barwy od jasnożółtej do brunatnej, będącej roztworem żywicy kalafoniowej lub innej w lotnych rozpuszczalnikach, z ewentualnym dodatkiem modyfikującym, o właściwościach technicznych zbliżonych do pokostu naturalnego, lecz o krótszym czasie schnięcia. Powin</w:t>
      </w:r>
      <w:r>
        <w:t>ien on odpowiadać wymaganiom normy państwowej lub świadectwa dopuszczenia do stosowania w budownictwie.</w:t>
      </w:r>
    </w:p>
    <w:p w14:paraId="424B3335" w14:textId="77777777" w:rsidR="00941151" w:rsidRDefault="009B68EB">
      <w:pPr>
        <w:numPr>
          <w:ilvl w:val="1"/>
          <w:numId w:val="2"/>
        </w:numPr>
        <w:spacing w:after="0" w:line="265" w:lineRule="auto"/>
        <w:ind w:hanging="386"/>
        <w:jc w:val="left"/>
      </w:pPr>
      <w:r>
        <w:rPr>
          <w:u w:val="single" w:color="000000"/>
        </w:rPr>
        <w:t>Rozcieńczalniki</w:t>
      </w:r>
    </w:p>
    <w:p w14:paraId="59F843DB" w14:textId="77777777" w:rsidR="00941151" w:rsidRDefault="009B68EB">
      <w:pPr>
        <w:spacing w:after="3"/>
        <w:ind w:left="369" w:right="4020"/>
      </w:pPr>
      <w:r>
        <w:t>W zależności od rodzaju farby należy stosować: wodę – do farb wapiennych,</w:t>
      </w:r>
    </w:p>
    <w:p w14:paraId="24500CF7" w14:textId="77777777" w:rsidR="00941151" w:rsidRDefault="009B68EB">
      <w:pPr>
        <w:spacing w:after="26"/>
        <w:ind w:left="369" w:right="10"/>
      </w:pPr>
      <w:r>
        <w:t>terpentynę i benzynę – do farb i emalii olejnych,</w:t>
      </w:r>
    </w:p>
    <w:p w14:paraId="2E0E227E" w14:textId="77777777" w:rsidR="00941151" w:rsidRDefault="009B68EB">
      <w:pPr>
        <w:spacing w:after="31"/>
        <w:ind w:left="369" w:right="10"/>
      </w:pPr>
      <w:r>
        <w:lastRenderedPageBreak/>
        <w:t>inne rozcieńczalniki przygotowane fabrycznie dla poszczególnych rodzajów farb powinny odpowiadać normom państwowym lub mieć cechy techniczne zgodne z zaświadczeniem o jakości wydanym przez producenta oraz z</w:t>
      </w:r>
      <w:r>
        <w:t xml:space="preserve"> zakresem ich stosowania.</w:t>
      </w:r>
    </w:p>
    <w:p w14:paraId="6F4E0F8A" w14:textId="77777777" w:rsidR="00941151" w:rsidRDefault="009B68EB">
      <w:pPr>
        <w:spacing w:after="0" w:line="265" w:lineRule="auto"/>
        <w:ind w:left="371" w:hanging="10"/>
        <w:jc w:val="left"/>
      </w:pPr>
      <w:r>
        <w:rPr>
          <w:u w:val="single" w:color="000000"/>
        </w:rPr>
        <w:t xml:space="preserve"> 2.5.  Farby budowlane gotowe</w:t>
      </w:r>
    </w:p>
    <w:p w14:paraId="20B7242F" w14:textId="77777777" w:rsidR="00941151" w:rsidRDefault="009B68EB">
      <w:pPr>
        <w:ind w:left="369" w:right="10"/>
      </w:pPr>
      <w:r>
        <w:t xml:space="preserve">2.5.1. </w:t>
      </w:r>
      <w:r>
        <w:tab/>
        <w:t>Farby niezależnie od ich rodzaju powinny odpowiadać wymaganiom norm państwowych lub świadectw dopuszczenia do stosowania w budownictwie.</w:t>
      </w:r>
    </w:p>
    <w:p w14:paraId="2CF3ED13" w14:textId="77777777" w:rsidR="00941151" w:rsidRDefault="009B68EB">
      <w:pPr>
        <w:spacing w:after="26"/>
        <w:ind w:left="369" w:right="10"/>
      </w:pPr>
      <w:r>
        <w:t>2.5.2. Farby emulsyjne   , lateksowe wytwarzane fabrycz</w:t>
      </w:r>
      <w:r>
        <w:t>nie</w:t>
      </w:r>
    </w:p>
    <w:p w14:paraId="24DACF1D" w14:textId="77777777" w:rsidR="00941151" w:rsidRDefault="009B68EB">
      <w:pPr>
        <w:ind w:left="369" w:right="10"/>
      </w:pPr>
      <w:r>
        <w:t xml:space="preserve">Na tynkach można stosować farby emulsyjne na spoiwach z: polioctanu winylu, lateksu </w:t>
      </w:r>
      <w:proofErr w:type="spellStart"/>
      <w:r>
        <w:t>butadienostyrenowego</w:t>
      </w:r>
      <w:proofErr w:type="spellEnd"/>
      <w:r>
        <w:t xml:space="preserve"> i innych zgodnie z zasadami podanymi w normach i świadectwach ich dopuszczenia przez ITB.</w:t>
      </w:r>
    </w:p>
    <w:p w14:paraId="794863DF" w14:textId="77777777" w:rsidR="00941151" w:rsidRDefault="009B68EB">
      <w:pPr>
        <w:spacing w:after="26"/>
        <w:ind w:left="369" w:right="10"/>
      </w:pPr>
      <w:r>
        <w:t>2.5.3. Wyroby chlorokauczukowe</w:t>
      </w:r>
    </w:p>
    <w:p w14:paraId="692C6822" w14:textId="77777777" w:rsidR="00941151" w:rsidRDefault="009B68EB">
      <w:pPr>
        <w:spacing w:after="5" w:line="225" w:lineRule="auto"/>
        <w:ind w:left="371" w:right="4480" w:hanging="10"/>
        <w:jc w:val="left"/>
      </w:pPr>
      <w:r>
        <w:t>Emalia chlorokauczukowa ogólne</w:t>
      </w:r>
      <w:r>
        <w:t>go stosowania wydajność – 6–10 m</w:t>
      </w:r>
      <w:r>
        <w:rPr>
          <w:sz w:val="18"/>
          <w:vertAlign w:val="superscript"/>
        </w:rPr>
        <w:t>2</w:t>
      </w:r>
      <w:r>
        <w:t>/dm</w:t>
      </w:r>
      <w:r>
        <w:rPr>
          <w:sz w:val="18"/>
          <w:vertAlign w:val="superscript"/>
        </w:rPr>
        <w:t>3</w:t>
      </w:r>
      <w:r>
        <w:t>, max. czas schnięcia – 24 h</w:t>
      </w:r>
    </w:p>
    <w:p w14:paraId="67A3BF95" w14:textId="77777777" w:rsidR="00941151" w:rsidRDefault="009B68EB">
      <w:pPr>
        <w:spacing w:after="5" w:line="225" w:lineRule="auto"/>
        <w:ind w:left="371" w:right="785" w:hanging="10"/>
        <w:jc w:val="left"/>
      </w:pPr>
      <w:r>
        <w:t>Farba chlorokauczukowa do gruntowania przeciwrdzewna cynkowa 70% szara metaliczna wydajność – 15–16 m</w:t>
      </w:r>
      <w:r>
        <w:rPr>
          <w:sz w:val="18"/>
          <w:vertAlign w:val="superscript"/>
        </w:rPr>
        <w:t>2</w:t>
      </w:r>
      <w:r>
        <w:t>/dm</w:t>
      </w:r>
      <w:r>
        <w:rPr>
          <w:sz w:val="18"/>
          <w:vertAlign w:val="superscript"/>
        </w:rPr>
        <w:t>3</w:t>
      </w:r>
      <w:r>
        <w:t>, max. czas schnięcia – 8 h</w:t>
      </w:r>
    </w:p>
    <w:p w14:paraId="0FF9B22A" w14:textId="77777777" w:rsidR="00941151" w:rsidRDefault="009B68EB">
      <w:pPr>
        <w:spacing w:after="3"/>
        <w:ind w:left="369" w:right="2956"/>
      </w:pPr>
      <w:r>
        <w:t>Kit szpachlowy chlorokauczukowy ogólnego stosowania – bi</w:t>
      </w:r>
      <w:r>
        <w:t>ały do wygładzania podkładu pod powłoki chlorokauczukowe,</w:t>
      </w:r>
    </w:p>
    <w:p w14:paraId="7934B279" w14:textId="77777777" w:rsidR="00941151" w:rsidRDefault="009B68EB">
      <w:pPr>
        <w:ind w:left="369" w:right="10"/>
      </w:pPr>
      <w:r>
        <w:t>Rozcieńczalnik chlorokauczukowy do wyrobów chlorokauczukowych ogólnego stosowania – biały do rozcieńczania wyrobów chlorokauczukowych,</w:t>
      </w:r>
    </w:p>
    <w:p w14:paraId="75AFB527" w14:textId="77777777" w:rsidR="00941151" w:rsidRDefault="009B68EB">
      <w:pPr>
        <w:spacing w:after="26"/>
        <w:ind w:left="369" w:right="10"/>
      </w:pPr>
      <w:r>
        <w:t>2.5.4. Wyroby epoksydowe</w:t>
      </w:r>
    </w:p>
    <w:p w14:paraId="70C59A44" w14:textId="77777777" w:rsidR="00941151" w:rsidRDefault="009B68EB">
      <w:pPr>
        <w:spacing w:after="5" w:line="225" w:lineRule="auto"/>
        <w:ind w:left="371" w:right="2312" w:hanging="10"/>
        <w:jc w:val="left"/>
      </w:pPr>
      <w:r>
        <w:t>Gruntoszpachlówka epoksydowa bezrozpus</w:t>
      </w:r>
      <w:r>
        <w:t>zczalnikowa, chemoodporna wydajność – 6–10 m</w:t>
      </w:r>
      <w:r>
        <w:rPr>
          <w:sz w:val="18"/>
          <w:vertAlign w:val="superscript"/>
        </w:rPr>
        <w:t>2</w:t>
      </w:r>
      <w:r>
        <w:t>/dm</w:t>
      </w:r>
      <w:r>
        <w:rPr>
          <w:sz w:val="18"/>
          <w:vertAlign w:val="superscript"/>
        </w:rPr>
        <w:t>3</w:t>
      </w:r>
      <w:r>
        <w:t>, max. czas schnięcia – 24 h</w:t>
      </w:r>
    </w:p>
    <w:p w14:paraId="67BC21B4" w14:textId="77777777" w:rsidR="00941151" w:rsidRDefault="009B68EB">
      <w:pPr>
        <w:spacing w:after="5" w:line="225" w:lineRule="auto"/>
        <w:ind w:left="371" w:right="1735" w:hanging="10"/>
        <w:jc w:val="left"/>
      </w:pPr>
      <w:r>
        <w:t xml:space="preserve">Farba do gruntowania </w:t>
      </w:r>
      <w:proofErr w:type="spellStart"/>
      <w:r>
        <w:t>epoksypoliamidowa</w:t>
      </w:r>
      <w:proofErr w:type="spellEnd"/>
      <w:r>
        <w:t xml:space="preserve"> dwuskładnikowa wg PN-C-81911/97 wydajność – 4,5–5 m</w:t>
      </w:r>
      <w:r>
        <w:rPr>
          <w:sz w:val="18"/>
          <w:vertAlign w:val="superscript"/>
        </w:rPr>
        <w:t>2</w:t>
      </w:r>
      <w:r>
        <w:t>/dm</w:t>
      </w:r>
      <w:r>
        <w:rPr>
          <w:sz w:val="18"/>
          <w:vertAlign w:val="superscript"/>
        </w:rPr>
        <w:t xml:space="preserve">3 </w:t>
      </w:r>
      <w:r>
        <w:t>czas schnięcia – 24 h</w:t>
      </w:r>
    </w:p>
    <w:p w14:paraId="3765F219" w14:textId="77777777" w:rsidR="00941151" w:rsidRDefault="009B68EB">
      <w:pPr>
        <w:spacing w:after="5" w:line="225" w:lineRule="auto"/>
        <w:ind w:left="371" w:right="5021" w:hanging="10"/>
        <w:jc w:val="left"/>
      </w:pPr>
      <w:r>
        <w:t>Emalia epoksydowa chemoodporna, biała wydajność – 5–6 m</w:t>
      </w:r>
      <w:r>
        <w:rPr>
          <w:sz w:val="18"/>
          <w:vertAlign w:val="superscript"/>
        </w:rPr>
        <w:t>2</w:t>
      </w:r>
      <w:r>
        <w:t>/dm</w:t>
      </w:r>
      <w:r>
        <w:rPr>
          <w:sz w:val="18"/>
          <w:vertAlign w:val="superscript"/>
        </w:rPr>
        <w:t>3</w:t>
      </w:r>
      <w:r>
        <w:t>, max. czas schnięcia – 24 h</w:t>
      </w:r>
    </w:p>
    <w:p w14:paraId="5D057EA6" w14:textId="77777777" w:rsidR="00941151" w:rsidRDefault="009B68EB">
      <w:pPr>
        <w:spacing w:after="61" w:line="225" w:lineRule="auto"/>
        <w:ind w:left="371" w:right="4901" w:hanging="10"/>
        <w:jc w:val="left"/>
      </w:pPr>
      <w:r>
        <w:t>Emalia epoksydowa, chemoodporna, szara wydajność – 6–8 m</w:t>
      </w:r>
      <w:r>
        <w:rPr>
          <w:sz w:val="18"/>
          <w:vertAlign w:val="superscript"/>
        </w:rPr>
        <w:t>2</w:t>
      </w:r>
      <w:r>
        <w:t>/dm</w:t>
      </w:r>
      <w:r>
        <w:rPr>
          <w:sz w:val="18"/>
          <w:vertAlign w:val="superscript"/>
        </w:rPr>
        <w:t xml:space="preserve">3 </w:t>
      </w:r>
      <w:r>
        <w:t>czas schnięcia – 24 h Lakier bitumiczno-epoksydowy wydajność – 1,2–1,5 m</w:t>
      </w:r>
      <w:r>
        <w:rPr>
          <w:sz w:val="18"/>
          <w:vertAlign w:val="superscript"/>
        </w:rPr>
        <w:t>2</w:t>
      </w:r>
      <w:r>
        <w:t>/dm</w:t>
      </w:r>
      <w:r>
        <w:rPr>
          <w:sz w:val="18"/>
          <w:vertAlign w:val="superscript"/>
        </w:rPr>
        <w:t xml:space="preserve">3 </w:t>
      </w:r>
      <w:r>
        <w:t>czas schnięcia – 12 h</w:t>
      </w:r>
    </w:p>
    <w:p w14:paraId="36D890C7" w14:textId="77777777" w:rsidR="00941151" w:rsidRDefault="009B68EB">
      <w:pPr>
        <w:spacing w:after="26"/>
        <w:ind w:left="369" w:right="10"/>
      </w:pPr>
      <w:r>
        <w:t>2.5.5. Farby olejne i ftalowe</w:t>
      </w:r>
    </w:p>
    <w:p w14:paraId="2D370068" w14:textId="77777777" w:rsidR="00941151" w:rsidRDefault="009B68EB">
      <w:pPr>
        <w:spacing w:after="5" w:line="225" w:lineRule="auto"/>
        <w:ind w:left="371" w:right="2312" w:hanging="10"/>
        <w:jc w:val="left"/>
      </w:pPr>
      <w:r>
        <w:t>Farba olejna do gruntowania ogólnego stosowania wg PN-C-81901:2002 wydajność – 6–8 m</w:t>
      </w:r>
      <w:r>
        <w:rPr>
          <w:sz w:val="18"/>
          <w:vertAlign w:val="superscript"/>
        </w:rPr>
        <w:t>2</w:t>
      </w:r>
      <w:r>
        <w:t>/dm</w:t>
      </w:r>
      <w:r>
        <w:rPr>
          <w:sz w:val="18"/>
          <w:vertAlign w:val="superscript"/>
        </w:rPr>
        <w:t xml:space="preserve">3 </w:t>
      </w:r>
      <w:r>
        <w:t>czas schnięcia – 12 h</w:t>
      </w:r>
    </w:p>
    <w:p w14:paraId="32174EA7" w14:textId="77777777" w:rsidR="00941151" w:rsidRDefault="009B68EB">
      <w:pPr>
        <w:spacing w:after="104"/>
        <w:ind w:left="369" w:right="564"/>
      </w:pPr>
      <w:r>
        <w:t>Farby olejne i ftalowe nawierzchniowe ogólnego stosowania wg PN-C-81901/2002 wydajność – 6–10 m</w:t>
      </w:r>
      <w:r>
        <w:rPr>
          <w:sz w:val="18"/>
          <w:vertAlign w:val="superscript"/>
        </w:rPr>
        <w:t>2</w:t>
      </w:r>
      <w:r>
        <w:t>/dm</w:t>
      </w:r>
      <w:r>
        <w:rPr>
          <w:sz w:val="18"/>
          <w:vertAlign w:val="superscript"/>
        </w:rPr>
        <w:t>3</w:t>
      </w:r>
    </w:p>
    <w:p w14:paraId="43313156" w14:textId="77777777" w:rsidR="00941151" w:rsidRDefault="009B68EB">
      <w:pPr>
        <w:spacing w:after="47" w:line="225" w:lineRule="auto"/>
        <w:ind w:left="371" w:right="3079" w:hanging="10"/>
        <w:jc w:val="left"/>
      </w:pPr>
      <w:r>
        <w:t>2.5.6. Farby akrylowe do malowania powierzc</w:t>
      </w:r>
      <w:r>
        <w:t>hni ocynkowanych Wymagania dla farb: lepkość umowna: min. 60 gęstość: max. 1,6 g/cm</w:t>
      </w:r>
      <w:r>
        <w:rPr>
          <w:sz w:val="18"/>
          <w:vertAlign w:val="superscript"/>
        </w:rPr>
        <w:t>3</w:t>
      </w:r>
    </w:p>
    <w:p w14:paraId="513E93D2" w14:textId="77777777" w:rsidR="00941151" w:rsidRDefault="009B68EB">
      <w:pPr>
        <w:spacing w:after="4"/>
        <w:ind w:left="369" w:right="3580"/>
      </w:pPr>
      <w:r>
        <w:t>zawartość substancji lotnych w% masy max. 45% roztarcie pigmentów: max. 90 m</w:t>
      </w:r>
    </w:p>
    <w:p w14:paraId="68B9C87C" w14:textId="77777777" w:rsidR="00941151" w:rsidRDefault="009B68EB">
      <w:pPr>
        <w:spacing w:after="4"/>
        <w:ind w:left="369" w:right="10"/>
      </w:pPr>
      <w:r>
        <w:t>czas schnięcia powłoki w temp. 20°C i wilgotności względnej powietrza 65% do osiągnięcia 5 sto</w:t>
      </w:r>
      <w:r>
        <w:t>pnia wyschnięcia – max. 2 godz.</w:t>
      </w:r>
    </w:p>
    <w:p w14:paraId="3A4D3E26" w14:textId="77777777" w:rsidR="00941151" w:rsidRDefault="009B68EB">
      <w:pPr>
        <w:spacing w:after="5" w:line="225" w:lineRule="auto"/>
        <w:ind w:left="371" w:right="2742" w:hanging="10"/>
        <w:jc w:val="left"/>
      </w:pPr>
      <w:r>
        <w:t xml:space="preserve">Wymagania dla powłok: wygląd zewnętrzny – gładka, matowa, bez pomarszczeń i zacieków, grubość – 100-120 </w:t>
      </w:r>
      <w:r>
        <w:rPr>
          <w:rFonts w:ascii="AIGDT" w:eastAsia="AIGDT" w:hAnsi="AIGDT" w:cs="AIGDT"/>
        </w:rPr>
        <w:t></w:t>
      </w:r>
      <w:r>
        <w:t>m przyczepność do podłoża – 1 stopień,</w:t>
      </w:r>
    </w:p>
    <w:p w14:paraId="4056105F" w14:textId="77777777" w:rsidR="00941151" w:rsidRDefault="009B68EB">
      <w:pPr>
        <w:spacing w:after="4"/>
        <w:ind w:left="369" w:right="10"/>
      </w:pPr>
      <w:r>
        <w:t>elastyczność – zgięta powłoka na sworzniu o średnicy 3 mm nie wykazuje pęknięć l</w:t>
      </w:r>
      <w:r>
        <w:t>ub odstawania od podłoża,</w:t>
      </w:r>
    </w:p>
    <w:p w14:paraId="40BEDAD0" w14:textId="77777777" w:rsidR="00941151" w:rsidRDefault="009B68EB">
      <w:pPr>
        <w:spacing w:after="26"/>
        <w:ind w:left="369" w:right="10"/>
      </w:pPr>
      <w:r>
        <w:t>twardość względna – min. 0,1,</w:t>
      </w:r>
    </w:p>
    <w:p w14:paraId="74DD3048" w14:textId="77777777" w:rsidR="00941151" w:rsidRDefault="009B68EB">
      <w:pPr>
        <w:spacing w:after="3"/>
        <w:ind w:left="369" w:right="10"/>
      </w:pPr>
      <w:r>
        <w:t>odporność na uderzenia – masa 0,5 kg spadająca z wysokości 1,0 m nie powinna powodować uszkodzenia powłoki</w:t>
      </w:r>
    </w:p>
    <w:p w14:paraId="64922860" w14:textId="77777777" w:rsidR="00941151" w:rsidRDefault="009B68EB">
      <w:pPr>
        <w:ind w:left="369" w:right="10"/>
      </w:pPr>
      <w:r>
        <w:t xml:space="preserve">odporność na działanie wody – po 120 godz. zanurzenia w wodzie nie może występować </w:t>
      </w:r>
      <w:proofErr w:type="spellStart"/>
      <w:r>
        <w:t>spęcherzenie</w:t>
      </w:r>
      <w:proofErr w:type="spellEnd"/>
      <w:r>
        <w:t xml:space="preserve"> powłoki.</w:t>
      </w:r>
    </w:p>
    <w:p w14:paraId="5623CC35" w14:textId="77777777" w:rsidR="00941151" w:rsidRDefault="009B68EB">
      <w:pPr>
        <w:ind w:left="369" w:right="10"/>
      </w:pPr>
      <w:r>
        <w:t xml:space="preserve">Farby powinny być pakowane zgodnie z PN-O-79601-2:1996 w bębny lekkie lub wiaderka stożkowe wg PN-EN-ISO 90-2:2002 i przechowywane w temperaturze min. </w:t>
      </w:r>
      <w:r>
        <w:t xml:space="preserve">+5°C. </w:t>
      </w:r>
      <w:r>
        <w:rPr>
          <w:u w:val="single" w:color="000000"/>
        </w:rPr>
        <w:t xml:space="preserve"> 2.6.  Środki gruntujące</w:t>
      </w:r>
    </w:p>
    <w:p w14:paraId="365DE538" w14:textId="77777777" w:rsidR="00941151" w:rsidRDefault="009B68EB">
      <w:pPr>
        <w:spacing w:after="4"/>
        <w:ind w:left="369" w:right="10"/>
      </w:pPr>
      <w:r>
        <w:t>2.6.1. Przy malowaniu farbami emulsyjnymi: powierzchni betonowych lub tynków zwykłych nie zaleca się gruntowania, o ile świadectwo dopuszczenia nowego rodzaju farby emulsyjnej nie podaje inaczej,</w:t>
      </w:r>
    </w:p>
    <w:p w14:paraId="4B2F78A0" w14:textId="77777777" w:rsidR="00941151" w:rsidRDefault="009B68EB">
      <w:pPr>
        <w:ind w:left="369" w:right="10"/>
      </w:pPr>
      <w:r>
        <w:lastRenderedPageBreak/>
        <w:t>na chłonnych podłożach należy</w:t>
      </w:r>
      <w:r>
        <w:t xml:space="preserve"> stosować do gruntowania farbę emulsyjną rozcieńczoną wodą w stosunku 1:3–5 z tego samego rodzaju farby, z jakiej przewiduje się wykonanie powłoki malarskiej.</w:t>
      </w:r>
    </w:p>
    <w:p w14:paraId="77335F73" w14:textId="77777777" w:rsidR="00941151" w:rsidRDefault="009B68EB">
      <w:pPr>
        <w:ind w:left="369" w:right="10"/>
      </w:pPr>
      <w:r>
        <w:t>2.6.2. Przy malowaniu farbami olejnymi i syntetycznymi powierzchnie należy zagruntować rozcieńczo</w:t>
      </w:r>
      <w:r>
        <w:t>nym pokostem 1:1 (pokost: benzyna lakiernicza).</w:t>
      </w:r>
    </w:p>
    <w:p w14:paraId="08E1AA01" w14:textId="77777777" w:rsidR="00941151" w:rsidRDefault="009B68EB">
      <w:pPr>
        <w:spacing w:after="180"/>
        <w:ind w:left="369" w:right="10"/>
      </w:pPr>
      <w:r>
        <w:t>2.6.3. Mydło szare, stosowane do gruntowania podłoża w celu zmniejszenia jego wsiąkliwości powinno być stosowane w postaci roztworu wodnego 3–5%.</w:t>
      </w:r>
    </w:p>
    <w:p w14:paraId="54439924" w14:textId="77777777" w:rsidR="00941151" w:rsidRDefault="009B68EB">
      <w:pPr>
        <w:numPr>
          <w:ilvl w:val="0"/>
          <w:numId w:val="3"/>
        </w:numPr>
        <w:spacing w:after="4" w:line="250" w:lineRule="auto"/>
        <w:ind w:hanging="332"/>
      </w:pPr>
      <w:r>
        <w:rPr>
          <w:b/>
        </w:rPr>
        <w:t>Sprzęt</w:t>
      </w:r>
    </w:p>
    <w:p w14:paraId="4056DD6F" w14:textId="77777777" w:rsidR="00941151" w:rsidRDefault="009B68EB">
      <w:pPr>
        <w:spacing w:after="176"/>
        <w:ind w:left="369" w:right="10"/>
      </w:pPr>
      <w:r>
        <w:t>Roboty można wykonać przy użyciu pędzli lub aparatów na</w:t>
      </w:r>
      <w:r>
        <w:t>tryskowych.</w:t>
      </w:r>
    </w:p>
    <w:p w14:paraId="5F79BF9E" w14:textId="77777777" w:rsidR="00941151" w:rsidRDefault="009B68EB">
      <w:pPr>
        <w:numPr>
          <w:ilvl w:val="0"/>
          <w:numId w:val="3"/>
        </w:numPr>
        <w:spacing w:after="152" w:line="250" w:lineRule="auto"/>
        <w:ind w:hanging="332"/>
      </w:pPr>
      <w:r>
        <w:rPr>
          <w:b/>
        </w:rPr>
        <w:t>Transport</w:t>
      </w:r>
    </w:p>
    <w:p w14:paraId="5CB8F780" w14:textId="77777777" w:rsidR="00941151" w:rsidRDefault="009B68EB">
      <w:pPr>
        <w:spacing w:after="179"/>
        <w:ind w:left="369" w:right="10"/>
      </w:pPr>
      <w:r>
        <w:t>Farby pakowane wg punktu 2.5.6 należy transportować zgodnie z PN-85/0-79252 i przepisami obowiązującymi w transporcie kolejowym lub drogowym.</w:t>
      </w:r>
    </w:p>
    <w:p w14:paraId="3EFBC0F1" w14:textId="77777777" w:rsidR="00941151" w:rsidRDefault="009B68EB">
      <w:pPr>
        <w:numPr>
          <w:ilvl w:val="0"/>
          <w:numId w:val="3"/>
        </w:numPr>
        <w:spacing w:after="4" w:line="250" w:lineRule="auto"/>
        <w:ind w:hanging="332"/>
      </w:pPr>
      <w:r>
        <w:rPr>
          <w:b/>
        </w:rPr>
        <w:t>Wykonanie robót</w:t>
      </w:r>
    </w:p>
    <w:p w14:paraId="5B25B66A" w14:textId="77777777" w:rsidR="00941151" w:rsidRDefault="009B68EB">
      <w:pPr>
        <w:spacing w:after="3"/>
        <w:ind w:left="369" w:right="10"/>
      </w:pPr>
      <w:r>
        <w:t>Przy malowaniu powierzchni wewnętrznych temperatura nie powinna być niższa n</w:t>
      </w:r>
      <w:r>
        <w:t>iż +8°C. W okresie zimowym pomieszczenia należy ogrzewać.</w:t>
      </w:r>
    </w:p>
    <w:p w14:paraId="50D3EAAE" w14:textId="77777777" w:rsidR="00941151" w:rsidRDefault="009B68EB">
      <w:pPr>
        <w:spacing w:after="4"/>
        <w:ind w:left="369" w:right="10"/>
      </w:pPr>
      <w:r>
        <w:t>W ciągu 2 dni pomieszczenia powinny być ogrzane do temperatury co najmniej +8°C. Po zakończeniu malowania można dopuścić do stopniowego obniżania temperatury, jednak przez 3 dni nie może spaść poniż</w:t>
      </w:r>
      <w:r>
        <w:t>ej +1°C.</w:t>
      </w:r>
    </w:p>
    <w:p w14:paraId="6CDEFDCF" w14:textId="77777777" w:rsidR="00941151" w:rsidRDefault="009B68EB">
      <w:pPr>
        <w:spacing w:after="3"/>
        <w:ind w:left="369" w:right="10"/>
      </w:pPr>
      <w:r>
        <w:t>W czasie malowania niedopuszczalne jest nawietrzanie malowanych powierzchni ciepłym powietrzem od przewodów wentylacyjnych i urządzeń ogrzewczych. Gruntowanie i dwukrotne malowanie ścian i sufitów można wykonać po:</w:t>
      </w:r>
    </w:p>
    <w:p w14:paraId="41BBDDEB" w14:textId="77777777" w:rsidR="00941151" w:rsidRDefault="009B68EB">
      <w:pPr>
        <w:spacing w:after="3"/>
        <w:ind w:left="369" w:right="10"/>
      </w:pPr>
      <w:r>
        <w:t>całkowitym ukończeniu robót inst</w:t>
      </w:r>
      <w:r>
        <w:t>alacyjnych (z wyjątkiem montażu armatury i urządzeń sanitarnych),</w:t>
      </w:r>
    </w:p>
    <w:p w14:paraId="5F3D539D" w14:textId="77777777" w:rsidR="00941151" w:rsidRDefault="009B68EB">
      <w:pPr>
        <w:spacing w:after="61" w:line="225" w:lineRule="auto"/>
        <w:ind w:left="371" w:right="4855" w:hanging="10"/>
        <w:jc w:val="left"/>
      </w:pPr>
      <w:r>
        <w:t>całkowitym ukończeniu robót elektrycznych, całkowitym ułożeniu posadzek, usunięciu usterek na stropach i tynkach.</w:t>
      </w:r>
    </w:p>
    <w:p w14:paraId="4EBDA6AB" w14:textId="77777777" w:rsidR="00941151" w:rsidRDefault="009B68EB">
      <w:pPr>
        <w:spacing w:after="0" w:line="265" w:lineRule="auto"/>
        <w:ind w:left="371" w:hanging="10"/>
        <w:jc w:val="left"/>
      </w:pPr>
      <w:r>
        <w:rPr>
          <w:u w:val="single" w:color="000000"/>
        </w:rPr>
        <w:t xml:space="preserve"> 5.1.  Przygotowanie podłoży</w:t>
      </w:r>
    </w:p>
    <w:p w14:paraId="5CAFD8E4" w14:textId="77777777" w:rsidR="00941151" w:rsidRDefault="009B68EB">
      <w:pPr>
        <w:ind w:left="369" w:right="10"/>
      </w:pPr>
      <w:r>
        <w:t>5.1.1. Podłoże posiadające drobne uszkodzenia powierzchni powinny być, naprawione przez wypełnienie ubytków zapra</w:t>
      </w:r>
      <w:r>
        <w:t>wą cementowo-wapienną. Powierzchnie powinny być oczyszczone z kurzu i brudu, wystających drutów, nacieków zaprawy itp. Odstające tynki należy odbić, a rysy poszerzyć i ponownie wypełnić zaprawą cementowo-wapienną.</w:t>
      </w:r>
    </w:p>
    <w:p w14:paraId="61209CCF" w14:textId="77777777" w:rsidR="00941151" w:rsidRDefault="009B68EB">
      <w:pPr>
        <w:ind w:left="369" w:right="10"/>
      </w:pPr>
      <w:r>
        <w:t>5.1.2. Powierzchnie metalowe powinny być o</w:t>
      </w:r>
      <w:r>
        <w:t>czyszczone, odtłuszczone zgodnie z wymaganiami normy PN-ISO 8501-1:1996, dla danego typu farby podkładowej.</w:t>
      </w:r>
    </w:p>
    <w:p w14:paraId="3B2CA650" w14:textId="77777777" w:rsidR="00941151" w:rsidRDefault="009B68EB">
      <w:pPr>
        <w:spacing w:after="0" w:line="265" w:lineRule="auto"/>
        <w:ind w:left="371" w:hanging="10"/>
        <w:jc w:val="left"/>
      </w:pPr>
      <w:r>
        <w:rPr>
          <w:u w:val="single" w:color="000000"/>
        </w:rPr>
        <w:t xml:space="preserve"> 5.2.  Gruntowanie.</w:t>
      </w:r>
    </w:p>
    <w:p w14:paraId="3AF5213B" w14:textId="77777777" w:rsidR="00941151" w:rsidRDefault="009B68EB">
      <w:pPr>
        <w:ind w:left="369" w:right="10"/>
      </w:pPr>
      <w:r>
        <w:t>5.2.1. Przy malowaniu farbą wapienną wymalowania można wykonywać bez gruntowania powierzchni.</w:t>
      </w:r>
    </w:p>
    <w:p w14:paraId="6908A9ED" w14:textId="77777777" w:rsidR="00941151" w:rsidRDefault="009B68EB">
      <w:pPr>
        <w:ind w:left="369" w:right="10"/>
      </w:pPr>
      <w:r>
        <w:t>5.2.2. Przy malowaniu farbami emul</w:t>
      </w:r>
      <w:r>
        <w:t>syjnymi do gruntowania stosować farbę emulsyjną tego samego rodzaju z jakiej ma być wykonana powłoka lecz rozcieńczoną wodą w stosunku 1:3–5.</w:t>
      </w:r>
    </w:p>
    <w:p w14:paraId="0C6BCC9B" w14:textId="77777777" w:rsidR="00941151" w:rsidRDefault="009B68EB">
      <w:pPr>
        <w:ind w:left="369" w:right="10"/>
      </w:pPr>
      <w:r>
        <w:t>5.2.3. Przy malowaniu farbami olejnymi i syntetycznymi powierzchnie gruntować pokostem.</w:t>
      </w:r>
    </w:p>
    <w:p w14:paraId="1E95122E" w14:textId="77777777" w:rsidR="00941151" w:rsidRDefault="009B68EB">
      <w:pPr>
        <w:ind w:left="369" w:right="10"/>
      </w:pPr>
      <w:r>
        <w:t>5.2.4. Przy malowaniu farb</w:t>
      </w:r>
      <w:r>
        <w:t>ami chlorokauczukowymi elementów stalowych stosuje się odpowiednie farby podkładowe.</w:t>
      </w:r>
    </w:p>
    <w:p w14:paraId="57E72735" w14:textId="77777777" w:rsidR="00941151" w:rsidRDefault="009B68EB">
      <w:pPr>
        <w:ind w:left="369" w:right="10"/>
      </w:pPr>
      <w:r>
        <w:t>5.2.5. Przy malowaniu farbami epoksydowymi powierzchnie pokrywa się gruntoszpachlówką epoksydową.</w:t>
      </w:r>
    </w:p>
    <w:p w14:paraId="59D7F471" w14:textId="77777777" w:rsidR="00941151" w:rsidRDefault="009B68EB">
      <w:pPr>
        <w:spacing w:after="0" w:line="265" w:lineRule="auto"/>
        <w:ind w:left="371" w:hanging="10"/>
        <w:jc w:val="left"/>
      </w:pPr>
      <w:r>
        <w:rPr>
          <w:u w:val="single" w:color="000000"/>
        </w:rPr>
        <w:t xml:space="preserve"> 5.3.  Wykonywania powłok malarskich</w:t>
      </w:r>
    </w:p>
    <w:p w14:paraId="4CC98B3C" w14:textId="77777777" w:rsidR="00941151" w:rsidRDefault="009B68EB">
      <w:pPr>
        <w:ind w:left="369" w:right="10"/>
      </w:pPr>
      <w:r>
        <w:t>5.3.1. Powłoki wapienne powinny równ</w:t>
      </w:r>
      <w:r>
        <w:t>omiernie pokrywać podłoże, bez prześwitów, plam i odprysków.</w:t>
      </w:r>
    </w:p>
    <w:p w14:paraId="6AEF641F" w14:textId="77777777" w:rsidR="00941151" w:rsidRDefault="009B68EB">
      <w:pPr>
        <w:spacing w:after="4"/>
        <w:ind w:left="369" w:right="10"/>
      </w:pPr>
      <w:r>
        <w:t>5.3.2. Powłoki z farb emulsyjnych powinny być niezmywalne, przy stosowaniu środków myjących i dezynfekujących.</w:t>
      </w:r>
    </w:p>
    <w:p w14:paraId="7CE0E59B" w14:textId="77777777" w:rsidR="00941151" w:rsidRDefault="009B68EB">
      <w:pPr>
        <w:spacing w:after="26"/>
        <w:ind w:left="369" w:right="10"/>
      </w:pPr>
      <w:r>
        <w:t>Powłoki powinny dawać aksamitno-matowy wygląd powierzchni.</w:t>
      </w:r>
    </w:p>
    <w:p w14:paraId="5AD55E52" w14:textId="77777777" w:rsidR="00941151" w:rsidRDefault="009B68EB">
      <w:pPr>
        <w:spacing w:after="26"/>
        <w:ind w:left="369" w:right="10"/>
      </w:pPr>
      <w:r>
        <w:t xml:space="preserve">Barwa powłok powinna być </w:t>
      </w:r>
      <w:r>
        <w:t>jednolita, bez smug i plam.</w:t>
      </w:r>
    </w:p>
    <w:p w14:paraId="46906919" w14:textId="77777777" w:rsidR="00941151" w:rsidRDefault="009B68EB">
      <w:pPr>
        <w:ind w:left="369" w:right="10"/>
      </w:pPr>
      <w:r>
        <w:t>Powierzchnia powłok bez uszkodzeń, smug, plam i śladów pędzla.</w:t>
      </w:r>
    </w:p>
    <w:p w14:paraId="2D1CC0D8" w14:textId="77777777" w:rsidR="00941151" w:rsidRDefault="009B68EB">
      <w:pPr>
        <w:spacing w:after="4"/>
        <w:ind w:left="369" w:right="10"/>
      </w:pPr>
      <w:r>
        <w:t>5.3.3. Powłoki z farb i lakierów olejnych i syntetycznych powinny mieć barwę jednolitą zgodną ze wzorcem, bez smug, zacieków, uszkodzeń, zmarszczeń, pęcherzy, plam i</w:t>
      </w:r>
      <w:r>
        <w:t xml:space="preserve"> zmiany odcienia.</w:t>
      </w:r>
    </w:p>
    <w:p w14:paraId="431EF35D" w14:textId="77777777" w:rsidR="00941151" w:rsidRDefault="009B68EB">
      <w:pPr>
        <w:spacing w:after="26"/>
        <w:ind w:left="369" w:right="10"/>
      </w:pPr>
      <w:r>
        <w:t>Powłoki powinny mieć jednolity połysk.</w:t>
      </w:r>
    </w:p>
    <w:p w14:paraId="156B08E9" w14:textId="77777777" w:rsidR="00941151" w:rsidRDefault="009B68EB">
      <w:pPr>
        <w:spacing w:after="179"/>
        <w:ind w:left="369" w:right="10"/>
      </w:pPr>
      <w:r>
        <w:t>Przy malowaniu wielowarstwowym należy na poszczególne warstwy stosować farby w różnych odcieniach.</w:t>
      </w:r>
    </w:p>
    <w:p w14:paraId="4641891E" w14:textId="77777777" w:rsidR="00941151" w:rsidRDefault="009B68EB">
      <w:pPr>
        <w:numPr>
          <w:ilvl w:val="0"/>
          <w:numId w:val="4"/>
        </w:numPr>
        <w:spacing w:after="40" w:line="250" w:lineRule="auto"/>
        <w:ind w:hanging="386"/>
      </w:pPr>
      <w:r>
        <w:rPr>
          <w:b/>
        </w:rPr>
        <w:lastRenderedPageBreak/>
        <w:t>Kontrola jakości</w:t>
      </w:r>
    </w:p>
    <w:p w14:paraId="5B361FC2" w14:textId="77777777" w:rsidR="00941151" w:rsidRDefault="009B68EB">
      <w:pPr>
        <w:numPr>
          <w:ilvl w:val="1"/>
          <w:numId w:val="4"/>
        </w:numPr>
        <w:spacing w:after="0" w:line="265" w:lineRule="auto"/>
        <w:ind w:hanging="386"/>
        <w:jc w:val="left"/>
      </w:pPr>
      <w:r>
        <w:rPr>
          <w:u w:val="single" w:color="000000"/>
        </w:rPr>
        <w:t>Powierzchnia do malowania.</w:t>
      </w:r>
    </w:p>
    <w:p w14:paraId="466D49D7" w14:textId="77777777" w:rsidR="00941151" w:rsidRDefault="009B68EB">
      <w:pPr>
        <w:spacing w:after="5" w:line="225" w:lineRule="auto"/>
        <w:ind w:left="371" w:right="582" w:hanging="10"/>
        <w:jc w:val="left"/>
      </w:pPr>
      <w:r>
        <w:t>Kontrola stanu technicznego powierzchni przygotowanej do malowania powinna obejmować: sprawdzenie wyglądu powierzchni, sprawdzenie wsiąkliwości, sprawdzenie wyschnięcia podłoża,</w:t>
      </w:r>
    </w:p>
    <w:p w14:paraId="69B69A50" w14:textId="77777777" w:rsidR="00941151" w:rsidRDefault="009B68EB">
      <w:pPr>
        <w:spacing w:after="26"/>
        <w:ind w:left="369" w:right="10"/>
      </w:pPr>
      <w:r>
        <w:t>sprawdzenie czystości,</w:t>
      </w:r>
    </w:p>
    <w:p w14:paraId="1D4AEDC5" w14:textId="77777777" w:rsidR="00941151" w:rsidRDefault="009B68EB">
      <w:pPr>
        <w:ind w:left="369" w:right="10"/>
      </w:pPr>
      <w:r>
        <w:t>Sprawdzenie wyglądu powierzchni pod malowanie należy wy</w:t>
      </w:r>
      <w:r>
        <w:t>konać przez oględziny zewnętrzne. Sprawdzenie wsiąkliwości należy wykonać przez spryskiwanie powierzchni przewidzianej pod malowanie kilku kroplami wody. Ciemniejsza plama zwilżonej powierzchni powinna nastąpić nie wcześniej niż po 3 s.</w:t>
      </w:r>
    </w:p>
    <w:p w14:paraId="5E9057F6" w14:textId="77777777" w:rsidR="00941151" w:rsidRDefault="009B68EB">
      <w:pPr>
        <w:numPr>
          <w:ilvl w:val="1"/>
          <w:numId w:val="4"/>
        </w:numPr>
        <w:spacing w:after="0" w:line="265" w:lineRule="auto"/>
        <w:ind w:hanging="386"/>
        <w:jc w:val="left"/>
      </w:pPr>
      <w:r>
        <w:rPr>
          <w:u w:val="single" w:color="000000"/>
        </w:rPr>
        <w:t>Roboty malarskie.</w:t>
      </w:r>
    </w:p>
    <w:p w14:paraId="628B5773" w14:textId="77777777" w:rsidR="00941151" w:rsidRDefault="009B68EB">
      <w:pPr>
        <w:numPr>
          <w:ilvl w:val="2"/>
          <w:numId w:val="4"/>
        </w:numPr>
        <w:spacing w:after="61" w:line="225" w:lineRule="auto"/>
        <w:ind w:right="10" w:hanging="1143"/>
      </w:pPr>
      <w:r>
        <w:t>B</w:t>
      </w:r>
      <w:r>
        <w:t>adania powłok przy ich odbiorach należy przeprowadzić po zakończeniu ich wykonania: dla farb emulsyjnych nie wcześniej niż po 7 dniach, dla pozostałych nie wcześniej niż po 14 dniach.</w:t>
      </w:r>
    </w:p>
    <w:p w14:paraId="16A6C3E0" w14:textId="77777777" w:rsidR="00941151" w:rsidRDefault="009B68EB">
      <w:pPr>
        <w:numPr>
          <w:ilvl w:val="2"/>
          <w:numId w:val="4"/>
        </w:numPr>
        <w:ind w:right="10" w:hanging="1143"/>
      </w:pPr>
      <w:r>
        <w:t>Badania przeprowadza się przy temperaturze powietrza nie niższej od +5°C</w:t>
      </w:r>
      <w:r>
        <w:t xml:space="preserve"> przy wilgotności powietrza mniejszej od 65%.</w:t>
      </w:r>
    </w:p>
    <w:p w14:paraId="16B52DD6" w14:textId="77777777" w:rsidR="00941151" w:rsidRDefault="009B68EB">
      <w:pPr>
        <w:numPr>
          <w:ilvl w:val="2"/>
          <w:numId w:val="4"/>
        </w:numPr>
        <w:spacing w:after="5" w:line="225" w:lineRule="auto"/>
        <w:ind w:right="10" w:hanging="1143"/>
      </w:pPr>
      <w:r>
        <w:t>Badania powinny obejmować: sprawdzenie wyglądu zewnętrznego, sprawdzenie zgodności barwy ze wzorcem,</w:t>
      </w:r>
    </w:p>
    <w:p w14:paraId="3FAC2CD4" w14:textId="77777777" w:rsidR="00941151" w:rsidRDefault="009B68EB">
      <w:pPr>
        <w:spacing w:after="180"/>
        <w:ind w:left="369" w:right="10"/>
      </w:pPr>
      <w:r>
        <w:t xml:space="preserve">dla farb olejnych i syntetycznych: sprawdzenie powłoki na zarysowanie i uderzenia, sprawdzenie elastyczności </w:t>
      </w:r>
      <w:r>
        <w:t>i twardości oraz przyczepności zgodnie z odpowiednimi normami państwowymi. Jeśli badania dadzą wynik pozytywny, to roboty malarskie należy uznać za wykonane prawidłowo. Gdy którekolwiek z badań dało wynik ujemny, należy usunąć wykonane powłoki częściowo lu</w:t>
      </w:r>
      <w:r>
        <w:t>b całkowicie i wykonać powtórnie.</w:t>
      </w:r>
    </w:p>
    <w:p w14:paraId="4B40A2CC" w14:textId="77777777" w:rsidR="00941151" w:rsidRDefault="009B68EB">
      <w:pPr>
        <w:numPr>
          <w:ilvl w:val="0"/>
          <w:numId w:val="4"/>
        </w:numPr>
        <w:spacing w:after="4" w:line="250" w:lineRule="auto"/>
        <w:ind w:hanging="386"/>
      </w:pPr>
      <w:r>
        <w:rPr>
          <w:b/>
        </w:rPr>
        <w:t>Obmiar robót</w:t>
      </w:r>
    </w:p>
    <w:p w14:paraId="09B24787" w14:textId="77777777" w:rsidR="00941151" w:rsidRDefault="009B68EB">
      <w:pPr>
        <w:spacing w:after="179"/>
        <w:ind w:left="369" w:right="10"/>
      </w:pPr>
      <w:r>
        <w:t>Jednostką obmiarową robót jest m</w:t>
      </w:r>
      <w:r>
        <w:rPr>
          <w:sz w:val="18"/>
          <w:vertAlign w:val="superscript"/>
        </w:rPr>
        <w:t>2</w:t>
      </w:r>
      <w:r>
        <w:t xml:space="preserve"> powierzchni zamalowanej wraz z przygotowaniem do malowania podłoża, przygotowaniem farb, ustawieniem i rozebraniem rusztowań lub drabin malarskich oraz uporządkowaniem stanowiska pracy. Ilość robót określa się na podstawie projektu z uwzględnieniem zmian </w:t>
      </w:r>
      <w:r>
        <w:t>zaaprobowanych przez Inżyniera i sprawdzonych w naturze.</w:t>
      </w:r>
    </w:p>
    <w:p w14:paraId="176EAA3C" w14:textId="77777777" w:rsidR="00941151" w:rsidRDefault="009B68EB">
      <w:pPr>
        <w:numPr>
          <w:ilvl w:val="0"/>
          <w:numId w:val="4"/>
        </w:numPr>
        <w:spacing w:after="4" w:line="250" w:lineRule="auto"/>
        <w:ind w:hanging="386"/>
      </w:pPr>
      <w:r>
        <w:rPr>
          <w:b/>
        </w:rPr>
        <w:t>Odbiór robót</w:t>
      </w:r>
    </w:p>
    <w:p w14:paraId="0B858F60" w14:textId="77777777" w:rsidR="00941151" w:rsidRDefault="009B68EB">
      <w:pPr>
        <w:ind w:left="369" w:right="10"/>
      </w:pPr>
      <w:r>
        <w:t>Roboty podlegają warunkom odbioru według zasad podanych poniżej.</w:t>
      </w:r>
    </w:p>
    <w:p w14:paraId="1DDA059B" w14:textId="77777777" w:rsidR="00941151" w:rsidRDefault="009B68EB">
      <w:pPr>
        <w:numPr>
          <w:ilvl w:val="1"/>
          <w:numId w:val="4"/>
        </w:numPr>
        <w:spacing w:after="0" w:line="265" w:lineRule="auto"/>
        <w:ind w:hanging="386"/>
        <w:jc w:val="left"/>
      </w:pPr>
      <w:r>
        <w:rPr>
          <w:u w:val="single" w:color="000000"/>
        </w:rPr>
        <w:t>Odbiór podłoża</w:t>
      </w:r>
    </w:p>
    <w:p w14:paraId="5015D9D5" w14:textId="77777777" w:rsidR="00941151" w:rsidRDefault="009B68EB">
      <w:pPr>
        <w:numPr>
          <w:ilvl w:val="2"/>
          <w:numId w:val="4"/>
        </w:numPr>
        <w:ind w:right="10" w:hanging="1143"/>
      </w:pPr>
      <w:r>
        <w:t>Zastosowane do przygotowania podłoża materiały powinny odpowiadać wymaganiom zawartym w normach państwowyc</w:t>
      </w:r>
      <w:r>
        <w:t>h lub świadectwach dopuszczenia do stosowania w budownictwie. Podłoże, posiadające drobne uszkodzenia powinno być naprawione przez wypełnienie ubytków zaprawą cementowo-wapienną do robót tynkowych lub odpowiednią szpachlówką. Podłoże powinno być przygotowa</w:t>
      </w:r>
      <w:r>
        <w:t>ne zgodnie z wymaganiami w pkt. 5.2.1. Jeżeli odbiór podłoża odbywa się po dłuższym czasie od jego wykonania, należy podłoże przed gruntowaniem oczyścić.</w:t>
      </w:r>
    </w:p>
    <w:p w14:paraId="7152A801" w14:textId="77777777" w:rsidR="00941151" w:rsidRDefault="009B68EB">
      <w:pPr>
        <w:numPr>
          <w:ilvl w:val="1"/>
          <w:numId w:val="4"/>
        </w:numPr>
        <w:spacing w:after="0" w:line="265" w:lineRule="auto"/>
        <w:ind w:hanging="386"/>
        <w:jc w:val="left"/>
      </w:pPr>
      <w:r>
        <w:rPr>
          <w:u w:val="single" w:color="000000"/>
        </w:rPr>
        <w:t>Odbiór robót malarskich</w:t>
      </w:r>
    </w:p>
    <w:p w14:paraId="0B041039" w14:textId="77777777" w:rsidR="00941151" w:rsidRDefault="009B68EB">
      <w:pPr>
        <w:numPr>
          <w:ilvl w:val="2"/>
          <w:numId w:val="4"/>
        </w:numPr>
        <w:ind w:right="10" w:hanging="1143"/>
      </w:pPr>
      <w:r>
        <w:t xml:space="preserve">Sprawdzenie wyglądu zewnętrznego powłok malarskich polegające na stwierdzeniu </w:t>
      </w:r>
      <w:r>
        <w:t>równomiernego rozłożenia farby, jednolitego natężenia barwy i zgodności ze wzorcem producenta, braku prześwitu i dostrzegalnych skupisk lub grudek nieroztartego pigmentu lub wypełniaczy, braku plam, smug, zacieków, pęcherzy odstających płatów powłoki, wido</w:t>
      </w:r>
      <w:r>
        <w:t>cznych okiem śladów pędzla itp., w stopniu kwalifikującym powierzchnię malowaną do powłok o dobrej jakości wykonania.</w:t>
      </w:r>
    </w:p>
    <w:p w14:paraId="35EF16E0" w14:textId="77777777" w:rsidR="00941151" w:rsidRDefault="009B68EB">
      <w:pPr>
        <w:numPr>
          <w:ilvl w:val="2"/>
          <w:numId w:val="4"/>
        </w:numPr>
        <w:ind w:right="10" w:hanging="1143"/>
      </w:pPr>
      <w:r>
        <w:t>Sprawdzenie odporności powłoki na wycieranie polegające na lekkim, kilkakrotnym potarciu jej powierzchni miękką, wełnianą lub bawełnianą s</w:t>
      </w:r>
      <w:r>
        <w:t>zmatką kontrastowego koloru.</w:t>
      </w:r>
    </w:p>
    <w:p w14:paraId="304D63BF" w14:textId="77777777" w:rsidR="00941151" w:rsidRDefault="009B68EB">
      <w:pPr>
        <w:numPr>
          <w:ilvl w:val="2"/>
          <w:numId w:val="4"/>
        </w:numPr>
        <w:ind w:right="10" w:hanging="1143"/>
      </w:pPr>
      <w:r>
        <w:t>Sprawdzenie odporności powłoki na zarysowanie.</w:t>
      </w:r>
    </w:p>
    <w:p w14:paraId="23F85E18" w14:textId="77777777" w:rsidR="00941151" w:rsidRDefault="009B68EB">
      <w:pPr>
        <w:numPr>
          <w:ilvl w:val="2"/>
          <w:numId w:val="4"/>
        </w:numPr>
        <w:spacing w:after="338"/>
        <w:ind w:right="10" w:hanging="1143"/>
      </w:pPr>
      <w:r>
        <w:t>Sprawdzenie przyczepności powłoki do podłoża polegające na próbie poderwania ostrym narzędziem powłoki od podłoża.</w:t>
      </w:r>
    </w:p>
    <w:p w14:paraId="0A3E920B" w14:textId="77777777" w:rsidR="00941151" w:rsidRDefault="009B68EB">
      <w:pPr>
        <w:numPr>
          <w:ilvl w:val="2"/>
          <w:numId w:val="4"/>
        </w:numPr>
        <w:ind w:right="10" w:hanging="1143"/>
      </w:pPr>
      <w:r>
        <w:t>Sprawdzenie odporności powłoki na zmywanie wodą polegające na zwi</w:t>
      </w:r>
      <w:r>
        <w:t>lżaniu badanej powierzchni powłoki przez kilkakrotne potarcie mokrą miękką szczotką lub szmatką.</w:t>
      </w:r>
    </w:p>
    <w:p w14:paraId="1D7562E0" w14:textId="77777777" w:rsidR="00941151" w:rsidRDefault="009B68EB">
      <w:pPr>
        <w:spacing w:after="423" w:line="265" w:lineRule="auto"/>
        <w:ind w:left="371" w:hanging="10"/>
        <w:jc w:val="left"/>
      </w:pPr>
      <w:r>
        <w:rPr>
          <w:u w:val="single" w:color="000000"/>
        </w:rPr>
        <w:t>Wyniki odbiorów materiałów i robót powinny być każdorazowo wpisywane do dziennika budowy.</w:t>
      </w:r>
    </w:p>
    <w:p w14:paraId="3B5EEBAA" w14:textId="77777777" w:rsidR="00941151" w:rsidRDefault="009B68EB">
      <w:pPr>
        <w:numPr>
          <w:ilvl w:val="0"/>
          <w:numId w:val="4"/>
        </w:numPr>
        <w:spacing w:after="4" w:line="250" w:lineRule="auto"/>
        <w:ind w:hanging="386"/>
      </w:pPr>
      <w:r>
        <w:rPr>
          <w:b/>
        </w:rPr>
        <w:t>Podstawa płatności</w:t>
      </w:r>
    </w:p>
    <w:p w14:paraId="4383ACC1" w14:textId="77777777" w:rsidR="00941151" w:rsidRDefault="009B68EB">
      <w:pPr>
        <w:spacing w:after="179"/>
        <w:ind w:left="369" w:right="10"/>
      </w:pPr>
      <w:r>
        <w:lastRenderedPageBreak/>
        <w:t>Płaci się za ustaloną ilość m</w:t>
      </w:r>
      <w:r>
        <w:rPr>
          <w:sz w:val="18"/>
          <w:vertAlign w:val="superscript"/>
        </w:rPr>
        <w:t>2</w:t>
      </w:r>
      <w:r>
        <w:t xml:space="preserve"> powierzchni zamalow</w:t>
      </w:r>
      <w:r>
        <w:t>anej wg ceny jednostkowej wraz z przygotowaniem do malowania podłoża, przygotowaniem farb, ustawieniem i rozebraniem rusztowań lub drabin malarskich oraz uporządkowaniem stanowiska pracy. Ilość robót określa się na podstawie projektu z uwzględnieniem zmian</w:t>
      </w:r>
      <w:r>
        <w:t xml:space="preserve"> zaaprobowanych przez Inżyniera i sprawdzonych w naturze.</w:t>
      </w:r>
    </w:p>
    <w:p w14:paraId="2D873358" w14:textId="77777777" w:rsidR="00941151" w:rsidRDefault="009B68EB">
      <w:pPr>
        <w:numPr>
          <w:ilvl w:val="0"/>
          <w:numId w:val="4"/>
        </w:numPr>
        <w:spacing w:after="4" w:line="250" w:lineRule="auto"/>
        <w:ind w:hanging="386"/>
      </w:pPr>
      <w:r>
        <w:rPr>
          <w:b/>
        </w:rPr>
        <w:t>Przepisy związane</w:t>
      </w:r>
    </w:p>
    <w:p w14:paraId="36C97888" w14:textId="77777777" w:rsidR="00941151" w:rsidRDefault="009B68EB">
      <w:pPr>
        <w:spacing w:after="26"/>
        <w:ind w:left="369" w:right="10"/>
      </w:pPr>
      <w:r>
        <w:t>PN-EN 1008:2004 Woda zarobowa do betonu. Specyfikacja i pobieranie próbek.</w:t>
      </w:r>
    </w:p>
    <w:p w14:paraId="6A21D0C5" w14:textId="77777777" w:rsidR="00941151" w:rsidRDefault="009B68EB">
      <w:pPr>
        <w:tabs>
          <w:tab w:val="center" w:pos="1061"/>
          <w:tab w:val="center" w:pos="5099"/>
        </w:tabs>
        <w:spacing w:after="26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PN-70/B-10100 </w:t>
      </w:r>
      <w:r>
        <w:tab/>
        <w:t>Roboty tynkowe. Tynki zwykłe. Wymagania i badania przy odbiorze.</w:t>
      </w:r>
    </w:p>
    <w:p w14:paraId="2E530DD4" w14:textId="77777777" w:rsidR="00941151" w:rsidRDefault="009B68EB">
      <w:pPr>
        <w:tabs>
          <w:tab w:val="center" w:pos="1067"/>
          <w:tab w:val="center" w:pos="4152"/>
        </w:tabs>
        <w:spacing w:after="26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PN-62/C-81502 </w:t>
      </w:r>
      <w:r>
        <w:tab/>
        <w:t>Szpachlówki i kity szpachlowe. Metody badań.</w:t>
      </w:r>
    </w:p>
    <w:p w14:paraId="434645F2" w14:textId="77777777" w:rsidR="00941151" w:rsidRDefault="009B68EB">
      <w:pPr>
        <w:spacing w:after="26"/>
        <w:ind w:left="369" w:right="10"/>
      </w:pPr>
      <w:r>
        <w:t>PN-EN 459-1:2003 Wapno budowlane.</w:t>
      </w:r>
    </w:p>
    <w:p w14:paraId="79F63D23" w14:textId="77777777" w:rsidR="00941151" w:rsidRDefault="009B68EB">
      <w:pPr>
        <w:spacing w:after="9"/>
        <w:ind w:left="369" w:right="10"/>
      </w:pPr>
      <w:r>
        <w:t>PN-C 81911:1997 Farby epoksydowe do gruntowania odporne na czynniki chemiczne PN-</w:t>
      </w:r>
      <w:r>
        <w:t xml:space="preserve">C-81901:2002 Farby olejne i </w:t>
      </w:r>
      <w:proofErr w:type="spellStart"/>
      <w:r>
        <w:t>alkidowe</w:t>
      </w:r>
      <w:proofErr w:type="spellEnd"/>
      <w:r>
        <w:t>.</w:t>
      </w:r>
    </w:p>
    <w:p w14:paraId="76945AF4" w14:textId="77777777" w:rsidR="00941151" w:rsidRDefault="009B68EB">
      <w:pPr>
        <w:spacing w:after="26"/>
        <w:ind w:left="369" w:right="10"/>
      </w:pPr>
      <w:r>
        <w:t>PN-C-81608:1998 Emalie chlorokauczukowe.</w:t>
      </w:r>
    </w:p>
    <w:p w14:paraId="34722A91" w14:textId="77777777" w:rsidR="00941151" w:rsidRDefault="009B68EB">
      <w:pPr>
        <w:spacing w:after="26"/>
        <w:ind w:left="369" w:right="10"/>
      </w:pPr>
      <w:r>
        <w:t>PN-C-81914:2002 Farby dyspersyjne stosowane wewnątrz.</w:t>
      </w:r>
    </w:p>
    <w:p w14:paraId="1AD7D41F" w14:textId="77777777" w:rsidR="00941151" w:rsidRDefault="009B68EB">
      <w:pPr>
        <w:spacing w:after="6683"/>
        <w:ind w:left="369" w:right="10"/>
      </w:pPr>
      <w:r>
        <w:t>PN-C-81911:1997 Farby epoksydowe do gruntowania odporne na czynniki chemiczne. PN-C-81932:1997   Emalie epoksydowe chemoodp</w:t>
      </w:r>
      <w:r>
        <w:t>orne.</w:t>
      </w:r>
    </w:p>
    <w:p w14:paraId="64F15BC3" w14:textId="77777777" w:rsidR="00941151" w:rsidRDefault="009B68EB">
      <w:pPr>
        <w:spacing w:after="0" w:line="259" w:lineRule="auto"/>
        <w:ind w:left="376" w:firstLine="0"/>
        <w:jc w:val="left"/>
      </w:pPr>
      <w:r>
        <w:t xml:space="preserve">                                       </w:t>
      </w:r>
    </w:p>
    <w:sectPr w:rsidR="00941151">
      <w:pgSz w:w="11900" w:h="16840"/>
      <w:pgMar w:top="1415" w:right="1403" w:bottom="1428" w:left="1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IGDT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079C4"/>
    <w:multiLevelType w:val="multilevel"/>
    <w:tmpl w:val="5F2EF836"/>
    <w:lvl w:ilvl="0">
      <w:start w:val="2"/>
      <w:numFmt w:val="decimal"/>
      <w:lvlText w:val="%1."/>
      <w:lvlJc w:val="left"/>
      <w:pPr>
        <w:ind w:left="69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3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3C201B"/>
    <w:multiLevelType w:val="hybridMultilevel"/>
    <w:tmpl w:val="AE403F8C"/>
    <w:lvl w:ilvl="0" w:tplc="5DEED236">
      <w:start w:val="3"/>
      <w:numFmt w:val="decimal"/>
      <w:lvlText w:val="%1."/>
      <w:lvlJc w:val="left"/>
      <w:pPr>
        <w:ind w:left="69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DA09AE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823B74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FA5014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E01A54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62D3D4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9091F0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4ADB6A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AE81CE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775472"/>
    <w:multiLevelType w:val="multilevel"/>
    <w:tmpl w:val="E0ACDB82"/>
    <w:lvl w:ilvl="0">
      <w:start w:val="1"/>
      <w:numFmt w:val="decimal"/>
      <w:lvlText w:val="%1."/>
      <w:lvlJc w:val="left"/>
      <w:pPr>
        <w:ind w:left="69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F7C54EF"/>
    <w:multiLevelType w:val="multilevel"/>
    <w:tmpl w:val="17FCA362"/>
    <w:lvl w:ilvl="0">
      <w:start w:val="6"/>
      <w:numFmt w:val="decimal"/>
      <w:lvlText w:val="%1."/>
      <w:lvlJc w:val="left"/>
      <w:pPr>
        <w:ind w:left="7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30417511">
    <w:abstractNumId w:val="2"/>
  </w:num>
  <w:num w:numId="2" w16cid:durableId="2114129564">
    <w:abstractNumId w:val="0"/>
  </w:num>
  <w:num w:numId="3" w16cid:durableId="1912426764">
    <w:abstractNumId w:val="1"/>
  </w:num>
  <w:num w:numId="4" w16cid:durableId="11071228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151"/>
    <w:rsid w:val="00941151"/>
    <w:rsid w:val="009B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D85B1"/>
  <w15:docId w15:val="{6BE7060A-3272-4668-9E41-7BC87D80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8" w:line="228" w:lineRule="auto"/>
      <w:ind w:left="8" w:hanging="8"/>
      <w:jc w:val="both"/>
    </w:pPr>
    <w:rPr>
      <w:rFonts w:ascii="Arial" w:eastAsia="Arial" w:hAnsi="Arial" w:cs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1965</Words>
  <Characters>11794</Characters>
  <Application>Microsoft Office Word</Application>
  <DocSecurity>0</DocSecurity>
  <Lines>98</Lines>
  <Paragraphs>27</Paragraphs>
  <ScaleCrop>false</ScaleCrop>
  <Company/>
  <LinksUpToDate>false</LinksUpToDate>
  <CharactersWithSpaces>13732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Bogusia Wydro</dc:creator>
  <cp:keywords/>
  <cp:lastModifiedBy>Łukasz Śliwka</cp:lastModifiedBy>
  <cp:revision>2</cp:revision>
  <dcterms:created xsi:type="dcterms:W3CDTF">2023-10-13T12:00:00Z</dcterms:created>
  <dcterms:modified xsi:type="dcterms:W3CDTF">2023-10-13T12:00:00Z</dcterms:modified>
</cp:coreProperties>
</file>