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491B" w14:textId="77777777" w:rsidR="006D2E0C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0EAF7FB5" w14:textId="77777777" w:rsidR="006D2E0C" w:rsidRDefault="000000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„Przebudowa linii energetycznych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</w:t>
      </w:r>
    </w:p>
    <w:p w14:paraId="7DC2EFA2" w14:textId="77777777" w:rsidR="006D2E0C" w:rsidRDefault="006D2E0C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A70127D" w14:textId="77777777" w:rsidR="006D2E0C" w:rsidRDefault="0000000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788209F7" w14:textId="77777777" w:rsidR="006D2E0C" w:rsidRDefault="00000000">
      <w:pPr>
        <w:pStyle w:val="Akapitzlist"/>
        <w:spacing w:line="276" w:lineRule="auto"/>
        <w:ind w:left="36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likwidacja kolizji energetycznych na terenie Gminy Nowy Tomyśl w dwóch lokalizacjach wraz ze sporządzeniem dokumentacji projektowej na ten cel</w:t>
      </w:r>
    </w:p>
    <w:p w14:paraId="2FC550A7" w14:textId="77777777" w:rsidR="006D2E0C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2. Zamówienie obejmuje:</w:t>
      </w:r>
    </w:p>
    <w:p w14:paraId="3FB3DD53" w14:textId="77777777" w:rsidR="006D2E0C" w:rsidRDefault="00000000">
      <w:pPr>
        <w:suppressAutoHyphens w:val="0"/>
        <w:spacing w:line="276" w:lineRule="auto"/>
        <w:ind w:left="794"/>
        <w:jc w:val="both"/>
        <w:rPr>
          <w:rFonts w:hint="eastAsia"/>
        </w:rPr>
      </w:pPr>
      <w:r>
        <w:rPr>
          <w:rFonts w:ascii="Times New Roman" w:hAnsi="Times New Roman" w:cs="Times New Roman"/>
        </w:rPr>
        <w:t>kompleksowe zlikwidowanie kolizji istniejącej infrastruktury elektroenergetycznej zgodnie z procedurami ENEA Operator Sp. z o.o. wraz ze sporządzeniem odpowiedniej dokumentacji projektowo-kosztorysowej oraz uzyskaniem wymaganych prawem i wiedzą techniczną, zgód, opinii i pozwoleń w lokalizacjach:</w:t>
      </w:r>
    </w:p>
    <w:p w14:paraId="723E9E01" w14:textId="77777777" w:rsidR="006D2E0C" w:rsidRDefault="006D2E0C">
      <w:pPr>
        <w:suppressAutoHyphens w:val="0"/>
        <w:spacing w:line="276" w:lineRule="auto"/>
        <w:ind w:left="1137"/>
        <w:jc w:val="both"/>
        <w:rPr>
          <w:rFonts w:ascii="Times New Roman" w:hAnsi="Times New Roman" w:cs="Times New Roman"/>
        </w:rPr>
      </w:pPr>
    </w:p>
    <w:p w14:paraId="674078EF" w14:textId="77777777" w:rsidR="006D2E0C" w:rsidRDefault="00000000">
      <w:pPr>
        <w:numPr>
          <w:ilvl w:val="0"/>
          <w:numId w:val="2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Część 1 - Glinno, gm. Nowy Tomyśl, ul. Działkowa,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45 na podstawie warunków technicznych nr OD5/RD5/ZM/NW/WEO22E103443 z dn. 11.05.2022r. (załącznik nr 1.1) oraz orientacyjnej mapy lokalizacyjnej (załącznik nr 1.2)  - skablowanie istniejącej nad działką linii energetycznej napowietrznej SN</w:t>
      </w:r>
    </w:p>
    <w:p w14:paraId="2F6C4A4F" w14:textId="77777777" w:rsidR="006D2E0C" w:rsidRDefault="00000000">
      <w:pPr>
        <w:numPr>
          <w:ilvl w:val="0"/>
          <w:numId w:val="2"/>
        </w:num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Część 2 - Przyłęk, gm. Nowy Tomyśl,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535/17 na podstawie warunków technicznych nr OD5/RD5/ZM/NW/WEO22E05916 z dn. 11.03.2022r. (załącznik nr 2.1) oraz orientacyjnej mapy lokalizacyjnej (załącznik nr 2.2) - przestawienie istniejącego słupa  linię elektroenergetycznej NN na granicę pasa drogowego</w:t>
      </w:r>
    </w:p>
    <w:p w14:paraId="686B783C" w14:textId="77777777" w:rsidR="006D2E0C" w:rsidRDefault="006D2E0C">
      <w:pPr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7DF09732" w14:textId="32210506" w:rsidR="006D2E0C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3. Termin realizacji:</w:t>
      </w:r>
      <w:r w:rsidRPr="000438E5">
        <w:rPr>
          <w:rFonts w:ascii="Times New Roman" w:hAnsi="Times New Roman" w:cs="Times New Roman"/>
          <w:b/>
          <w:bCs/>
        </w:rPr>
        <w:t xml:space="preserve"> </w:t>
      </w:r>
      <w:r w:rsidR="000438E5" w:rsidRPr="000438E5">
        <w:rPr>
          <w:rFonts w:ascii="Times New Roman" w:hAnsi="Times New Roman" w:cs="Times New Roman"/>
          <w:b/>
          <w:bCs/>
        </w:rPr>
        <w:t>9 miesięcy</w:t>
      </w:r>
      <w:r w:rsidR="000438E5">
        <w:rPr>
          <w:rFonts w:ascii="Times New Roman" w:hAnsi="Times New Roman" w:cs="Times New Roman"/>
          <w:b/>
          <w:bCs/>
        </w:rPr>
        <w:t xml:space="preserve"> od dni zawarcia umowy</w:t>
      </w:r>
    </w:p>
    <w:p w14:paraId="11E54D9B" w14:textId="77777777" w:rsidR="006D2E0C" w:rsidRDefault="006D2E0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4DEF147" w14:textId="77777777" w:rsidR="006D2E0C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4. Uwarunkowania:</w:t>
      </w:r>
    </w:p>
    <w:p w14:paraId="17DAEC97" w14:textId="77777777" w:rsidR="006D2E0C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Zaleca się Wykonawcy przeprowadzenie wizji lokalnej przed przystąpieniem do udziału w postępowaniu przetargowym po uprzednim umówieniu wizyty z przedstawicielem Wydziału Infrastruktury i Drogowego Urzędu Miejskiego w Nowym Tomyślu pod numerem telefonu 61 44 26 641. </w:t>
      </w:r>
    </w:p>
    <w:p w14:paraId="44B30E62" w14:textId="77777777" w:rsidR="006D2E0C" w:rsidRDefault="006D2E0C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243BA1EA" w14:textId="77777777" w:rsidR="006D2E0C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zobowiązany jest do wykonania przedmiotu zamówienia przez osoby posiadające stosowne uprawnienia wg obowiązujących przepisów – min. 4 pracowników z uprawnieniami energetycznymi w zakresie eksploatacji „E”</w:t>
      </w:r>
    </w:p>
    <w:p w14:paraId="1EBF5F75" w14:textId="77777777" w:rsidR="006D2E0C" w:rsidRDefault="006D2E0C">
      <w:pPr>
        <w:spacing w:line="276" w:lineRule="auto"/>
        <w:jc w:val="both"/>
        <w:rPr>
          <w:rFonts w:ascii="Times New Roman" w:hAnsi="Times New Roman" w:cs="Times New Roman"/>
        </w:rPr>
      </w:pPr>
    </w:p>
    <w:p w14:paraId="2EBDCFFD" w14:textId="77777777" w:rsidR="006D2E0C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winien wykazać się możliwością korzystania z sprzętu koniecznego do realizacji zaprojektowanych robót – dźwig, 2 samochodowe podnośniki koszowe, 3 mini koparki.</w:t>
      </w:r>
    </w:p>
    <w:p w14:paraId="42E0F780" w14:textId="77777777" w:rsidR="006D2E0C" w:rsidRDefault="006D2E0C">
      <w:pPr>
        <w:spacing w:line="276" w:lineRule="auto"/>
        <w:jc w:val="both"/>
        <w:rPr>
          <w:rFonts w:ascii="Times New Roman" w:hAnsi="Times New Roman" w:cs="Times New Roman"/>
        </w:rPr>
      </w:pPr>
    </w:p>
    <w:p w14:paraId="4B83B421" w14:textId="77777777" w:rsidR="006D2E0C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Roboty budowlane powinny zostać wykonane w możliwie najszybszym czasie, stąd określono minimalne wymagania sprzętowe, aby ograniczyć do minimum ewentualne przerwy w dostawie energii elektrycznej do sąsiednich odbiorców, spowodowane wyłączeniem na czas prac.</w:t>
      </w:r>
    </w:p>
    <w:p w14:paraId="16A22C89" w14:textId="77777777" w:rsidR="006D2E0C" w:rsidRDefault="006D2E0C">
      <w:pPr>
        <w:spacing w:line="276" w:lineRule="auto"/>
        <w:jc w:val="both"/>
        <w:rPr>
          <w:rFonts w:ascii="Times New Roman" w:hAnsi="Times New Roman" w:cs="Times New Roman"/>
        </w:rPr>
      </w:pPr>
    </w:p>
    <w:p w14:paraId="66932F60" w14:textId="77777777" w:rsidR="006D2E0C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Wykonawca zobowiązany jest do udokumentowania </w:t>
      </w:r>
      <w:bookmarkStart w:id="0" w:name="__DdeLink__31_3810946318"/>
      <w:r>
        <w:rPr>
          <w:rFonts w:ascii="Times New Roman" w:hAnsi="Times New Roman" w:cs="Times New Roman"/>
        </w:rPr>
        <w:t xml:space="preserve">w przeciągu ostatnich 5 lat 3 robót polegających </w:t>
      </w:r>
      <w:bookmarkStart w:id="1" w:name="_Hlk126746669"/>
      <w:r>
        <w:rPr>
          <w:rFonts w:ascii="Times New Roman" w:hAnsi="Times New Roman" w:cs="Times New Roman"/>
        </w:rPr>
        <w:t>na usunięciu kolizji energetycznych SN lub NN o wartości 50.000,00 zł każda</w:t>
      </w:r>
      <w:bookmarkEnd w:id="0"/>
      <w:bookmarkEnd w:id="1"/>
    </w:p>
    <w:p w14:paraId="378D6B23" w14:textId="77777777" w:rsidR="006D2E0C" w:rsidRDefault="006D2E0C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475401D2" w14:textId="77777777" w:rsidR="006D2E0C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Wykonawca powinien uzyskać na swoją odpowiedzialność i ryzyko wszelkie istotne informacje, które mogą być konieczne do przygotowania oferty.</w:t>
      </w:r>
    </w:p>
    <w:p w14:paraId="7CD6A289" w14:textId="77777777" w:rsidR="006D2E0C" w:rsidRDefault="006D2E0C">
      <w:pPr>
        <w:spacing w:line="276" w:lineRule="auto"/>
        <w:jc w:val="both"/>
        <w:rPr>
          <w:rFonts w:ascii="Times New Roman" w:hAnsi="Times New Roman" w:cs="Times New Roman"/>
        </w:rPr>
      </w:pPr>
    </w:p>
    <w:p w14:paraId="51266C63" w14:textId="77777777" w:rsidR="006D2E0C" w:rsidRDefault="00000000">
      <w:pPr>
        <w:numPr>
          <w:ilvl w:val="0"/>
          <w:numId w:val="3"/>
        </w:num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Materiały do wykonania projektowanych instalacji należy dostarczyć wraz ze świadectwami jakości i dopuszczenia do obrotu, kartami gwarancyjnymi. Dostarczone materiały należy sprawdzać pod kątem kompletności i zgodności z  danymi wytwórcy.</w:t>
      </w:r>
    </w:p>
    <w:p w14:paraId="4A18ED4D" w14:textId="77777777" w:rsidR="006D2E0C" w:rsidRDefault="006D2E0C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</w:p>
    <w:p w14:paraId="39548CEC" w14:textId="77777777" w:rsidR="006D2E0C" w:rsidRDefault="00000000">
      <w:pPr>
        <w:numPr>
          <w:ilvl w:val="0"/>
          <w:numId w:val="3"/>
        </w:num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Projektowane i wykonywane instalacje muszą zapewnić wysoki stopień bezpieczeństwa i niezawodności, bezpieczeństwo osób postronnych oraz użytkowanie instalacji zgodnie z przepisami praw i normami.</w:t>
      </w:r>
    </w:p>
    <w:p w14:paraId="7BAF0D6D" w14:textId="77777777" w:rsidR="006D2E0C" w:rsidRDefault="006D2E0C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</w:p>
    <w:p w14:paraId="05A30AAF" w14:textId="77777777" w:rsidR="006D2E0C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prowadzenia robót zgodnie z obowiązującymi przepisami BHP. Do obowiązków wykonawcy należy również przestrzeganie przepisów ochrony przeciwpożarowej oraz utrzymanie sprawności sprzętu przeciwpożarowego na terenie robót.</w:t>
      </w:r>
    </w:p>
    <w:p w14:paraId="5ADD8742" w14:textId="77777777" w:rsidR="006D2E0C" w:rsidRDefault="006D2E0C">
      <w:pPr>
        <w:spacing w:after="160" w:line="276" w:lineRule="auto"/>
        <w:rPr>
          <w:rFonts w:hint="eastAsia"/>
        </w:rPr>
      </w:pPr>
    </w:p>
    <w:p w14:paraId="7F9AC4D7" w14:textId="77777777" w:rsidR="006D2E0C" w:rsidRDefault="00000000">
      <w:pPr>
        <w:spacing w:after="160" w:line="276" w:lineRule="auto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5. KOD CPV </w:t>
      </w:r>
      <w:r>
        <w:rPr>
          <w:rFonts w:ascii="Times New Roman" w:hAnsi="Times New Roman"/>
          <w:color w:val="000000"/>
        </w:rPr>
        <w:t xml:space="preserve">- </w:t>
      </w:r>
      <w:hyperlink r:id="rId6">
        <w:r>
          <w:rPr>
            <w:rStyle w:val="czeinternetowe"/>
            <w:rFonts w:ascii="Times New Roman" w:hAnsi="Times New Roman"/>
            <w:color w:val="000000"/>
          </w:rPr>
          <w:t>45231400-9</w:t>
        </w:r>
      </w:hyperlink>
      <w:r>
        <w:rPr>
          <w:rFonts w:ascii="Times New Roman" w:hAnsi="Times New Roman"/>
          <w:color w:val="000000"/>
        </w:rPr>
        <w:t xml:space="preserve"> - Roboty budowlane w zakresie budowy linii energetycznych </w:t>
      </w:r>
    </w:p>
    <w:sectPr w:rsidR="006D2E0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E6C"/>
    <w:multiLevelType w:val="multilevel"/>
    <w:tmpl w:val="124A1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F94DD6"/>
    <w:multiLevelType w:val="multilevel"/>
    <w:tmpl w:val="93DE3D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27252B"/>
    <w:multiLevelType w:val="multilevel"/>
    <w:tmpl w:val="1E8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FD7426"/>
    <w:multiLevelType w:val="multilevel"/>
    <w:tmpl w:val="39AE57C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num w:numId="1" w16cid:durableId="121117117">
    <w:abstractNumId w:val="2"/>
  </w:num>
  <w:num w:numId="2" w16cid:durableId="319816360">
    <w:abstractNumId w:val="3"/>
  </w:num>
  <w:num w:numId="3" w16cid:durableId="1561096147">
    <w:abstractNumId w:val="0"/>
  </w:num>
  <w:num w:numId="4" w16cid:durableId="77216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0C"/>
    <w:rsid w:val="000438E5"/>
    <w:rsid w:val="00345CDB"/>
    <w:rsid w:val="00674D3E"/>
    <w:rsid w:val="006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99D7"/>
  <w15:docId w15:val="{021AA736-BCA8-40F5-840D-B5D26AF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ascii="Times New Roman" w:hAnsi="Times New Roman" w:cs="OpenSymbol"/>
      <w:sz w:val="24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ascii="Times New Roman" w:hAnsi="Times New Roman" w:cs="OpenSymbol"/>
      <w:sz w:val="24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448">
    <w:name w:val="ListLabel 448"/>
    <w:qFormat/>
    <w:rPr>
      <w:rFonts w:ascii="Times New Roman" w:hAnsi="Times New Roman"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467">
    <w:name w:val="ListLabel 467"/>
    <w:qFormat/>
    <w:rPr>
      <w:rFonts w:ascii="Times New Roman" w:hAnsi="Times New Roman" w:cs="OpenSymbol"/>
      <w:sz w:val="24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roboty-budowlane-w-zakresie-budowy-linii-energetycznych-6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4</cp:revision>
  <cp:lastPrinted>2022-05-31T08:37:00Z</cp:lastPrinted>
  <dcterms:created xsi:type="dcterms:W3CDTF">2023-02-08T09:40:00Z</dcterms:created>
  <dcterms:modified xsi:type="dcterms:W3CDTF">2023-02-08T11:41:00Z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