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rPr/>
        <w:drawing>
          <wp:inline distT="0" distB="0" distL="0" distR="0">
            <wp:extent cx="644525" cy="719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54" r="-6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>
        <w:rPr/>
        <w:drawing>
          <wp:inline distT="0" distB="0" distL="0" distR="0">
            <wp:extent cx="856615" cy="72009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9" t="-129" r="-10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  <w:u w:val="none"/>
          <w:lang w:eastAsia="ar-SA"/>
        </w:rPr>
        <w:t>Projekt: „Cieszyn – miasto samowystarczalne” jest finansowany ze środków Norweskiego Mechanizmu Finansowego 2014-2021 w ramach programu „Rozwój lokalny".</w:t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>Wykonanie nasadzeń krzewów i bylin wraz z pielęgnacją istniejącego drzewostanu wzdłuż ul. Bielskiej w Cieszynie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, 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 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Oświadczam/my, że spełniam/my warunki udziału w postępowaniu określone przez zamawiającego w specyfikacji warunków zamówienia w punkcie 5.1.4.4 SWZ.:</w:t>
      </w:r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w zakresie zdolności technicznej lub zawodowej: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/>
        </w:rPr>
      </w:pPr>
      <w:r>
        <w:rPr>
          <w:rFonts w:eastAsia="Constantia" w:ascii="Times New Roman" w:hAnsi="Times New Roman"/>
          <w:b w:val="false"/>
          <w:bCs w:val="false"/>
          <w:color w:val="00000A"/>
          <w:position w:val="0"/>
          <w:sz w:val="24"/>
          <w:sz w:val="24"/>
          <w:szCs w:val="24"/>
          <w:u w:val="none"/>
          <w:vertAlign w:val="baseline"/>
          <w:lang w:val="pl-PL" w:eastAsia="ar-SA" w:bidi="zxx"/>
        </w:rPr>
        <w:t>skieruje</w:t>
      </w:r>
      <w:r>
        <w:rPr>
          <w:rFonts w:ascii="Times New Roman" w:hAnsi="Times New Roman"/>
          <w:color w:val="00000A"/>
          <w:sz w:val="24"/>
        </w:rPr>
        <w:t xml:space="preserve"> do realizacji osobę posiadającą wykształcenie wyższe na kierunku: ochrona środowiska lub ogrodnictwo lub leśnictwo lub rolnictwo lub architektura krajobrazu, która będzie sprawować nadzór dendrologiczny nad robotami w zakresie terenów zieleni (wycinka, pielęgnacja, nasadzenia i ochrona drzew).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36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>Imię i nazwisko ………………………………...</w:t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 w:cs="Times New Roman"/>
          <w:b/>
          <w:color w:val="00000A"/>
          <w:kern w:val="2"/>
          <w:lang w:eastAsia="zh-CN"/>
        </w:rPr>
      </w:pPr>
      <w:r>
        <w:rPr>
          <w:rFonts w:cs="Times New Roman" w:ascii="Times New Roman" w:hAnsi="Times New Roman"/>
          <w:b/>
          <w:color w:val="00000A"/>
          <w:kern w:val="2"/>
          <w:lang w:eastAsia="zh-CN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1611" w:leader="none"/>
          <w:tab w:val="left" w:pos="3120" w:leader="none"/>
          <w:tab w:val="left" w:pos="14520" w:leader="none"/>
          <w:tab w:val="left" w:pos="15600" w:leader="none"/>
          <w:tab w:val="left" w:pos="17217" w:leader="none"/>
        </w:tabs>
        <w:suppressAutoHyphens w:val="true"/>
        <w:bidi w:val="0"/>
        <w:spacing w:lineRule="auto" w:line="247" w:before="60" w:after="0"/>
        <w:ind w:hanging="0" w:left="737" w:right="0"/>
        <w:jc w:val="both"/>
        <w:textAlignment w:val="baseline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cs="Times New Roman" w:ascii="Times New Roman" w:hAnsi="Times New Roman"/>
          <w:b/>
          <w:iCs/>
          <w:sz w:val="24"/>
          <w:szCs w:val="24"/>
        </w:rPr>
        <w:t>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454" w:right="0"/>
        <w:jc w:val="both"/>
        <w:textAlignment w:val="baseline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auto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oświadczam, że nie podlegam wykluczeniu z postępowania na podstawie art 7 ust.1 ustawy z dnia 13 kwietnia 2022 o szczególnych rozwiązaniach w zakresie przeciwdziałania wspieraniu agresji na Ukrainie oraz służących ochronie bezpieczeństwa narodowego (Dz.U. z 2022, poz. 835).</w:t>
      </w:r>
    </w:p>
    <w:p>
      <w:pPr>
        <w:pStyle w:val="ListParagraph"/>
        <w:spacing w:lineRule="auto" w:line="360" w:before="0" w:after="0"/>
        <w:ind w:hanging="0" w:left="0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(podać mającą zastosowanie podstawę wykluczenia spośród wymienionych w art. 108 ust. 1 pkt 1, 2, 5 lub 6 ustawy Pzp.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default" r:id="rId4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</w:r>
  </w:p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ZPIF.271.1.2.2024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LibreOffice/7.6.2.1$Windows_X86_64 LibreOffice_project/56f7684011345957bbf33a7ee678afaf4d2ba333</Application>
  <AppVersion>15.0000</AppVersion>
  <Pages>4</Pages>
  <Words>718</Words>
  <Characters>5142</Characters>
  <CharactersWithSpaces>5961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2024-01-10T13:41:46Z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