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210" w:rsidRDefault="00E00210" w:rsidP="00E00210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>Załącznik nr 2 do umowy nr    …………………………</w:t>
      </w:r>
    </w:p>
    <w:p w:rsidR="00E00210" w:rsidRDefault="00E00210" w:rsidP="00E00210">
      <w:pPr>
        <w:pStyle w:val="Tekstpodstawowy"/>
        <w:spacing w:before="240"/>
        <w:rPr>
          <w:rFonts w:ascii="Arial" w:hAnsi="Arial" w:cs="Arial"/>
          <w:b/>
          <w:sz w:val="22"/>
          <w:szCs w:val="22"/>
        </w:rPr>
      </w:pPr>
    </w:p>
    <w:p w:rsidR="00E00210" w:rsidRDefault="00E00210" w:rsidP="00E00210">
      <w:pPr>
        <w:pStyle w:val="Tekstpodstawowy"/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SZCZEGÓŁOWY </w:t>
      </w:r>
      <w:bookmarkStart w:id="0" w:name="_GoBack"/>
      <w:bookmarkEnd w:id="0"/>
      <w:r>
        <w:rPr>
          <w:rFonts w:ascii="Arial" w:hAnsi="Arial" w:cs="Arial"/>
          <w:b/>
        </w:rPr>
        <w:t>ZAKRES RZECZOWY PRAC W RAMACH KOSZTÓW OGÓLNYCH</w:t>
      </w:r>
    </w:p>
    <w:p w:rsidR="00E00210" w:rsidRDefault="00E00210" w:rsidP="00E00210">
      <w:pPr>
        <w:pStyle w:val="Tekstpodstawowy"/>
        <w:jc w:val="center"/>
        <w:rPr>
          <w:rFonts w:ascii="Arial" w:hAnsi="Arial" w:cs="Arial"/>
          <w:b/>
        </w:rPr>
      </w:pPr>
    </w:p>
    <w:p w:rsidR="00E00210" w:rsidRDefault="00E00210" w:rsidP="00E00210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01839</w:t>
      </w:r>
    </w:p>
    <w:p w:rsidR="00E00210" w:rsidRDefault="00E00210" w:rsidP="00E00210">
      <w:pPr>
        <w:pStyle w:val="Tekstpodstawowy"/>
        <w:jc w:val="center"/>
        <w:rPr>
          <w:rFonts w:ascii="Arial" w:hAnsi="Arial" w:cs="Arial"/>
          <w:b/>
        </w:rPr>
      </w:pPr>
    </w:p>
    <w:p w:rsidR="00E00210" w:rsidRDefault="00E00210" w:rsidP="00E00210">
      <w:pPr>
        <w:pStyle w:val="Tekstpodstawowy"/>
        <w:jc w:val="center"/>
        <w:rPr>
          <w:rFonts w:ascii="Arial" w:hAnsi="Arial" w:cs="Arial"/>
          <w:b/>
        </w:rPr>
      </w:pPr>
    </w:p>
    <w:p w:rsidR="00E00210" w:rsidRDefault="00E00210" w:rsidP="00E0021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E00210">
        <w:rPr>
          <w:rFonts w:ascii="Arial" w:hAnsi="Arial" w:cs="Arial"/>
          <w:b/>
        </w:rPr>
        <w:t>„WARSZAWA SRGeo Remont korytarzy i pomieszczeń biurowych w budynku nr 1”</w:t>
      </w:r>
      <w:r>
        <w:rPr>
          <w:rFonts w:ascii="Arial" w:hAnsi="Arial" w:cs="Arial"/>
          <w:b/>
        </w:rPr>
        <w:t>.</w:t>
      </w:r>
    </w:p>
    <w:p w:rsidR="00E00210" w:rsidRDefault="00E00210" w:rsidP="00E0021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E00210" w:rsidRDefault="00E00210" w:rsidP="00E00210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E00210" w:rsidRDefault="00E00210" w:rsidP="00E0021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Zakres prac do wykonania związanych z realizacją przedmiotu umowy, </w:t>
      </w:r>
      <w:r>
        <w:rPr>
          <w:rFonts w:ascii="Arial" w:hAnsi="Arial" w:cs="Arial"/>
          <w:b/>
        </w:rPr>
        <w:br/>
        <w:t>w ramach kosztów ogólnych:</w:t>
      </w:r>
    </w:p>
    <w:p w:rsidR="00E00210" w:rsidRDefault="00E00210" w:rsidP="00E00210">
      <w:pPr>
        <w:pStyle w:val="Akapitzlist"/>
        <w:numPr>
          <w:ilvl w:val="1"/>
          <w:numId w:val="1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Zatrudnienie </w:t>
      </w:r>
      <w:r>
        <w:rPr>
          <w:rFonts w:ascii="Arial" w:hAnsi="Arial" w:cs="Arial"/>
          <w:color w:val="000000" w:themeColor="text1"/>
          <w:spacing w:val="-4"/>
        </w:rPr>
        <w:t>kierownika budowy i kierowanie robotami budowlanymi;</w:t>
      </w:r>
    </w:p>
    <w:p w:rsidR="00E00210" w:rsidRDefault="00E00210" w:rsidP="00E00210">
      <w:pPr>
        <w:pStyle w:val="Akapitzlist"/>
        <w:numPr>
          <w:ilvl w:val="1"/>
          <w:numId w:val="1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pacing w:val="-4"/>
        </w:rPr>
        <w:t xml:space="preserve">Zatrudnienie </w:t>
      </w:r>
      <w:r>
        <w:rPr>
          <w:rFonts w:ascii="Arial" w:hAnsi="Arial" w:cs="Arial"/>
        </w:rPr>
        <w:t xml:space="preserve">kierowników robót w poszczególnych branżach </w:t>
      </w:r>
      <w:r>
        <w:rPr>
          <w:rFonts w:ascii="Arial" w:hAnsi="Arial" w:cs="Arial"/>
        </w:rPr>
        <w:br/>
        <w:t>i kierowanie robotami w branżach</w:t>
      </w:r>
      <w:r>
        <w:rPr>
          <w:rFonts w:ascii="Arial" w:hAnsi="Arial" w:cs="Arial"/>
          <w:sz w:val="22"/>
          <w:szCs w:val="22"/>
        </w:rPr>
        <w:t>;</w:t>
      </w:r>
    </w:p>
    <w:p w:rsidR="00E00210" w:rsidRDefault="00E00210" w:rsidP="00E00210">
      <w:pPr>
        <w:pStyle w:val="Akapitzlist"/>
        <w:numPr>
          <w:ilvl w:val="1"/>
          <w:numId w:val="1"/>
        </w:numPr>
        <w:ind w:left="993"/>
        <w:jc w:val="both"/>
        <w:rPr>
          <w:rFonts w:ascii="Arial" w:hAnsi="Arial" w:cs="Arial"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  <w:spacing w:val="-4"/>
        </w:rPr>
        <w:t xml:space="preserve">Zapewnienie zaplecza budowy na terenie robót; </w:t>
      </w:r>
    </w:p>
    <w:p w:rsidR="00E00210" w:rsidRDefault="00E00210" w:rsidP="00E00210">
      <w:pPr>
        <w:pStyle w:val="Akapitzlist"/>
        <w:numPr>
          <w:ilvl w:val="1"/>
          <w:numId w:val="1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Przeprowadzenie </w:t>
      </w:r>
      <w:r>
        <w:rPr>
          <w:rFonts w:ascii="Arial" w:hAnsi="Arial" w:cs="Arial"/>
          <w:color w:val="000000" w:themeColor="text1"/>
          <w:spacing w:val="-4"/>
        </w:rPr>
        <w:t>szkolenia pracowników w zakresie BHP;</w:t>
      </w:r>
    </w:p>
    <w:p w:rsidR="00E00210" w:rsidRDefault="00E00210" w:rsidP="00E00210">
      <w:pPr>
        <w:pStyle w:val="Akapitzlist"/>
        <w:numPr>
          <w:ilvl w:val="1"/>
          <w:numId w:val="1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Organizacja, uporządkowanie i likwidacja (wraz przywróceniem </w:t>
      </w:r>
      <w:r>
        <w:rPr>
          <w:rFonts w:ascii="Arial" w:hAnsi="Arial" w:cs="Arial"/>
          <w:color w:val="000000" w:themeColor="text1"/>
        </w:rPr>
        <w:br/>
        <w:t>do stanu pierwotnego) Terenu Budowy;</w:t>
      </w:r>
    </w:p>
    <w:p w:rsidR="00E00210" w:rsidRDefault="00E00210" w:rsidP="00E00210">
      <w:pPr>
        <w:pStyle w:val="Akapitzlist"/>
        <w:numPr>
          <w:ilvl w:val="1"/>
          <w:numId w:val="1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Zapewnienie na Terenie Budowy pojemników lub sprzętu niezbędnego do składowania odpadów; </w:t>
      </w:r>
    </w:p>
    <w:p w:rsidR="00E00210" w:rsidRDefault="00E00210" w:rsidP="00E00210">
      <w:pPr>
        <w:pStyle w:val="Akapitzlist"/>
        <w:numPr>
          <w:ilvl w:val="1"/>
          <w:numId w:val="1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Zagospodarowanie wytworzonych odpadów we własnym zakresie, </w:t>
      </w:r>
      <w:r>
        <w:rPr>
          <w:rFonts w:ascii="Arial" w:hAnsi="Arial" w:cs="Arial"/>
          <w:color w:val="000000" w:themeColor="text1"/>
        </w:rPr>
        <w:br/>
        <w:t xml:space="preserve">ich segregowanie i systematyczne usuwanie oraz </w:t>
      </w:r>
      <w:r>
        <w:rPr>
          <w:rFonts w:ascii="Arial" w:hAnsi="Arial" w:cs="Arial"/>
          <w:color w:val="000000" w:themeColor="text1"/>
          <w:spacing w:val="-3"/>
        </w:rPr>
        <w:t xml:space="preserve">wydanie </w:t>
      </w:r>
      <w:r>
        <w:rPr>
          <w:rFonts w:ascii="Arial" w:hAnsi="Arial" w:cs="Arial"/>
          <w:iCs/>
          <w:color w:val="000000" w:themeColor="text1"/>
          <w:spacing w:val="-3"/>
        </w:rPr>
        <w:t>Zamawiającemu</w:t>
      </w:r>
      <w:r>
        <w:rPr>
          <w:rFonts w:ascii="Arial" w:hAnsi="Arial" w:cs="Arial"/>
          <w:color w:val="000000" w:themeColor="text1"/>
          <w:spacing w:val="-3"/>
        </w:rPr>
        <w:t xml:space="preserve"> karty przekazania odpadów (dalej ”KPO”);</w:t>
      </w:r>
    </w:p>
    <w:p w:rsidR="00E00210" w:rsidRDefault="00E00210" w:rsidP="00E00210">
      <w:pPr>
        <w:pStyle w:val="Akapitzlist"/>
        <w:numPr>
          <w:ilvl w:val="1"/>
          <w:numId w:val="1"/>
        </w:numPr>
        <w:overflowPunct w:val="0"/>
        <w:autoSpaceDE w:val="0"/>
        <w:autoSpaceDN w:val="0"/>
        <w:adjustRightInd w:val="0"/>
        <w:ind w:left="993" w:hanging="709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>Utylizacja odpadów powstałych w wyniku prowadzenia robót budowlanych;</w:t>
      </w:r>
    </w:p>
    <w:p w:rsidR="00E00210" w:rsidRDefault="00E00210" w:rsidP="00E00210">
      <w:pPr>
        <w:pStyle w:val="Akapitzlist"/>
        <w:numPr>
          <w:ilvl w:val="1"/>
          <w:numId w:val="1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>Zapewnienie geodezyjnej obsługi budowy i montażu obiektu budowlanego obejmującą tyczenie i pomiary kontrolne tych elementów obiektu, których dokładność usytuowania bez pomiarów geodezyjnych nie zapewni prawidłowego wykonania obiektu;</w:t>
      </w:r>
    </w:p>
    <w:p w:rsidR="00E00210" w:rsidRDefault="00E00210" w:rsidP="00E00210">
      <w:pPr>
        <w:pStyle w:val="Akapitzlist"/>
        <w:numPr>
          <w:ilvl w:val="1"/>
          <w:numId w:val="1"/>
        </w:numPr>
        <w:tabs>
          <w:tab w:val="left" w:pos="-426"/>
        </w:tabs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 xml:space="preserve">Geodezyjne wyznaczenie w terenie obiektów budowlanych zgodnie </w:t>
      </w:r>
      <w:r>
        <w:rPr>
          <w:rFonts w:ascii="Arial" w:hAnsi="Arial" w:cs="Arial"/>
          <w:color w:val="000000" w:themeColor="text1"/>
        </w:rPr>
        <w:br/>
        <w:t>z projektem budowlanym przez podmioty posiadające niezbędne uprawnienia zawodowe w tym zakresie;</w:t>
      </w:r>
    </w:p>
    <w:p w:rsidR="00E00210" w:rsidRDefault="00E00210" w:rsidP="00E00210">
      <w:pPr>
        <w:pStyle w:val="Akapitzlist"/>
        <w:numPr>
          <w:ilvl w:val="1"/>
          <w:numId w:val="1"/>
        </w:numPr>
        <w:tabs>
          <w:tab w:val="left" w:pos="-426"/>
        </w:tabs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>Wykonanie naprawy uszkodzonych instalacji, z winy Wykonawcy, na koszt własny;</w:t>
      </w:r>
    </w:p>
    <w:p w:rsidR="00E00210" w:rsidRDefault="00E00210" w:rsidP="00E00210">
      <w:pPr>
        <w:pStyle w:val="Akapitzlist"/>
        <w:numPr>
          <w:ilvl w:val="1"/>
          <w:numId w:val="1"/>
        </w:numPr>
        <w:tabs>
          <w:tab w:val="left" w:pos="993"/>
        </w:tabs>
        <w:ind w:left="99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Realizowanie i zabezpieczenie robót w taki sposób, by nie zakłócić funkcjonowania obiektu oraz zapewnić bezpieczne poruszanie się po obiekcie i terenie;</w:t>
      </w:r>
    </w:p>
    <w:p w:rsidR="00E00210" w:rsidRDefault="00E00210" w:rsidP="00E00210">
      <w:pPr>
        <w:pStyle w:val="Akapitzlist"/>
        <w:numPr>
          <w:ilvl w:val="1"/>
          <w:numId w:val="1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 xml:space="preserve">Prowadzenie wpisów do Dziennika budowy dotyczących rejestrowania czynności geodezyjnych i wykonanie pomiarów geodezyjnych </w:t>
      </w:r>
      <w:r>
        <w:rPr>
          <w:rFonts w:ascii="Arial" w:hAnsi="Arial" w:cs="Arial"/>
          <w:color w:val="000000" w:themeColor="text1"/>
        </w:rPr>
        <w:br/>
        <w:t>na żądanie nadzoru inwestorskiego lub autorskiego oraz udostępnianie wyników pomiarów;</w:t>
      </w:r>
    </w:p>
    <w:p w:rsidR="00E00210" w:rsidRDefault="00E00210" w:rsidP="00E00210">
      <w:pPr>
        <w:pStyle w:val="Akapitzlist"/>
        <w:numPr>
          <w:ilvl w:val="1"/>
          <w:numId w:val="1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>Ochrona punktów osnowy geodezyjnej oraz pomiarowej, a w przypadku ich uszkodzenia lub zniszczenia ich odnowienie;</w:t>
      </w:r>
    </w:p>
    <w:p w:rsidR="00E00210" w:rsidRDefault="00E00210" w:rsidP="00E00210">
      <w:pPr>
        <w:pStyle w:val="Akapitzlist"/>
        <w:numPr>
          <w:ilvl w:val="1"/>
          <w:numId w:val="1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</w:rPr>
        <w:t xml:space="preserve">Zamontowanie na koszt własny podliczników na podstawie których nastąpi rozliczenie zużycia mediów (wody, energii elektrycznej </w:t>
      </w:r>
      <w:r>
        <w:rPr>
          <w:rFonts w:ascii="Arial" w:hAnsi="Arial" w:cs="Arial"/>
        </w:rPr>
        <w:br/>
        <w:t>i cieplnej, odprowadzenia ścieków) lub spisania (w formie notatki) z Administratorem określającej szacunkowej ilość poszczególnych mediów w przypadku braku możliwości zamontowania własnych podliczników;</w:t>
      </w:r>
    </w:p>
    <w:p w:rsidR="00E00210" w:rsidRDefault="00E00210" w:rsidP="00E00210">
      <w:pPr>
        <w:pStyle w:val="Akapitzlist"/>
        <w:numPr>
          <w:ilvl w:val="1"/>
          <w:numId w:val="1"/>
        </w:numPr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Utrzymywanie w czystości dróg dojazdowych do Terenu Budowy i  zabezpieczenie dróg prowadzących do Terenu Budowy przed uszkodzeniem;</w:t>
      </w:r>
    </w:p>
    <w:p w:rsidR="00E00210" w:rsidRDefault="00E00210" w:rsidP="00E00210">
      <w:pPr>
        <w:pStyle w:val="Akapitzlist"/>
        <w:numPr>
          <w:ilvl w:val="1"/>
          <w:numId w:val="1"/>
        </w:numPr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Odtworzenie po zakończeniu robót budowlanych zniszczonej zieleni niskiej, w tym trawników, bylin i krzewów, w przypadku gdy takie nasadzenia nie zostały przewidziane w projekcie zagospodarowania terenu.</w:t>
      </w:r>
    </w:p>
    <w:p w:rsidR="00E00210" w:rsidRDefault="00E00210" w:rsidP="00E00210">
      <w:pPr>
        <w:pStyle w:val="Akapitzlist"/>
        <w:ind w:left="709"/>
        <w:jc w:val="both"/>
        <w:rPr>
          <w:rFonts w:ascii="Arial" w:hAnsi="Arial" w:cs="Arial"/>
          <w:b/>
        </w:rPr>
      </w:pPr>
    </w:p>
    <w:p w:rsidR="00E00210" w:rsidRDefault="00E00210" w:rsidP="00E00210">
      <w:pPr>
        <w:pStyle w:val="Akapitzlist"/>
        <w:numPr>
          <w:ilvl w:val="0"/>
          <w:numId w:val="2"/>
        </w:numPr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prac do wykonania związanych z odbiorem przedmiotu umowy i wykonaniem dokumentacji powykonawczej, w ramach kosztów ogólnych: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dokumentacji powykonawczej, zgodnie z </w:t>
      </w:r>
      <w:r>
        <w:rPr>
          <w:rFonts w:ascii="Arial" w:hAnsi="Arial" w:cs="Arial"/>
          <w:color w:val="000000" w:themeColor="text1"/>
        </w:rPr>
        <w:t>Regulaminem prac komisji odbioru zadań inwestycyjnych i remontowych SZI;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Uzyskanie wszelkich decyzji, zawiadomień, pozwoleń, uzgodnień, oświadczeń, postanowień, certyfikatów niezbędnych do oddania obiektu do użytkowania, uzyskanie pozwolenia na użytkowanie;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Przeprowadzenie niezbędnych prób sprawdzających prawidłowe funkcjonowanie instalacji, urządzeń, itp. wraz </w:t>
      </w:r>
      <w:r>
        <w:rPr>
          <w:rFonts w:ascii="Arial" w:hAnsi="Arial" w:cs="Arial"/>
        </w:rPr>
        <w:br/>
        <w:t>z udokumentowaniem ich wyników;</w:t>
      </w:r>
    </w:p>
    <w:p w:rsidR="00E00210" w:rsidRDefault="00E00210" w:rsidP="00E00210">
      <w:pPr>
        <w:pStyle w:val="Akapitzlist"/>
        <w:numPr>
          <w:ilvl w:val="1"/>
          <w:numId w:val="2"/>
        </w:numPr>
        <w:tabs>
          <w:tab w:val="left" w:pos="1134"/>
        </w:tabs>
        <w:ind w:left="993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>Wykonanie wszystkich wymaganych pomiarów instalacji, analiz</w:t>
      </w:r>
      <w:r>
        <w:rPr>
          <w:rFonts w:ascii="Arial" w:hAnsi="Arial" w:cs="Arial"/>
        </w:rPr>
        <w:br/>
        <w:t>(</w:t>
      </w:r>
      <w:r>
        <w:rPr>
          <w:rFonts w:ascii="Arial" w:hAnsi="Arial" w:cs="Arial"/>
          <w:spacing w:val="-4"/>
        </w:rPr>
        <w:t xml:space="preserve">w szczególności </w:t>
      </w:r>
      <w:r>
        <w:rPr>
          <w:rFonts w:ascii="Arial" w:hAnsi="Arial" w:cs="Arial"/>
        </w:rPr>
        <w:t xml:space="preserve">badania wody </w:t>
      </w:r>
      <w:r>
        <w:rPr>
          <w:rFonts w:ascii="Arial" w:hAnsi="Arial" w:cs="Arial"/>
          <w:spacing w:val="-4"/>
        </w:rPr>
        <w:t>,pomiarów przepływów, wydatków, ciśnień, temperatur, wilgotności, poziomów głośności, wielkości elektrycznych itp.);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Opracowanie świadectwa charakterystyki energetycznej obiektu (jeżeli będzie to wymagane przepisami prawa);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instrukcji ppoż. oraz scenariusza ppoż. lub ich aktualizacji; (w przypadku posiadania przez Użytkownika) – jeżeli będzie wymagane;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Opracowanie arkusza efektów gospodarczych;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Realizacja obowiązków wynikająca z ustawy z dnia 15.05.2015 r. </w:t>
      </w:r>
      <w:r>
        <w:rPr>
          <w:rFonts w:ascii="Arial" w:hAnsi="Arial" w:cs="Arial"/>
        </w:rPr>
        <w:br/>
        <w:t>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:rsidR="00E00210" w:rsidRDefault="00E00210" w:rsidP="00E00210">
      <w:pPr>
        <w:pStyle w:val="Akapitzlist"/>
        <w:numPr>
          <w:ilvl w:val="2"/>
          <w:numId w:val="2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t>Założenie i prowadzenie dokumentacji w formie Kart Urządzeń lub Kart Systemów Ochrony Przeciwpożarowej, które następnie Wykonawca przekaże Zamawiającemu po odbiorze końcowym;</w:t>
      </w:r>
    </w:p>
    <w:p w:rsidR="00E00210" w:rsidRDefault="00E00210" w:rsidP="00E00210">
      <w:pPr>
        <w:pStyle w:val="Akapitzlist"/>
        <w:numPr>
          <w:ilvl w:val="2"/>
          <w:numId w:val="2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Zapewnienie, w tym również w okresie udzielonej gwarancji, wykonywania konserwacji, serwisu, napraw oraz kontroli szczelności pod względem wycieków przez personel o którym mowa w art. 20 i 30 wyżej wymienionej ustawy;</w:t>
      </w:r>
    </w:p>
    <w:p w:rsidR="00E00210" w:rsidRDefault="00E00210" w:rsidP="00E00210">
      <w:pPr>
        <w:pStyle w:val="Akapitzlist"/>
        <w:numPr>
          <w:ilvl w:val="2"/>
          <w:numId w:val="2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t>Oznakowanie urządzeń lub systemów ochrony przeciwpożarowej;</w:t>
      </w:r>
    </w:p>
    <w:p w:rsidR="00E00210" w:rsidRDefault="00E00210" w:rsidP="00E00210">
      <w:pPr>
        <w:pStyle w:val="Akapitzlist"/>
        <w:numPr>
          <w:ilvl w:val="2"/>
          <w:numId w:val="2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Posiadanie aktualnej autoryzacji producenta dla urządzeń o których mowa w niniejszym punkcie, które będą montowane, o ile producent takiej autoryzacji udziela (niezbędne, odpowiednie i aktualne certyfikaty uprawniające do serwisu tych urządzeń);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Opracowanie dowodów urządzeń zgodnie z wytycznymi Administratora i Użytkownika;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Opracowanie wykazu środków trwałych;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zestawień ilościowych ukompletowania zamontowanych systemów, dla każdego z systemu oddzielnie </w:t>
      </w:r>
      <w:r>
        <w:rPr>
          <w:rFonts w:ascii="Arial" w:hAnsi="Arial" w:cs="Arial"/>
        </w:rPr>
        <w:br/>
        <w:t>z uwzględnieniem danych charakterystycznych urządzeń tj. typ, model, producent, nr seryjny, gabaryty;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Opracowanie wykazu urządzeń podlegających okresowej konserwacji wraz z podaniem czasookresów wymaganych przez producenta urządzenia;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książek rejestrów zdarzeń oraz konserwacji </w:t>
      </w:r>
      <w:r>
        <w:rPr>
          <w:rFonts w:ascii="Arial" w:hAnsi="Arial" w:cs="Arial"/>
        </w:rPr>
        <w:br/>
        <w:t>dla poszczególnych systemów;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karty gwarancyjnej na zakres prac ujętych w umowie, uwzględniającej okres prowadzenia konserwacji i czas na jaki zastała udzielona gwarancja wraz z numerem kontaktowym serwisu pod który należy zgłaszać usterki;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Dostarczenie deklaracji Wykonawcy o wykonaniu systemów zgodnie z obowiązującymi przepisami;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i dostarczenie podpisanych przez Użytkownika protokołów szkoleń z zamontowanych systemów, protokołów </w:t>
      </w:r>
      <w:r>
        <w:rPr>
          <w:rFonts w:ascii="Arial" w:hAnsi="Arial" w:cs="Arial"/>
        </w:rPr>
        <w:br/>
        <w:t>z uruchomień i sprawdzeń poprawności działania i funkcjonowania;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Dostarczenie wszelkich niezbędnych protokołów badań </w:t>
      </w:r>
      <w:r>
        <w:rPr>
          <w:rFonts w:ascii="Arial" w:hAnsi="Arial" w:cs="Arial"/>
        </w:rPr>
        <w:br/>
        <w:t>i sprawdzeń wymaganych przez producenta danego urządzenia;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Dostarczenie potwierdzenia przekazania kodów systemu </w:t>
      </w:r>
      <w:r>
        <w:rPr>
          <w:rFonts w:ascii="Arial" w:hAnsi="Arial" w:cs="Arial"/>
        </w:rPr>
        <w:br/>
        <w:t>do kancelarii Użytkownika;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Założenie książki obiektu budowlanego (wg potrzeb);</w:t>
      </w:r>
    </w:p>
    <w:p w:rsidR="00E00210" w:rsidRDefault="00E00210" w:rsidP="00E00210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12 miesięcznego serwisu gwarancyjnego </w:t>
      </w:r>
      <w:r>
        <w:rPr>
          <w:rFonts w:ascii="Arial" w:hAnsi="Arial" w:cs="Arial"/>
        </w:rPr>
        <w:br/>
        <w:t>i konserwacji urządzeń wchodzących w skład przedmiotu umowy, począwszy od dnia spisania „Protokołu komisyjnego odbioru końcowego”.</w:t>
      </w:r>
    </w:p>
    <w:p w:rsidR="00E00210" w:rsidRDefault="00E00210" w:rsidP="00E00210">
      <w:pPr>
        <w:jc w:val="both"/>
        <w:rPr>
          <w:rFonts w:ascii="Arial" w:hAnsi="Arial" w:cs="Arial"/>
        </w:rPr>
      </w:pPr>
    </w:p>
    <w:p w:rsidR="00E00210" w:rsidRDefault="00E00210" w:rsidP="00E00210">
      <w:pPr>
        <w:jc w:val="both"/>
        <w:rPr>
          <w:rFonts w:ascii="Arial" w:hAnsi="Arial" w:cs="Arial"/>
        </w:rPr>
      </w:pPr>
    </w:p>
    <w:p w:rsidR="00E00210" w:rsidRDefault="00E00210" w:rsidP="00E00210">
      <w:pPr>
        <w:jc w:val="both"/>
        <w:rPr>
          <w:rFonts w:ascii="Arial" w:hAnsi="Arial" w:cs="Arial"/>
        </w:rPr>
      </w:pPr>
    </w:p>
    <w:p w:rsidR="00E00210" w:rsidRDefault="00E00210" w:rsidP="00E00210">
      <w:pPr>
        <w:jc w:val="both"/>
        <w:rPr>
          <w:rFonts w:ascii="Arial" w:hAnsi="Arial" w:cs="Arial"/>
        </w:rPr>
      </w:pPr>
    </w:p>
    <w:p w:rsidR="00E00210" w:rsidRDefault="00E00210" w:rsidP="00E00210">
      <w:pPr>
        <w:jc w:val="both"/>
        <w:rPr>
          <w:rFonts w:ascii="Arial" w:hAnsi="Arial" w:cs="Arial"/>
        </w:rPr>
      </w:pPr>
    </w:p>
    <w:p w:rsidR="00E00210" w:rsidRDefault="00E00210" w:rsidP="00E00210">
      <w:pPr>
        <w:jc w:val="both"/>
        <w:rPr>
          <w:rFonts w:ascii="Arial" w:hAnsi="Arial" w:cs="Arial"/>
        </w:rPr>
      </w:pPr>
    </w:p>
    <w:p w:rsidR="00E00210" w:rsidRDefault="00E00210" w:rsidP="00E00210">
      <w:pPr>
        <w:jc w:val="both"/>
        <w:rPr>
          <w:rFonts w:ascii="Arial" w:hAnsi="Arial" w:cs="Arial"/>
        </w:rPr>
      </w:pPr>
    </w:p>
    <w:p w:rsidR="00E00210" w:rsidRDefault="00E00210" w:rsidP="00E00210">
      <w:pPr>
        <w:jc w:val="both"/>
        <w:rPr>
          <w:rFonts w:ascii="Arial" w:hAnsi="Arial" w:cs="Arial"/>
        </w:rPr>
      </w:pPr>
    </w:p>
    <w:p w:rsidR="00E00210" w:rsidRPr="00E00210" w:rsidRDefault="00E00210" w:rsidP="00E00210">
      <w:pPr>
        <w:jc w:val="right"/>
        <w:sectPr w:rsidR="00E00210" w:rsidRPr="00E00210">
          <w:pgSz w:w="11906" w:h="16838"/>
          <w:pgMar w:top="993" w:right="1416" w:bottom="851" w:left="1985" w:header="709" w:footer="709" w:gutter="0"/>
          <w:cols w:space="708"/>
        </w:sectPr>
      </w:pPr>
      <w:r>
        <w:t>……………………………………</w:t>
      </w:r>
    </w:p>
    <w:p w:rsidR="00E00210" w:rsidRDefault="00E00210" w:rsidP="00E00210"/>
    <w:sectPr w:rsidR="00E00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F3D" w:rsidRDefault="00AF6F3D" w:rsidP="00E00210">
      <w:r>
        <w:separator/>
      </w:r>
    </w:p>
  </w:endnote>
  <w:endnote w:type="continuationSeparator" w:id="0">
    <w:p w:rsidR="00AF6F3D" w:rsidRDefault="00AF6F3D" w:rsidP="00E0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F3D" w:rsidRDefault="00AF6F3D" w:rsidP="00E00210">
      <w:r>
        <w:separator/>
      </w:r>
    </w:p>
  </w:footnote>
  <w:footnote w:type="continuationSeparator" w:id="0">
    <w:p w:rsidR="00AF6F3D" w:rsidRDefault="00AF6F3D" w:rsidP="00E00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F4566"/>
    <w:multiLevelType w:val="multilevel"/>
    <w:tmpl w:val="ECFC013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80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1" w15:restartNumberingAfterBreak="0">
    <w:nsid w:val="2D735FDC"/>
    <w:multiLevelType w:val="multilevel"/>
    <w:tmpl w:val="A11C3FE6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10"/>
    <w:rsid w:val="000E5270"/>
    <w:rsid w:val="00AF6F3D"/>
    <w:rsid w:val="00E00210"/>
    <w:rsid w:val="00E9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7885B"/>
  <w15:chartTrackingRefBased/>
  <w15:docId w15:val="{557A828C-06EE-46EF-91D6-9785D7A7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2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210"/>
  </w:style>
  <w:style w:type="paragraph" w:styleId="Stopka">
    <w:name w:val="footer"/>
    <w:basedOn w:val="Normalny"/>
    <w:link w:val="StopkaZnak"/>
    <w:uiPriority w:val="99"/>
    <w:unhideWhenUsed/>
    <w:rsid w:val="00E002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210"/>
  </w:style>
  <w:style w:type="paragraph" w:styleId="Tekstpodstawowy">
    <w:name w:val="Body Text"/>
    <w:basedOn w:val="Normalny"/>
    <w:link w:val="TekstpodstawowyZnak"/>
    <w:semiHidden/>
    <w:unhideWhenUsed/>
    <w:rsid w:val="00E0021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002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qFormat/>
    <w:locked/>
    <w:rsid w:val="00E002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E00210"/>
    <w:pPr>
      <w:ind w:left="720"/>
      <w:contextualSpacing/>
    </w:pPr>
  </w:style>
  <w:style w:type="paragraph" w:customStyle="1" w:styleId="FR2">
    <w:name w:val="FR2"/>
    <w:rsid w:val="00E00210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6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CA44524-336F-4992-88E6-A08A1B8EFE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Ponichtera Katarzyna</dc:creator>
  <cp:keywords/>
  <dc:description/>
  <cp:lastModifiedBy>Ponichtera Katarzyna</cp:lastModifiedBy>
  <cp:revision>1</cp:revision>
  <dcterms:created xsi:type="dcterms:W3CDTF">2024-10-03T06:31:00Z</dcterms:created>
  <dcterms:modified xsi:type="dcterms:W3CDTF">2024-10-03T06:38:00Z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4ef3dee9-8fbd-4f6b-88f5-7169952efb98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Ponichtera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10.11.46.12</vt:lpwstr>
  </property>
  <property fmtid="{D5CDD505-2E9C-101B-9397-08002B2CF9AE}" pid="10" name="bjClsUserRVM">
    <vt:lpwstr>[]</vt:lpwstr>
  </property>
  <property fmtid="{D5CDD505-2E9C-101B-9397-08002B2CF9AE}" pid="11" name="bjSaver">
    <vt:lpwstr>WySwAqsmnyyxG7lIj2VgF9yzKaSGDzZw</vt:lpwstr>
  </property>
</Properties>
</file>